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0B04FC" w14:textId="292F0D3B" w:rsidR="004E1517" w:rsidRDefault="00A00C4D" w:rsidP="004E1517">
      <w:pPr>
        <w:jc w:val="center"/>
        <w:rPr>
          <w:rFonts w:cs="Times New Roman"/>
          <w:b/>
          <w:szCs w:val="24"/>
        </w:rPr>
      </w:pPr>
      <w:r>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52D2A6F1" w14:textId="3B5D7191" w:rsidR="00173AE4" w:rsidRPr="000D2C76" w:rsidRDefault="00084028" w:rsidP="00C40972">
      <w:pPr>
        <w:jc w:val="center"/>
        <w:rPr>
          <w:rFonts w:cs="Times New Roman"/>
          <w:b/>
          <w:sz w:val="28"/>
          <w:szCs w:val="28"/>
        </w:rPr>
      </w:pPr>
      <w:r w:rsidRPr="00084028">
        <w:rPr>
          <w:rFonts w:cs="Times New Roman"/>
          <w:b/>
          <w:sz w:val="28"/>
          <w:szCs w:val="28"/>
        </w:rPr>
        <w:t xml:space="preserve">Comparación </w:t>
      </w:r>
      <w:r>
        <w:rPr>
          <w:rFonts w:cs="Times New Roman"/>
          <w:b/>
          <w:sz w:val="28"/>
          <w:szCs w:val="28"/>
        </w:rPr>
        <w:t>d</w:t>
      </w:r>
      <w:r w:rsidRPr="00084028">
        <w:rPr>
          <w:rFonts w:cs="Times New Roman"/>
          <w:b/>
          <w:sz w:val="28"/>
          <w:szCs w:val="28"/>
        </w:rPr>
        <w:t xml:space="preserve">e Sistemas </w:t>
      </w:r>
      <w:r>
        <w:rPr>
          <w:rFonts w:cs="Times New Roman"/>
          <w:b/>
          <w:sz w:val="28"/>
          <w:szCs w:val="28"/>
        </w:rPr>
        <w:t>d</w:t>
      </w:r>
      <w:r w:rsidRPr="00084028">
        <w:rPr>
          <w:rFonts w:cs="Times New Roman"/>
          <w:b/>
          <w:sz w:val="28"/>
          <w:szCs w:val="28"/>
        </w:rPr>
        <w:t xml:space="preserve">e Gestión Humana Universalistas </w:t>
      </w:r>
      <w:r>
        <w:rPr>
          <w:rFonts w:cs="Times New Roman"/>
          <w:b/>
          <w:sz w:val="28"/>
          <w:szCs w:val="28"/>
        </w:rPr>
        <w:t>y</w:t>
      </w:r>
      <w:r w:rsidRPr="00084028">
        <w:rPr>
          <w:rFonts w:cs="Times New Roman"/>
          <w:b/>
          <w:sz w:val="28"/>
          <w:szCs w:val="28"/>
        </w:rPr>
        <w:t xml:space="preserve"> Configuracionales </w:t>
      </w:r>
      <w:r>
        <w:rPr>
          <w:rFonts w:cs="Times New Roman"/>
          <w:b/>
          <w:sz w:val="28"/>
          <w:szCs w:val="28"/>
        </w:rPr>
        <w:t>y</w:t>
      </w:r>
      <w:r w:rsidRPr="00084028">
        <w:rPr>
          <w:rFonts w:cs="Times New Roman"/>
          <w:b/>
          <w:sz w:val="28"/>
          <w:szCs w:val="28"/>
        </w:rPr>
        <w:t xml:space="preserve"> </w:t>
      </w:r>
      <w:r>
        <w:rPr>
          <w:rFonts w:cs="Times New Roman"/>
          <w:b/>
          <w:sz w:val="28"/>
          <w:szCs w:val="28"/>
        </w:rPr>
        <w:t>s</w:t>
      </w:r>
      <w:r w:rsidRPr="00084028">
        <w:rPr>
          <w:rFonts w:cs="Times New Roman"/>
          <w:b/>
          <w:sz w:val="28"/>
          <w:szCs w:val="28"/>
        </w:rPr>
        <w:t xml:space="preserve">us Efectos </w:t>
      </w:r>
      <w:r>
        <w:rPr>
          <w:rFonts w:cs="Times New Roman"/>
          <w:b/>
          <w:sz w:val="28"/>
          <w:szCs w:val="28"/>
        </w:rPr>
        <w:t>e</w:t>
      </w:r>
      <w:r w:rsidRPr="00084028">
        <w:rPr>
          <w:rFonts w:cs="Times New Roman"/>
          <w:b/>
          <w:sz w:val="28"/>
          <w:szCs w:val="28"/>
        </w:rPr>
        <w:t xml:space="preserve">n </w:t>
      </w:r>
      <w:r>
        <w:rPr>
          <w:rFonts w:cs="Times New Roman"/>
          <w:b/>
          <w:sz w:val="28"/>
          <w:szCs w:val="28"/>
        </w:rPr>
        <w:t>e</w:t>
      </w:r>
      <w:r w:rsidRPr="00084028">
        <w:rPr>
          <w:rFonts w:cs="Times New Roman"/>
          <w:b/>
          <w:sz w:val="28"/>
          <w:szCs w:val="28"/>
        </w:rPr>
        <w:t xml:space="preserve">l Desempeño </w:t>
      </w:r>
      <w:r>
        <w:rPr>
          <w:rFonts w:cs="Times New Roman"/>
          <w:b/>
          <w:sz w:val="28"/>
          <w:szCs w:val="28"/>
        </w:rPr>
        <w:t>e</w:t>
      </w:r>
      <w:r w:rsidRPr="00084028">
        <w:rPr>
          <w:rFonts w:cs="Times New Roman"/>
          <w:b/>
          <w:sz w:val="28"/>
          <w:szCs w:val="28"/>
        </w:rPr>
        <w:t>n Manufactura</w:t>
      </w:r>
    </w:p>
    <w:p w14:paraId="18F948A2" w14:textId="77777777" w:rsidR="007548F9" w:rsidRPr="000511AB" w:rsidRDefault="007548F9" w:rsidP="00EF3672">
      <w:pPr>
        <w:rPr>
          <w:rFonts w:cs="Times New Roman"/>
          <w:szCs w:val="24"/>
        </w:rPr>
      </w:pPr>
    </w:p>
    <w:p w14:paraId="7D3138B9" w14:textId="2757A792" w:rsidR="00173AE4" w:rsidRPr="003F3506" w:rsidRDefault="00084028" w:rsidP="00173AE4">
      <w:pPr>
        <w:jc w:val="center"/>
        <w:rPr>
          <w:rFonts w:cs="Times New Roman"/>
          <w:szCs w:val="24"/>
        </w:rPr>
      </w:pPr>
      <w:r>
        <w:rPr>
          <w:rFonts w:cs="Times New Roman"/>
          <w:szCs w:val="24"/>
        </w:rPr>
        <w:t>Mary Luz Giraldo Escobar</w:t>
      </w:r>
    </w:p>
    <w:p w14:paraId="645A1D8C" w14:textId="7CBB21F2" w:rsidR="00173AE4" w:rsidRPr="003F3506" w:rsidRDefault="009D750B" w:rsidP="00173AE4">
      <w:pPr>
        <w:jc w:val="center"/>
        <w:rPr>
          <w:rFonts w:cs="Times New Roman"/>
          <w:szCs w:val="24"/>
        </w:rPr>
      </w:pPr>
      <w:r>
        <w:rPr>
          <w:rFonts w:cs="Times New Roman"/>
          <w:szCs w:val="24"/>
        </w:rPr>
        <w:t xml:space="preserve">Yeison Alberto </w:t>
      </w:r>
      <w:r w:rsidR="00ED65CA">
        <w:rPr>
          <w:rFonts w:cs="Times New Roman"/>
          <w:szCs w:val="24"/>
        </w:rPr>
        <w:t>Quintero Agudelo</w:t>
      </w:r>
    </w:p>
    <w:p w14:paraId="702C65F0" w14:textId="68C4486E" w:rsidR="00173AE4" w:rsidRDefault="00173AE4" w:rsidP="00173AE4">
      <w:pPr>
        <w:jc w:val="center"/>
        <w:rPr>
          <w:rFonts w:cs="Times New Roman"/>
          <w:szCs w:val="24"/>
        </w:rPr>
      </w:pP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35061881" w:rsidR="00F17BF0" w:rsidRDefault="00000000"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084028">
            <w:rPr>
              <w:rStyle w:val="Estilo7"/>
              <w:sz w:val="24"/>
              <w:szCs w:val="24"/>
            </w:rPr>
            <w:t>Artículo de investigación presentado</w:t>
          </w:r>
        </w:sdtContent>
      </w:sdt>
      <w:r w:rsidR="00C72608" w:rsidRPr="00DD548B">
        <w:rPr>
          <w:rFonts w:cs="Times New Roman"/>
          <w:szCs w:val="24"/>
        </w:rPr>
        <w:t xml:space="preserve"> para optar al título de</w:t>
      </w:r>
    </w:p>
    <w:bookmarkStart w:id="0" w:name="_Hlk206691093"/>
    <w:bookmarkStart w:id="1" w:name="_Hlk206690637"/>
    <w:bookmarkStart w:id="2" w:name="_Hlk206692023"/>
    <w:p w14:paraId="66EC4AD6" w14:textId="455E6260" w:rsidR="009975C0" w:rsidRPr="009975C0" w:rsidRDefault="00000000"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084028">
            <w:rPr>
              <w:rStyle w:val="TextocomentarioCar"/>
              <w:rFonts w:cs="Times New Roman"/>
              <w:sz w:val="24"/>
              <w:szCs w:val="24"/>
            </w:rPr>
            <w:t>Magíster en Gerencia del Talento Humano</w:t>
          </w:r>
        </w:sdtContent>
      </w:sdt>
      <w:bookmarkEnd w:id="0"/>
      <w:bookmarkEnd w:id="1"/>
    </w:p>
    <w:bookmarkEnd w:id="2"/>
    <w:p w14:paraId="032839DC" w14:textId="793B7F8A" w:rsidR="0003149E" w:rsidRDefault="0003149E"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3" w:name="_Hlk65077587"/>
    <w:p w14:paraId="0DA78F48" w14:textId="0DE2A36B" w:rsidR="00173AE4" w:rsidRPr="007548F9" w:rsidRDefault="00000000" w:rsidP="007548F9">
      <w:pPr>
        <w:jc w:val="center"/>
        <w:rPr>
          <w:szCs w:val="24"/>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B46EB3">
            <w:rPr>
              <w:szCs w:val="24"/>
            </w:rPr>
            <w:t>Asesor</w:t>
          </w:r>
        </w:sdtContent>
      </w:sdt>
      <w:r w:rsidR="007548F9" w:rsidRPr="007548F9">
        <w:rPr>
          <w:szCs w:val="24"/>
        </w:rPr>
        <w:br/>
      </w:r>
      <w:bookmarkEnd w:id="3"/>
      <w:r w:rsidR="00B46EB3">
        <w:rPr>
          <w:szCs w:val="24"/>
        </w:rPr>
        <w:t>Andres Alberto Osorio Londoño</w:t>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5D6A62">
            <w:rPr>
              <w:rStyle w:val="Estilo8"/>
              <w:sz w:val="24"/>
              <w:szCs w:val="24"/>
            </w:rPr>
            <w:t>PostDoctor (PostDoc)</w:t>
          </w:r>
        </w:sdtContent>
      </w:sdt>
      <w:r w:rsidR="007548F9" w:rsidRPr="007548F9">
        <w:rPr>
          <w:rStyle w:val="Estilo2"/>
          <w:szCs w:val="24"/>
        </w:rPr>
        <w:t xml:space="preserve"> en </w:t>
      </w:r>
      <w:r w:rsidR="008F68B2">
        <w:rPr>
          <w:rStyle w:val="Estilo2"/>
          <w:szCs w:val="24"/>
        </w:rPr>
        <w:t>Ingeniería</w:t>
      </w:r>
    </w:p>
    <w:p w14:paraId="46D25635" w14:textId="77777777" w:rsidR="006A59A8" w:rsidRDefault="006A59A8" w:rsidP="000F796B">
      <w:pPr>
        <w:rPr>
          <w:rFonts w:cs="Times New Roman"/>
          <w:szCs w:val="24"/>
        </w:rPr>
      </w:pPr>
    </w:p>
    <w:p w14:paraId="0D8EA654" w14:textId="77777777" w:rsidR="00173AE4" w:rsidRDefault="00173AE4" w:rsidP="00173AE4">
      <w:pPr>
        <w:spacing w:line="480" w:lineRule="auto"/>
        <w:jc w:val="center"/>
        <w:rPr>
          <w:rStyle w:val="Estilo3"/>
        </w:rPr>
      </w:pPr>
    </w:p>
    <w:p w14:paraId="135356D2" w14:textId="40D1CE84" w:rsidR="009D5192" w:rsidRDefault="00000000"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084028">
            <w:rPr>
              <w:rStyle w:val="TextocomentarioCar"/>
              <w:sz w:val="24"/>
              <w:szCs w:val="24"/>
            </w:rPr>
            <w:t>Facultad de Ciencias Sociales y Humanas</w:t>
          </w:r>
        </w:sdtContent>
      </w:sdt>
    </w:p>
    <w:bookmarkStart w:id="4" w:name="_Hlk206691583"/>
    <w:p w14:paraId="1F873125" w14:textId="5E6E39B3" w:rsidR="009975C0" w:rsidRPr="009975C0" w:rsidRDefault="00000000"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F12C0C">
            <w:rPr>
              <w:rStyle w:val="TextocomentarioCar"/>
              <w:rFonts w:cs="Times New Roman"/>
              <w:sz w:val="24"/>
              <w:szCs w:val="24"/>
            </w:rPr>
            <w:t>Maestría en Gerencia del Talento Humano</w:t>
          </w:r>
        </w:sdtContent>
      </w:sdt>
      <w:bookmarkEnd w:id="4"/>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Content>
          <w:r w:rsidRPr="009D5192">
            <w:rPr>
              <w:szCs w:val="24"/>
            </w:rPr>
            <w:t>Manizales, Caldas, Colombia</w:t>
          </w:r>
        </w:sdtContent>
      </w:sdt>
    </w:p>
    <w:p w14:paraId="72A92C1B" w14:textId="692C62E5" w:rsidR="005879DE" w:rsidRDefault="00000000"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F12C0C">
            <w:rPr>
              <w:szCs w:val="24"/>
            </w:rPr>
            <w:t>2026</w:t>
          </w:r>
        </w:sdtContent>
      </w:sdt>
      <w:r w:rsidR="009D5192" w:rsidRPr="009D5192">
        <w:rPr>
          <w:rFonts w:cs="Times New Roman"/>
          <w:szCs w:val="24"/>
        </w:rPr>
        <w:t xml:space="preserve"> </w:t>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r w:rsidRPr="00711795">
              <w:rPr>
                <w:rFonts w:cs="Times New Roman"/>
                <w:sz w:val="20"/>
                <w:szCs w:val="20"/>
              </w:rPr>
              <w:t>How to cite</w:t>
            </w:r>
          </w:p>
        </w:tc>
        <w:tc>
          <w:tcPr>
            <w:tcW w:w="7153" w:type="dxa"/>
            <w:tcBorders>
              <w:top w:val="single" w:sz="12" w:space="0" w:color="70AD47" w:themeColor="accent6"/>
              <w:bottom w:val="nil"/>
            </w:tcBorders>
            <w:vAlign w:val="center"/>
          </w:tcPr>
          <w:p w14:paraId="5AFB076E" w14:textId="4B08E785" w:rsidR="0026693D" w:rsidRPr="00711795" w:rsidRDefault="0026693D" w:rsidP="00C05CD8">
            <w:pPr>
              <w:rPr>
                <w:rFonts w:cs="Times New Roman"/>
                <w:sz w:val="20"/>
                <w:szCs w:val="20"/>
              </w:rPr>
            </w:pPr>
            <w:r w:rsidRPr="00711795">
              <w:rPr>
                <w:rFonts w:cs="Times New Roman"/>
                <w:sz w:val="20"/>
                <w:szCs w:val="20"/>
              </w:rPr>
              <w:t>(</w:t>
            </w:r>
            <w:r>
              <w:rPr>
                <w:rFonts w:cs="Times New Roman"/>
                <w:sz w:val="20"/>
                <w:szCs w:val="20"/>
              </w:rPr>
              <w:t>G</w:t>
            </w:r>
            <w:r w:rsidR="00325E21">
              <w:rPr>
                <w:rFonts w:cs="Times New Roman"/>
                <w:sz w:val="20"/>
                <w:szCs w:val="20"/>
              </w:rPr>
              <w:t>il Meneses</w:t>
            </w:r>
            <w:r>
              <w:rPr>
                <w:rFonts w:cs="Times New Roman"/>
                <w:sz w:val="20"/>
                <w:szCs w:val="20"/>
              </w:rPr>
              <w:t xml:space="preserve"> et al., 202</w:t>
            </w:r>
            <w:r w:rsidR="006A7CE2">
              <w:rPr>
                <w:rFonts w:cs="Times New Roman"/>
                <w:sz w:val="20"/>
                <w:szCs w:val="20"/>
              </w:rPr>
              <w:t>2</w:t>
            </w:r>
            <w:r>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711795" w:rsidRDefault="0026693D" w:rsidP="00C05CD8">
            <w:pPr>
              <w:spacing w:before="60" w:line="240" w:lineRule="auto"/>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061BDEBE" w14:textId="77777777" w:rsidR="0026693D" w:rsidRPr="00711795" w:rsidRDefault="0026693D" w:rsidP="00C05CD8">
            <w:pPr>
              <w:spacing w:line="276" w:lineRule="auto"/>
              <w:jc w:val="center"/>
              <w:rPr>
                <w:rFonts w:cs="Times New Roman"/>
                <w:sz w:val="20"/>
                <w:szCs w:val="20"/>
              </w:rPr>
            </w:pPr>
          </w:p>
          <w:p w14:paraId="763CCA54" w14:textId="77777777" w:rsidR="0026693D" w:rsidRPr="00711795" w:rsidRDefault="0026693D" w:rsidP="00C05CD8">
            <w:pPr>
              <w:spacing w:line="240" w:lineRule="auto"/>
              <w:jc w:val="center"/>
              <w:rPr>
                <w:rFonts w:cs="Times New Roman"/>
                <w:sz w:val="20"/>
                <w:szCs w:val="20"/>
              </w:rPr>
            </w:pPr>
            <w:r w:rsidRPr="00711795">
              <w:rPr>
                <w:rFonts w:cs="Times New Roman"/>
                <w:sz w:val="20"/>
                <w:szCs w:val="20"/>
              </w:rPr>
              <w:t>Estilo/Style:</w:t>
            </w:r>
          </w:p>
          <w:p w14:paraId="152AF845" w14:textId="77777777" w:rsidR="0026693D" w:rsidRPr="00711795" w:rsidRDefault="0026693D" w:rsidP="00C05CD8">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70C200A9" w:rsidR="0026693D" w:rsidRPr="00C80061" w:rsidRDefault="0026693D" w:rsidP="00C05CD8">
            <w:pPr>
              <w:spacing w:after="60" w:line="276" w:lineRule="auto"/>
              <w:ind w:left="709" w:hanging="709"/>
              <w:rPr>
                <w:rFonts w:cs="Times New Roman"/>
                <w:sz w:val="20"/>
                <w:szCs w:val="20"/>
              </w:rPr>
            </w:pPr>
            <w:r>
              <w:rPr>
                <w:rFonts w:cs="Times New Roman"/>
                <w:sz w:val="20"/>
                <w:szCs w:val="20"/>
              </w:rPr>
              <w:t>G</w:t>
            </w:r>
            <w:r w:rsidR="00325E21">
              <w:rPr>
                <w:rFonts w:cs="Times New Roman"/>
                <w:sz w:val="20"/>
                <w:szCs w:val="20"/>
              </w:rPr>
              <w:t>il Meneses</w:t>
            </w:r>
            <w:r w:rsidRPr="00711795">
              <w:rPr>
                <w:rFonts w:cs="Times New Roman"/>
                <w:sz w:val="20"/>
                <w:szCs w:val="20"/>
              </w:rPr>
              <w:t xml:space="preserve">, </w:t>
            </w:r>
            <w:r>
              <w:rPr>
                <w:rFonts w:cs="Times New Roman"/>
                <w:sz w:val="20"/>
                <w:szCs w:val="20"/>
              </w:rPr>
              <w:t>E.</w:t>
            </w:r>
            <w:r w:rsidRPr="00711795">
              <w:rPr>
                <w:rFonts w:cs="Times New Roman"/>
                <w:sz w:val="20"/>
                <w:szCs w:val="20"/>
              </w:rPr>
              <w:t xml:space="preserve">, </w:t>
            </w:r>
            <w:r>
              <w:rPr>
                <w:rFonts w:cs="Times New Roman"/>
                <w:sz w:val="20"/>
                <w:szCs w:val="20"/>
              </w:rPr>
              <w:t>H</w:t>
            </w:r>
            <w:r w:rsidR="00325E21">
              <w:rPr>
                <w:rFonts w:cs="Times New Roman"/>
                <w:sz w:val="20"/>
                <w:szCs w:val="20"/>
              </w:rPr>
              <w:t>errera</w:t>
            </w:r>
            <w:r>
              <w:rPr>
                <w:rFonts w:cs="Times New Roman"/>
                <w:sz w:val="20"/>
                <w:szCs w:val="20"/>
              </w:rPr>
              <w:t xml:space="preserve"> C</w:t>
            </w:r>
            <w:r w:rsidR="00325E21">
              <w:rPr>
                <w:rFonts w:cs="Times New Roman"/>
                <w:sz w:val="20"/>
                <w:szCs w:val="20"/>
              </w:rPr>
              <w:t>ardona</w:t>
            </w:r>
            <w:r w:rsidRPr="00711795">
              <w:rPr>
                <w:rFonts w:cs="Times New Roman"/>
                <w:sz w:val="20"/>
                <w:szCs w:val="20"/>
              </w:rPr>
              <w:t xml:space="preserve">, </w:t>
            </w:r>
            <w:r>
              <w:rPr>
                <w:rFonts w:cs="Times New Roman"/>
                <w:sz w:val="20"/>
                <w:szCs w:val="20"/>
              </w:rPr>
              <w:t>M</w:t>
            </w:r>
            <w:r w:rsidRPr="00711795">
              <w:rPr>
                <w:rFonts w:cs="Times New Roman"/>
                <w:sz w:val="20"/>
                <w:szCs w:val="20"/>
              </w:rPr>
              <w:t xml:space="preserve">. C., &amp; </w:t>
            </w:r>
            <w:r>
              <w:rPr>
                <w:rFonts w:cs="Times New Roman"/>
                <w:sz w:val="20"/>
                <w:szCs w:val="20"/>
              </w:rPr>
              <w:t>Lo</w:t>
            </w:r>
            <w:r w:rsidR="00BA5877">
              <w:rPr>
                <w:rFonts w:cs="Times New Roman"/>
                <w:sz w:val="20"/>
                <w:szCs w:val="20"/>
              </w:rPr>
              <w:t>pera</w:t>
            </w:r>
            <w:r w:rsidR="00C40077">
              <w:rPr>
                <w:rFonts w:cs="Times New Roman"/>
                <w:sz w:val="20"/>
                <w:szCs w:val="20"/>
              </w:rPr>
              <w:t xml:space="preserve"> Vásquez</w:t>
            </w:r>
            <w:r w:rsidRPr="00711795">
              <w:rPr>
                <w:rFonts w:cs="Times New Roman"/>
                <w:sz w:val="20"/>
                <w:szCs w:val="20"/>
              </w:rPr>
              <w:t xml:space="preserve">, </w:t>
            </w:r>
            <w:r>
              <w:rPr>
                <w:rFonts w:cs="Times New Roman"/>
                <w:sz w:val="20"/>
                <w:szCs w:val="20"/>
              </w:rPr>
              <w:t>H. A.</w:t>
            </w:r>
            <w:r w:rsidRPr="00711795">
              <w:rPr>
                <w:rFonts w:cs="Times New Roman"/>
                <w:sz w:val="20"/>
                <w:szCs w:val="20"/>
              </w:rPr>
              <w:t xml:space="preserve"> (20</w:t>
            </w:r>
            <w:r>
              <w:rPr>
                <w:rFonts w:cs="Times New Roman"/>
                <w:sz w:val="20"/>
                <w:szCs w:val="20"/>
              </w:rPr>
              <w:t>2</w:t>
            </w:r>
            <w:r w:rsidR="006A7CE2">
              <w:rPr>
                <w:rFonts w:cs="Times New Roman"/>
                <w:sz w:val="20"/>
                <w:szCs w:val="20"/>
              </w:rPr>
              <w:t>2</w:t>
            </w:r>
            <w:r w:rsidRPr="00711795">
              <w:rPr>
                <w:rFonts w:cs="Times New Roman"/>
                <w:sz w:val="20"/>
                <w:szCs w:val="20"/>
              </w:rPr>
              <w:t xml:space="preserve">). </w:t>
            </w:r>
            <w:r w:rsidR="007122C8" w:rsidRPr="00D539C1">
              <w:rPr>
                <w:rFonts w:cs="Times New Roman"/>
                <w:i/>
                <w:iCs/>
                <w:sz w:val="20"/>
                <w:szCs w:val="20"/>
              </w:rPr>
              <w:t>Nuevas formas de participación ciudadana</w:t>
            </w:r>
            <w:r w:rsidR="00D77351" w:rsidRPr="00D539C1">
              <w:rPr>
                <w:rFonts w:cs="Times New Roman"/>
                <w:i/>
                <w:iCs/>
                <w:sz w:val="20"/>
                <w:szCs w:val="20"/>
              </w:rPr>
              <w:t xml:space="preserve"> en la democracia digital: </w:t>
            </w:r>
            <w:r w:rsidR="00D539C1" w:rsidRPr="00D539C1">
              <w:rPr>
                <w:rFonts w:cs="Times New Roman"/>
                <w:i/>
                <w:iCs/>
                <w:sz w:val="20"/>
                <w:szCs w:val="20"/>
              </w:rPr>
              <w:t>un análisis de las plataformas de gobierno en línea en Colombia</w:t>
            </w:r>
            <w:r w:rsidRPr="000C619C">
              <w:rPr>
                <w:rFonts w:cs="Times New Roman"/>
                <w:iCs/>
                <w:sz w:val="20"/>
                <w:szCs w:val="20"/>
              </w:rPr>
              <w:t xml:space="preserve"> [</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Seleccione modalidad de grado</w:t>
                </w:r>
              </w:sdtContent>
            </w:sdt>
            <w:r>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r>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6890BC5E" wp14:editId="6F71EA8E">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Default="0026693D" w:rsidP="0026693D">
      <w:pPr>
        <w:jc w:val="left"/>
        <w:rPr>
          <w:rFonts w:cs="Times New Roman"/>
          <w:szCs w:val="24"/>
        </w:rPr>
      </w:pPr>
    </w:p>
    <w:bookmarkStart w:id="5" w:name="_Hlk66967260"/>
    <w:p w14:paraId="60A9DE66" w14:textId="314A7372" w:rsidR="00F03028" w:rsidRPr="00F61F5A" w:rsidRDefault="00000000" w:rsidP="0001409B">
      <w:pPr>
        <w:rPr>
          <w:rStyle w:val="Estilo4"/>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F12C0C">
            <w:rPr>
              <w:rStyle w:val="TextocomentarioCar"/>
              <w:rFonts w:cs="Times New Roman"/>
              <w:sz w:val="22"/>
            </w:rPr>
            <w:t>Maestría en Gerencia del Talento Humano</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18620C">
            <w:rPr>
              <w:rStyle w:val="Estilo3"/>
              <w:sz w:val="22"/>
            </w:rPr>
            <w:t>XXIX</w:t>
          </w:r>
        </w:sdtContent>
      </w:sdt>
      <w:r w:rsidR="00F03028" w:rsidRPr="00F61F5A">
        <w:rPr>
          <w:rFonts w:cs="Times New Roman"/>
          <w:sz w:val="22"/>
        </w:rPr>
        <w:t xml:space="preserve"> </w:t>
      </w:r>
    </w:p>
    <w:bookmarkEnd w:id="5"/>
    <w:p w14:paraId="7B04D3CB" w14:textId="7F2B4FA3" w:rsidR="00B44585" w:rsidRDefault="00B44585" w:rsidP="00B44585">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5A1D1B" w:rsidRDefault="002843F5" w:rsidP="002843F5">
      <w:pPr>
        <w:rPr>
          <w:rFonts w:cs="Times New Roman"/>
          <w:sz w:val="20"/>
          <w:szCs w:val="20"/>
        </w:rPr>
      </w:pPr>
    </w:p>
    <w:p w14:paraId="3ACB8BB5" w14:textId="5601DED9" w:rsidR="002843F5" w:rsidRPr="008663FA" w:rsidRDefault="002843F5" w:rsidP="002843F5">
      <w:pPr>
        <w:jc w:val="left"/>
        <w:rPr>
          <w:rFonts w:cs="Times New Roman"/>
          <w:sz w:val="20"/>
          <w:szCs w:val="20"/>
        </w:rPr>
      </w:pPr>
      <w:r>
        <w:rPr>
          <w:rFonts w:cs="Times New Roman"/>
          <w:sz w:val="20"/>
          <w:szCs w:val="20"/>
        </w:rPr>
        <w:t xml:space="preserve"> </w:t>
      </w:r>
    </w:p>
    <w:p w14:paraId="6BC0FE27" w14:textId="5DAFC71D" w:rsidR="003865B8" w:rsidRPr="003865B8" w:rsidRDefault="008663FA" w:rsidP="0021571A">
      <w:pPr>
        <w:spacing w:before="120" w:after="120" w:line="240" w:lineRule="auto"/>
        <w:jc w:val="left"/>
        <w:rPr>
          <w:rFonts w:cs="Times New Roman"/>
          <w:sz w:val="22"/>
        </w:rPr>
      </w:pPr>
      <w:r w:rsidRPr="00F61F5A">
        <w:rPr>
          <w:rFonts w:cs="Times New Roman"/>
          <w:b/>
          <w:bCs/>
          <w:sz w:val="22"/>
        </w:rPr>
        <w:t>Biblioteca y Centro de Recursos</w:t>
      </w:r>
      <w:r w:rsidRPr="00F61F5A">
        <w:rPr>
          <w:rFonts w:cs="Times New Roman"/>
          <w:sz w:val="22"/>
        </w:rPr>
        <w:t>: biblioteca.umanizales.edu.co</w:t>
      </w:r>
    </w:p>
    <w:p w14:paraId="65E412C8" w14:textId="484DFFFB" w:rsidR="008663FA" w:rsidRPr="00D479E4" w:rsidRDefault="008663FA" w:rsidP="0021571A">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70AA538" w14:textId="2297F78E" w:rsidR="008663FA" w:rsidRPr="00F61F5A" w:rsidRDefault="008663FA" w:rsidP="009B70DF">
      <w:pPr>
        <w:spacing w:after="120" w:line="240" w:lineRule="auto"/>
        <w:rPr>
          <w:rFonts w:cs="Times New Roman"/>
          <w:sz w:val="22"/>
        </w:rPr>
      </w:pPr>
      <w:r w:rsidRPr="00F61F5A">
        <w:rPr>
          <w:rFonts w:cs="Times New Roman"/>
          <w:b/>
          <w:bCs/>
          <w:sz w:val="22"/>
        </w:rPr>
        <w:t>Universidad de Manizales:</w:t>
      </w:r>
      <w:r w:rsidR="001A0EB1">
        <w:rPr>
          <w:rFonts w:cs="Times New Roman"/>
          <w:sz w:val="22"/>
        </w:rPr>
        <w:t xml:space="preserve"> </w:t>
      </w:r>
      <w:r w:rsidRPr="00F61F5A">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1FCFC578" w14:textId="77777777" w:rsidR="002843F5" w:rsidRDefault="002843F5" w:rsidP="008663FA">
      <w:pPr>
        <w:rPr>
          <w:rFonts w:cs="Times New Roman"/>
          <w:b/>
          <w:sz w:val="20"/>
          <w:szCs w:val="20"/>
        </w:rPr>
      </w:pPr>
    </w:p>
    <w:p w14:paraId="00D74911" w14:textId="77777777" w:rsidR="002843F5" w:rsidRPr="00A97A13" w:rsidRDefault="002843F5"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798549F" w14:textId="77777777" w:rsidR="001F154E" w:rsidRDefault="001F154E" w:rsidP="00536C6C">
      <w:pPr>
        <w:spacing w:line="276" w:lineRule="auto"/>
        <w:rPr>
          <w:rFonts w:cs="Times New Roman"/>
          <w:sz w:val="22"/>
        </w:rPr>
      </w:pPr>
    </w:p>
    <w:p w14:paraId="676DAE43" w14:textId="77777777" w:rsidR="001F154E" w:rsidRDefault="001F154E" w:rsidP="00536C6C">
      <w:pPr>
        <w:spacing w:line="276" w:lineRule="auto"/>
        <w:rPr>
          <w:rFonts w:cs="Times New Roman"/>
          <w:sz w:val="22"/>
        </w:rPr>
      </w:pPr>
    </w:p>
    <w:p w14:paraId="59B33E2A" w14:textId="77777777" w:rsidR="001F154E" w:rsidRDefault="001F154E" w:rsidP="00536C6C">
      <w:pPr>
        <w:spacing w:line="276" w:lineRule="auto"/>
        <w:rPr>
          <w:rFonts w:cs="Times New Roman"/>
          <w:sz w:val="22"/>
        </w:rPr>
      </w:pPr>
    </w:p>
    <w:p w14:paraId="4FEA4E63" w14:textId="77777777" w:rsidR="001F154E" w:rsidRPr="00F61F5A" w:rsidRDefault="001F154E" w:rsidP="00536C6C">
      <w:pPr>
        <w:spacing w:line="276" w:lineRule="auto"/>
        <w:rPr>
          <w:rFonts w:cs="Times New Roman"/>
          <w:sz w:val="22"/>
        </w:rPr>
      </w:pPr>
    </w:p>
    <w:p w14:paraId="60A1D4DF" w14:textId="77777777" w:rsidR="00536C6C" w:rsidRDefault="00536C6C" w:rsidP="00FE5B73">
      <w:pPr>
        <w:jc w:val="left"/>
        <w:rPr>
          <w:rFonts w:cs="Times New Roman"/>
          <w:sz w:val="22"/>
        </w:rPr>
      </w:pPr>
    </w:p>
    <w:p w14:paraId="611A1D2A" w14:textId="77777777" w:rsidR="00AD65F4" w:rsidRDefault="00AD65F4" w:rsidP="00FE5B73">
      <w:pPr>
        <w:jc w:val="left"/>
        <w:rPr>
          <w:rFonts w:cs="Times New Roman"/>
          <w:sz w:val="22"/>
        </w:rPr>
      </w:pPr>
    </w:p>
    <w:p w14:paraId="707B261B" w14:textId="77777777" w:rsidR="00AD65F4" w:rsidRDefault="00AD65F4" w:rsidP="00FE5B73">
      <w:pPr>
        <w:jc w:val="left"/>
        <w:rPr>
          <w:rFonts w:cs="Times New Roman"/>
          <w:sz w:val="22"/>
        </w:rPr>
      </w:pPr>
    </w:p>
    <w:p w14:paraId="0A9DBB41" w14:textId="77777777" w:rsidR="00AD65F4" w:rsidRDefault="00AD65F4" w:rsidP="00FE5B73">
      <w:pPr>
        <w:jc w:val="left"/>
        <w:rPr>
          <w:rFonts w:cs="Times New Roman"/>
          <w:sz w:val="22"/>
        </w:rPr>
      </w:pPr>
    </w:p>
    <w:p w14:paraId="17FAA077" w14:textId="77777777" w:rsidR="00AD65F4" w:rsidRDefault="00AD65F4" w:rsidP="00FE5B73">
      <w:pPr>
        <w:jc w:val="left"/>
        <w:rPr>
          <w:rFonts w:cs="Times New Roman"/>
          <w:sz w:val="22"/>
        </w:rPr>
      </w:pPr>
    </w:p>
    <w:p w14:paraId="34206020" w14:textId="414DB5A3" w:rsidR="00AD65F4" w:rsidRPr="00FE5B73" w:rsidRDefault="00AD65F4" w:rsidP="00FE5B73">
      <w:pPr>
        <w:jc w:val="left"/>
        <w:rPr>
          <w:rFonts w:cs="Times New Roman"/>
          <w:sz w:val="22"/>
        </w:rPr>
        <w:sectPr w:rsidR="00AD65F4" w:rsidRPr="00FE5B73" w:rsidSect="00C727EA">
          <w:pgSz w:w="12240" w:h="15840"/>
          <w:pgMar w:top="1418" w:right="1418" w:bottom="1418" w:left="1418" w:header="567" w:footer="567" w:gutter="0"/>
          <w:cols w:space="708"/>
          <w:docGrid w:linePitch="360"/>
        </w:sectPr>
      </w:pPr>
    </w:p>
    <w:p w14:paraId="6EBFB582" w14:textId="365DA163" w:rsidR="007C7D78" w:rsidRDefault="007C7D78" w:rsidP="007C7D78">
      <w:pPr>
        <w:pStyle w:val="Normal1"/>
      </w:pPr>
      <w:bookmarkStart w:id="6" w:name="_Toc440985124"/>
    </w:p>
    <w:p w14:paraId="5464787E" w14:textId="5545B864" w:rsidR="00667840" w:rsidRPr="00E41C47" w:rsidRDefault="00667840" w:rsidP="003B1E14">
      <w:pPr>
        <w:pStyle w:val="Ttulo1"/>
      </w:pPr>
      <w:r w:rsidRPr="00E41C47">
        <w:lastRenderedPageBreak/>
        <w:t>Resumen</w:t>
      </w:r>
      <w:bookmarkEnd w:id="6"/>
    </w:p>
    <w:p w14:paraId="2D6F5244" w14:textId="77777777" w:rsidR="00667840" w:rsidRDefault="00667840" w:rsidP="00667840">
      <w:pPr>
        <w:ind w:firstLine="708"/>
        <w:rPr>
          <w:szCs w:val="24"/>
        </w:rPr>
      </w:pPr>
    </w:p>
    <w:p w14:paraId="7FC9D11C" w14:textId="77777777" w:rsidR="00F12C0C" w:rsidRPr="00E1329D" w:rsidRDefault="00F12C0C" w:rsidP="00F12C0C">
      <w:pPr>
        <w:pStyle w:val="PrrAPA"/>
        <w:rPr>
          <w:lang w:eastAsia="es-ES_tradnl"/>
        </w:rPr>
      </w:pPr>
      <w:r w:rsidRPr="00E1329D">
        <w:rPr>
          <w:lang w:eastAsia="es-ES_tradnl"/>
        </w:rPr>
        <w:t>Este estudio evalúa el efecto comparado de dos configuraciones de sistemas de gestión humana sobre el desempeño en manufactura en una empresa metalmecánica del departamento de Caldas, Colombia. Con base en la lógica de “</w:t>
      </w:r>
      <w:proofErr w:type="spellStart"/>
      <w:r w:rsidRPr="00E1329D">
        <w:rPr>
          <w:lang w:eastAsia="es-ES_tradnl"/>
        </w:rPr>
        <w:t>bundles</w:t>
      </w:r>
      <w:proofErr w:type="spellEnd"/>
      <w:r w:rsidRPr="00E1329D">
        <w:rPr>
          <w:lang w:eastAsia="es-ES_tradnl"/>
        </w:rPr>
        <w:t>” de prácticas de recursos humanos propuesta y en la Visión de la Firma basada en Recursos, se diseñó un experimento de campo cuasi–experimental con dos grupos de trabajadores que realizan los mismos procesos de manufactura. Un grupo fue gestionado mediante un sistema universalista de mejores prácticas</w:t>
      </w:r>
      <w:r>
        <w:rPr>
          <w:lang w:eastAsia="es-ES_tradnl"/>
        </w:rPr>
        <w:t xml:space="preserve"> de gestión humana</w:t>
      </w:r>
      <w:r w:rsidRPr="00E1329D">
        <w:rPr>
          <w:lang w:eastAsia="es-ES_tradnl"/>
        </w:rPr>
        <w:t xml:space="preserve"> y el otro mediante un sistema configuracional o </w:t>
      </w:r>
      <w:proofErr w:type="spellStart"/>
      <w:r w:rsidRPr="00E1329D">
        <w:rPr>
          <w:i/>
          <w:lang w:eastAsia="es-ES_tradnl"/>
        </w:rPr>
        <w:t>bundle</w:t>
      </w:r>
      <w:proofErr w:type="spellEnd"/>
      <w:r w:rsidRPr="00E1329D">
        <w:rPr>
          <w:lang w:eastAsia="es-ES_tradnl"/>
        </w:rPr>
        <w:t xml:space="preserve"> de </w:t>
      </w:r>
      <w:r>
        <w:rPr>
          <w:lang w:eastAsia="es-ES_tradnl"/>
        </w:rPr>
        <w:t>estas prácticas de</w:t>
      </w:r>
      <w:r w:rsidRPr="00E1329D">
        <w:rPr>
          <w:lang w:eastAsia="es-ES_tradnl"/>
        </w:rPr>
        <w:t xml:space="preserve"> alto desempeño (High Performance Work </w:t>
      </w:r>
      <w:proofErr w:type="spellStart"/>
      <w:r w:rsidRPr="00E1329D">
        <w:rPr>
          <w:lang w:eastAsia="es-ES_tradnl"/>
        </w:rPr>
        <w:t>Systems</w:t>
      </w:r>
      <w:proofErr w:type="spellEnd"/>
      <w:r w:rsidRPr="00E1329D">
        <w:rPr>
          <w:lang w:eastAsia="es-ES_tradnl"/>
        </w:rPr>
        <w:t xml:space="preserve">, HPWS). Después de un periodo de rediseño de tres meses y seis meses de implementación, se midió el desempeño en manufactura a nivel individual a través de un índice compuesto de productividad, calidad y costo. Los resultados muestran mejoras significativas en ambos grupos, pero los incrementos son </w:t>
      </w:r>
      <w:r>
        <w:rPr>
          <w:lang w:eastAsia="es-ES_tradnl"/>
        </w:rPr>
        <w:t>considerablemente</w:t>
      </w:r>
      <w:r w:rsidRPr="00E1329D">
        <w:rPr>
          <w:lang w:eastAsia="es-ES_tradnl"/>
        </w:rPr>
        <w:t xml:space="preserve"> mayores en el grupo gestionado mediante HPWS, lo que </w:t>
      </w:r>
      <w:r>
        <w:rPr>
          <w:lang w:eastAsia="es-ES_tradnl"/>
        </w:rPr>
        <w:t>soporta</w:t>
      </w:r>
      <w:r w:rsidRPr="00E1329D">
        <w:rPr>
          <w:lang w:eastAsia="es-ES_tradnl"/>
        </w:rPr>
        <w:t xml:space="preserve"> </w:t>
      </w:r>
      <w:r>
        <w:rPr>
          <w:lang w:eastAsia="es-ES_tradnl"/>
        </w:rPr>
        <w:t>el planteamiento</w:t>
      </w:r>
      <w:r w:rsidRPr="00E1329D">
        <w:rPr>
          <w:lang w:eastAsia="es-ES_tradnl"/>
        </w:rPr>
        <w:t xml:space="preserve"> de que los sistemas coherentes de prácticas de gestión humana, más que la adopción aislada de mejores prácticas, son los que tienen mayor impacto en el desempeño en manufactura. Por último, este trabajo discute las implicaciones teóricas para la investigación configuracional en gestión estratégica de los recursos humanos y las implicaciones prácticas para empresas manufactureras en economías emergentes.</w:t>
      </w:r>
    </w:p>
    <w:p w14:paraId="5E8964C0" w14:textId="77777777" w:rsidR="0018620C" w:rsidRDefault="0018620C" w:rsidP="00813E7B">
      <w:pPr>
        <w:pStyle w:val="PrrAPA"/>
        <w:rPr>
          <w:i/>
          <w:lang w:eastAsia="es-ES_tradnl"/>
        </w:rPr>
      </w:pPr>
    </w:p>
    <w:p w14:paraId="22B3C209" w14:textId="103BBB34" w:rsidR="00667840" w:rsidRPr="00F12C0C" w:rsidRDefault="00F12C0C" w:rsidP="00813E7B">
      <w:pPr>
        <w:pStyle w:val="PrrAPA"/>
        <w:rPr>
          <w:lang w:eastAsia="es-ES_tradnl"/>
        </w:rPr>
      </w:pPr>
      <w:r w:rsidRPr="00E1329D">
        <w:rPr>
          <w:i/>
          <w:lang w:eastAsia="es-ES_tradnl"/>
        </w:rPr>
        <w:t xml:space="preserve">Palabras clave: </w:t>
      </w:r>
      <w:r w:rsidRPr="00E1329D">
        <w:rPr>
          <w:lang w:eastAsia="es-ES_tradnl"/>
        </w:rPr>
        <w:t>sistemas de prácticas de gestión humana, teorización configuracional, sistemas de trabajo de alto desempeño, desempeño en manufactura.</w:t>
      </w:r>
    </w:p>
    <w:p w14:paraId="6527AA1C" w14:textId="77777777" w:rsidR="00667840" w:rsidRDefault="00667840" w:rsidP="00667840">
      <w:pPr>
        <w:rPr>
          <w:b/>
          <w:szCs w:val="24"/>
        </w:rPr>
      </w:pPr>
    </w:p>
    <w:p w14:paraId="5C82BA8A" w14:textId="77777777" w:rsidR="00667840" w:rsidRPr="004153B4" w:rsidRDefault="00667840" w:rsidP="003B1E14">
      <w:pPr>
        <w:pStyle w:val="Ttulo1"/>
        <w:rPr>
          <w:lang w:val="en-US"/>
        </w:rPr>
      </w:pPr>
      <w:r w:rsidRPr="004153B4">
        <w:rPr>
          <w:lang w:val="en-US"/>
        </w:rPr>
        <w:t>Abstract</w:t>
      </w:r>
    </w:p>
    <w:p w14:paraId="1E3B1D7F" w14:textId="77777777" w:rsidR="00667840" w:rsidRPr="004153B4" w:rsidRDefault="00667840" w:rsidP="00667840">
      <w:pPr>
        <w:ind w:firstLine="708"/>
        <w:rPr>
          <w:szCs w:val="24"/>
          <w:lang w:val="en-US"/>
        </w:rPr>
      </w:pPr>
    </w:p>
    <w:p w14:paraId="3035C707" w14:textId="77777777" w:rsidR="004153B4" w:rsidRPr="004153B4" w:rsidRDefault="004153B4" w:rsidP="004153B4">
      <w:pPr>
        <w:pStyle w:val="PrrAPA"/>
        <w:rPr>
          <w:lang w:val="en-US" w:eastAsia="es-ES_tradnl"/>
        </w:rPr>
      </w:pPr>
      <w:r w:rsidRPr="004153B4">
        <w:rPr>
          <w:lang w:val="en-US" w:eastAsia="es-ES_tradnl"/>
        </w:rPr>
        <w:t xml:space="preserve">This study examines the comparative effect of two human resource management system configurations on manufacturing performance in a metalworking company located in the department of Caldas, Colombia. Drawing on the “bundles” logic of human resource practices and the Resource-Based View of the Firm, a quasi-experimental field experiment was conducted with two groups of workers performing the same manufacturing processes. One group was managed through a universalistic “best human resource practices” system, while the other was managed through a configurational bundle of </w:t>
      </w:r>
      <w:proofErr w:type="gramStart"/>
      <w:r w:rsidRPr="004153B4">
        <w:rPr>
          <w:lang w:val="en-US" w:eastAsia="es-ES_tradnl"/>
        </w:rPr>
        <w:t>High Performance</w:t>
      </w:r>
      <w:proofErr w:type="gramEnd"/>
      <w:r w:rsidRPr="004153B4">
        <w:rPr>
          <w:lang w:val="en-US" w:eastAsia="es-ES_tradnl"/>
        </w:rPr>
        <w:t xml:space="preserve"> Work Systems (HPWS). After a three-month redesign period and six months of implementation, individual-level manufacturing </w:t>
      </w:r>
      <w:r w:rsidRPr="004153B4">
        <w:rPr>
          <w:lang w:val="en-US" w:eastAsia="es-ES_tradnl"/>
        </w:rPr>
        <w:lastRenderedPageBreak/>
        <w:t xml:space="preserve">performance was assessed using a composite index of productivity, quality, and cost. The results indicate significant improvements in both groups. However, the increases were </w:t>
      </w:r>
      <w:r w:rsidRPr="004153B4">
        <w:rPr>
          <w:lang w:val="en-US"/>
        </w:rPr>
        <w:t>markedly</w:t>
      </w:r>
      <w:r w:rsidRPr="004153B4">
        <w:rPr>
          <w:lang w:val="en-US" w:eastAsia="es-ES_tradnl"/>
        </w:rPr>
        <w:t xml:space="preserve"> greater in the group managed through HPWS. This finding supports the argument that coherent systems of human resource management practices, rather than the isolated adoption of best practices, exert a stronger impact on manufacturing performance. Finally, the study discusses the theoretical implications for configurational research in strategic human resource management and the practical implications for manufacturing firms in emerging economies.</w:t>
      </w:r>
    </w:p>
    <w:p w14:paraId="4A06AB15" w14:textId="77777777" w:rsidR="0018620C" w:rsidRDefault="0018620C" w:rsidP="004153B4">
      <w:pPr>
        <w:pStyle w:val="PrrAPA"/>
        <w:rPr>
          <w:rFonts w:eastAsia="Times New Roman" w:cs="Times New Roman"/>
          <w:i/>
          <w:lang w:val="en-US" w:eastAsia="es-ES_tradnl"/>
        </w:rPr>
      </w:pPr>
    </w:p>
    <w:p w14:paraId="5CE7510D" w14:textId="1D7FC71F" w:rsidR="00667840" w:rsidRPr="004153B4" w:rsidRDefault="004153B4" w:rsidP="004153B4">
      <w:pPr>
        <w:pStyle w:val="PrrAPA"/>
        <w:rPr>
          <w:lang w:val="en-US"/>
        </w:rPr>
      </w:pPr>
      <w:r w:rsidRPr="004153B4">
        <w:rPr>
          <w:rFonts w:eastAsia="Times New Roman" w:cs="Times New Roman"/>
          <w:i/>
          <w:lang w:val="en-US" w:eastAsia="es-ES_tradnl"/>
        </w:rPr>
        <w:t>Keywords:</w:t>
      </w:r>
      <w:r w:rsidRPr="004153B4">
        <w:rPr>
          <w:rFonts w:eastAsia="Times New Roman" w:cs="Times New Roman"/>
          <w:lang w:val="en-US" w:eastAsia="es-ES_tradnl"/>
        </w:rPr>
        <w:t xml:space="preserve"> human resource management practice systems, configurational theorizing, high-performance work systems, manufacturing performance.</w:t>
      </w:r>
    </w:p>
    <w:p w14:paraId="311D373D" w14:textId="77777777" w:rsidR="00667840" w:rsidRPr="004153B4" w:rsidRDefault="00667840" w:rsidP="00667840">
      <w:pPr>
        <w:ind w:firstLine="708"/>
        <w:rPr>
          <w:szCs w:val="24"/>
          <w:lang w:val="en-US"/>
        </w:rPr>
      </w:pPr>
    </w:p>
    <w:p w14:paraId="09DD2215" w14:textId="35381B2C" w:rsidR="00667840" w:rsidRPr="00285913" w:rsidRDefault="00A85C31" w:rsidP="00A85C31">
      <w:pPr>
        <w:pStyle w:val="Ttulo1"/>
      </w:pPr>
      <w:bookmarkStart w:id="7" w:name="_Toc437858002"/>
      <w:bookmarkStart w:id="8" w:name="_Toc437858423"/>
      <w:bookmarkStart w:id="9" w:name="_Toc440985125"/>
      <w:r>
        <w:t xml:space="preserve">1 </w:t>
      </w:r>
      <w:proofErr w:type="gramStart"/>
      <w:r w:rsidR="00667840" w:rsidRPr="00285913">
        <w:t>Introducción</w:t>
      </w:r>
      <w:bookmarkEnd w:id="7"/>
      <w:bookmarkEnd w:id="8"/>
      <w:bookmarkEnd w:id="9"/>
      <w:proofErr w:type="gramEnd"/>
    </w:p>
    <w:p w14:paraId="03713894" w14:textId="77777777" w:rsidR="00667840" w:rsidRDefault="00667840" w:rsidP="00667840">
      <w:pPr>
        <w:ind w:firstLine="708"/>
        <w:rPr>
          <w:rFonts w:cs="Times New Roman"/>
          <w:szCs w:val="24"/>
        </w:rPr>
      </w:pPr>
    </w:p>
    <w:p w14:paraId="63B34E54" w14:textId="77777777" w:rsidR="004153B4" w:rsidRPr="00E1329D" w:rsidRDefault="004153B4" w:rsidP="004153B4">
      <w:pPr>
        <w:pStyle w:val="PrrAPA"/>
        <w:rPr>
          <w:lang w:eastAsia="es-ES_tradnl"/>
        </w:rPr>
      </w:pPr>
      <w:r w:rsidRPr="00E1329D">
        <w:rPr>
          <w:lang w:eastAsia="es-ES_tradnl"/>
        </w:rPr>
        <w:t xml:space="preserve">La relación entre los sistemas de gestión humana y el desempeño organizacional ha sido una de las líneas de investigación más prolíficas en la literatura de gestión de recursos humanos y estrategia en los últimos treinta años (Li &amp; Rasiah, 2025). La </w:t>
      </w:r>
      <w:r>
        <w:rPr>
          <w:lang w:eastAsia="es-ES_tradnl"/>
        </w:rPr>
        <w:t>V</w:t>
      </w:r>
      <w:r w:rsidRPr="00E1329D">
        <w:rPr>
          <w:lang w:eastAsia="es-ES_tradnl"/>
        </w:rPr>
        <w:t>isión</w:t>
      </w:r>
      <w:r>
        <w:rPr>
          <w:lang w:eastAsia="es-ES_tradnl"/>
        </w:rPr>
        <w:t xml:space="preserve"> de la Firma</w:t>
      </w:r>
      <w:r w:rsidRPr="00E1329D">
        <w:rPr>
          <w:lang w:eastAsia="es-ES_tradnl"/>
        </w:rPr>
        <w:t xml:space="preserve"> basada en </w:t>
      </w:r>
      <w:r>
        <w:rPr>
          <w:lang w:eastAsia="es-ES_tradnl"/>
        </w:rPr>
        <w:t>R</w:t>
      </w:r>
      <w:r w:rsidRPr="00E1329D">
        <w:rPr>
          <w:lang w:eastAsia="es-ES_tradnl"/>
        </w:rPr>
        <w:t>ecursos (RBV) abrió la puerta a entender el recurso humano como un activo estratégico, valioso, escaso, difícil de imitar y de sustituir, capaz de sostener ventajas competitivas en el tiempo (Barney, 1991, 2001; Wright et al., 2001).</w:t>
      </w:r>
      <w:r w:rsidRPr="00E1329D">
        <w:t xml:space="preserve"> </w:t>
      </w:r>
      <w:r w:rsidRPr="00E1329D">
        <w:rPr>
          <w:lang w:eastAsia="es-ES_tradnl"/>
        </w:rPr>
        <w:t xml:space="preserve"> Sin embargo, una p</w:t>
      </w:r>
      <w:r>
        <w:rPr>
          <w:lang w:eastAsia="es-ES_tradnl"/>
        </w:rPr>
        <w:t>roporción</w:t>
      </w:r>
      <w:r w:rsidRPr="00E1329D">
        <w:rPr>
          <w:lang w:eastAsia="es-ES_tradnl"/>
        </w:rPr>
        <w:t xml:space="preserve"> importante de la investigación empírica se ha desarrollado bajo un enfoque marcadamente universalista (Osorio-Londoño et al., 202</w:t>
      </w:r>
      <w:r>
        <w:rPr>
          <w:lang w:eastAsia="es-ES_tradnl"/>
        </w:rPr>
        <w:t>5</w:t>
      </w:r>
      <w:r w:rsidRPr="00E1329D">
        <w:rPr>
          <w:lang w:eastAsia="es-ES_tradnl"/>
        </w:rPr>
        <w:t xml:space="preserve">). Esto implica que se asume la existencia </w:t>
      </w:r>
      <w:r>
        <w:rPr>
          <w:lang w:eastAsia="es-ES_tradnl"/>
        </w:rPr>
        <w:t xml:space="preserve">de </w:t>
      </w:r>
      <w:r w:rsidRPr="00E1329D">
        <w:rPr>
          <w:lang w:eastAsia="es-ES_tradnl"/>
        </w:rPr>
        <w:t xml:space="preserve">un conjunto de mejores prácticas de gestión humana que, cuando son implementadas, mejoran el desempeño casi con independencia del contexto, la estrategia o la configuración del sistema de producción (Becker &amp; </w:t>
      </w:r>
      <w:proofErr w:type="spellStart"/>
      <w:r w:rsidRPr="00E1329D">
        <w:rPr>
          <w:lang w:eastAsia="es-ES_tradnl"/>
        </w:rPr>
        <w:t>Huselid</w:t>
      </w:r>
      <w:proofErr w:type="spellEnd"/>
      <w:r w:rsidRPr="00E1329D">
        <w:rPr>
          <w:lang w:eastAsia="es-ES_tradnl"/>
        </w:rPr>
        <w:t xml:space="preserve">, 1998; Combs et al., 2006; </w:t>
      </w:r>
      <w:proofErr w:type="spellStart"/>
      <w:r w:rsidRPr="00E1329D">
        <w:rPr>
          <w:lang w:eastAsia="es-ES_tradnl"/>
        </w:rPr>
        <w:t>Huselid</w:t>
      </w:r>
      <w:proofErr w:type="spellEnd"/>
      <w:r w:rsidRPr="00E1329D">
        <w:rPr>
          <w:lang w:eastAsia="es-ES_tradnl"/>
        </w:rPr>
        <w:t xml:space="preserve">, 1995). Estudios recientes sintetizan </w:t>
      </w:r>
      <w:r>
        <w:rPr>
          <w:lang w:eastAsia="es-ES_tradnl"/>
        </w:rPr>
        <w:t>un número importante</w:t>
      </w:r>
      <w:r w:rsidRPr="00E1329D">
        <w:rPr>
          <w:lang w:eastAsia="es-ES_tradnl"/>
        </w:rPr>
        <w:t xml:space="preserve"> de trabajos sobre sistemas de recursos humanos y ratifican que la mayoría se centra en listas de prácticas y modelos estáticos, mientras una fracción mucho menor explora configuraciones internas de los sistemas, su dinámica temporal y sus mecanismos causales (Georgiadis &amp; </w:t>
      </w:r>
      <w:proofErr w:type="spellStart"/>
      <w:r w:rsidRPr="00E1329D">
        <w:rPr>
          <w:lang w:eastAsia="es-ES_tradnl"/>
        </w:rPr>
        <w:t>Kornelakis</w:t>
      </w:r>
      <w:proofErr w:type="spellEnd"/>
      <w:r w:rsidRPr="00E1329D">
        <w:rPr>
          <w:lang w:eastAsia="es-ES_tradnl"/>
        </w:rPr>
        <w:t xml:space="preserve">, 2025; </w:t>
      </w:r>
      <w:proofErr w:type="spellStart"/>
      <w:r w:rsidRPr="00E1329D">
        <w:rPr>
          <w:lang w:eastAsia="es-ES_tradnl"/>
        </w:rPr>
        <w:t>Jiang</w:t>
      </w:r>
      <w:proofErr w:type="spellEnd"/>
      <w:r w:rsidRPr="00E1329D">
        <w:rPr>
          <w:lang w:eastAsia="es-ES_tradnl"/>
        </w:rPr>
        <w:t xml:space="preserve"> et al., 2012; </w:t>
      </w:r>
      <w:proofErr w:type="spellStart"/>
      <w:r w:rsidRPr="00E1329D">
        <w:rPr>
          <w:lang w:eastAsia="es-ES_tradnl"/>
        </w:rPr>
        <w:t>Jiang</w:t>
      </w:r>
      <w:proofErr w:type="spellEnd"/>
      <w:r w:rsidRPr="00E1329D">
        <w:rPr>
          <w:lang w:eastAsia="es-ES_tradnl"/>
        </w:rPr>
        <w:t xml:space="preserve"> &amp; Messersmith, 2018).</w:t>
      </w:r>
    </w:p>
    <w:p w14:paraId="70D0D15E" w14:textId="77777777" w:rsidR="004153B4" w:rsidRPr="00E1329D" w:rsidRDefault="004153B4" w:rsidP="004153B4">
      <w:pPr>
        <w:pStyle w:val="PrrAPA"/>
        <w:rPr>
          <w:lang w:eastAsia="es-ES_tradnl"/>
        </w:rPr>
      </w:pPr>
      <w:r w:rsidRPr="00E1329D">
        <w:rPr>
          <w:lang w:eastAsia="es-ES_tradnl"/>
        </w:rPr>
        <w:t xml:space="preserve">Esta orientación universalista contrasta con los planteamientos configuracionales de autores como Delery y Doty (1996), Lepak y Snell (1999) o MacDuffie (1995), quienes subrayan que lo relevante no son las prácticas aisladas sino los sistemas coherentes de trabajo de alto desempeño </w:t>
      </w:r>
      <w:r w:rsidRPr="00E1329D">
        <w:rPr>
          <w:lang w:eastAsia="es-ES_tradnl"/>
        </w:rPr>
        <w:lastRenderedPageBreak/>
        <w:t xml:space="preserve">(HPWS). Estos corresponden a conjuntos sinérgicos de prácticas de selección, formación, participación, compensación, diseño del trabajo, entre otros, que se refuerzan mutuamente y se ajustan a la lógica productiva de la empresa (MacDuffie, 1995). </w:t>
      </w:r>
    </w:p>
    <w:p w14:paraId="15FCEFB9" w14:textId="77777777" w:rsidR="004153B4" w:rsidRPr="00E1329D" w:rsidRDefault="004153B4" w:rsidP="004153B4">
      <w:pPr>
        <w:pStyle w:val="PrrAPA"/>
        <w:rPr>
          <w:lang w:eastAsia="es-ES_tradnl"/>
        </w:rPr>
      </w:pPr>
      <w:r w:rsidRPr="00E1329D">
        <w:rPr>
          <w:lang w:eastAsia="es-ES_tradnl"/>
        </w:rPr>
        <w:t xml:space="preserve">En particular, el metaanálisis realizado por </w:t>
      </w:r>
      <w:proofErr w:type="spellStart"/>
      <w:r w:rsidRPr="00E1329D">
        <w:rPr>
          <w:lang w:eastAsia="es-ES_tradnl"/>
        </w:rPr>
        <w:t>Jiang</w:t>
      </w:r>
      <w:proofErr w:type="spellEnd"/>
      <w:r w:rsidRPr="00E1329D">
        <w:rPr>
          <w:lang w:eastAsia="es-ES_tradnl"/>
        </w:rPr>
        <w:t xml:space="preserve"> y Messersmith (2018) muestra que los enfoques configuracionales siguen siendo minoritarios, aunque conceptualmente son los más consistentes con la RBV y con las teorías contemporáneas de recursos de capital humano. Recientemente, trabajos como el de Georgiadis y </w:t>
      </w:r>
      <w:proofErr w:type="spellStart"/>
      <w:r w:rsidRPr="00E1329D">
        <w:rPr>
          <w:lang w:eastAsia="es-ES_tradnl"/>
        </w:rPr>
        <w:t>Kornelakis</w:t>
      </w:r>
      <w:proofErr w:type="spellEnd"/>
      <w:r w:rsidRPr="00E1329D">
        <w:rPr>
          <w:lang w:eastAsia="es-ES_tradnl"/>
        </w:rPr>
        <w:t xml:space="preserve"> (2025) retoman la idea de </w:t>
      </w:r>
      <w:proofErr w:type="spellStart"/>
      <w:r w:rsidRPr="00E1329D">
        <w:rPr>
          <w:i/>
          <w:lang w:eastAsia="es-ES_tradnl"/>
        </w:rPr>
        <w:t>bundles</w:t>
      </w:r>
      <w:proofErr w:type="spellEnd"/>
      <w:r w:rsidRPr="00E1329D">
        <w:rPr>
          <w:i/>
          <w:lang w:eastAsia="es-ES_tradnl"/>
        </w:rPr>
        <w:t xml:space="preserve"> </w:t>
      </w:r>
      <w:r w:rsidRPr="00E1329D">
        <w:rPr>
          <w:lang w:eastAsia="es-ES_tradnl"/>
        </w:rPr>
        <w:t>(sistemas de prácticas de gestión humana alineadas</w:t>
      </w:r>
      <w:r>
        <w:rPr>
          <w:lang w:eastAsia="es-ES_tradnl"/>
        </w:rPr>
        <w:t xml:space="preserve"> para enfocarse en el tipo de desempeño individual que le interesa a la empresa</w:t>
      </w:r>
      <w:r w:rsidRPr="00E1329D">
        <w:rPr>
          <w:lang w:eastAsia="es-ES_tradnl"/>
        </w:rPr>
        <w:t>) y la conectan con una visión dinámica de los recursos de capital humano, evidenciando que cambios en los conjuntos de prácticas de gestión humana generan mejoras del desempeño organizacional tanto en el mediano como en el largo plazo.</w:t>
      </w:r>
    </w:p>
    <w:p w14:paraId="23854754" w14:textId="77777777" w:rsidR="004153B4" w:rsidRPr="00E1329D" w:rsidRDefault="004153B4" w:rsidP="004153B4">
      <w:pPr>
        <w:pStyle w:val="PrrAPA"/>
        <w:rPr>
          <w:lang w:eastAsia="es-ES_tradnl"/>
        </w:rPr>
      </w:pPr>
      <w:r w:rsidRPr="00E1329D">
        <w:rPr>
          <w:lang w:eastAsia="es-ES_tradnl"/>
        </w:rPr>
        <w:t xml:space="preserve">Desde una perspectiva práctica, la necesidad de avanzar hacia configuraciones coherentes de gestión humana es particularmente apremiante en el sector manufacturero, en el que los esfuerzos de eficiencia productiva se han centrado tradicionalmente en la tecnología, la ingeniería de procesos o la logística, mientras la gestión humana se mantiene anclada en modelos administrativos de baja participación de los recursos humanos (Appelbaum et al., 2000; Boxall &amp; Purcell, 2016). En países como Colombia, una parte importante de la manufactura metalmecánica sigue dependiendo de destrezas artesanales, operaciones manuales y conocimiento tácito en planta. En este contexto defensor, en el sentido de Miles y Snow (1978), la ventaja competitiva proviene de la combinación de altos estándares de calidad con control estricto de costos, lo que vuelve central el desempeño humano en variables como productividad por hora trabajada, porcentaje de piezas conformes, tasa de retrabajos y desperdicio de materia prima. Fuentes recientes sobre indicadores de desempeño en manufactura destacan precisamente estas métricas como fundamentales para la competitividad </w:t>
      </w:r>
      <w:r w:rsidRPr="00E1329D">
        <w:rPr>
          <w:color w:val="000000" w:themeColor="text1"/>
          <w:lang w:eastAsia="es-ES_tradnl"/>
        </w:rPr>
        <w:t xml:space="preserve">en industrias metalúrgicas y metalmecánicas (Budiono et al., 2021). Pese a ello, la literatura de </w:t>
      </w:r>
      <w:r w:rsidRPr="00E1329D">
        <w:rPr>
          <w:lang w:eastAsia="es-ES_tradnl"/>
        </w:rPr>
        <w:t>gestión humana en Colombia y América Latina ha prestado poca atención a los sistemas de trabajo de alto desempeño desde una lógica configuracional.  Predominan estudios descriptivos de prácticas aisladas, enfoques legalistas o análisis universalistas desconectados de la arquitectura productiva</w:t>
      </w:r>
      <w:r>
        <w:rPr>
          <w:lang w:eastAsia="es-ES_tradnl"/>
        </w:rPr>
        <w:t xml:space="preserve"> (Osorio-Londoño et al., 2020)</w:t>
      </w:r>
      <w:r w:rsidRPr="00E1329D">
        <w:rPr>
          <w:lang w:eastAsia="es-ES_tradnl"/>
        </w:rPr>
        <w:t>.</w:t>
      </w:r>
    </w:p>
    <w:p w14:paraId="1F90D956" w14:textId="4B0E210E" w:rsidR="00667840" w:rsidRDefault="004153B4" w:rsidP="004153B4">
      <w:pPr>
        <w:pStyle w:val="PrrAPA"/>
      </w:pPr>
      <w:r w:rsidRPr="00E1329D">
        <w:rPr>
          <w:lang w:eastAsia="es-ES_tradnl"/>
        </w:rPr>
        <w:t xml:space="preserve">El objetivo de este estudio es evaluar el efecto comparado de dos configuraciones de sistemas de gestión humana (un sistema universalista de “mejores prácticas” y un sistema configuracional basado en HPWS tipo </w:t>
      </w:r>
      <w:proofErr w:type="spellStart"/>
      <w:r w:rsidRPr="00E1329D">
        <w:rPr>
          <w:i/>
          <w:lang w:eastAsia="es-ES_tradnl"/>
        </w:rPr>
        <w:t>bundle</w:t>
      </w:r>
      <w:proofErr w:type="spellEnd"/>
      <w:r w:rsidRPr="00E1329D">
        <w:rPr>
          <w:lang w:eastAsia="es-ES_tradnl"/>
        </w:rPr>
        <w:t xml:space="preserve">) en el desempeño en manufactura en una empresa </w:t>
      </w:r>
      <w:r w:rsidRPr="00E1329D">
        <w:rPr>
          <w:lang w:eastAsia="es-ES_tradnl"/>
        </w:rPr>
        <w:lastRenderedPageBreak/>
        <w:t xml:space="preserve">metalmecánica de Caldas, Colombia. Se propone un diseño cuasiexperimental en el que dos grupos de trabajadores, que realizan los mismos procesos, son gestionados bajo sistemas distintos durante seis meses y se compara la evolución de su desempeño individual. Con base en esto, se busca contribuir con la literatura previa desde diversas perspectivas. Primero, se ofrece evidencia empírica de corte configuracional de la gestión estratégica de los recursos humanos en un contexto manufacturero latinoamericano, en el que los estudios sobre coherencia de sistemas de gestión humana son escasos. Segundo, se articula el enfoque de HPWS con la RBV y con la lógica de estrategias defensoras, mostrando cómo los </w:t>
      </w:r>
      <w:proofErr w:type="spellStart"/>
      <w:r w:rsidRPr="00E1329D">
        <w:rPr>
          <w:i/>
          <w:lang w:eastAsia="es-ES_tradnl"/>
        </w:rPr>
        <w:t>bundles</w:t>
      </w:r>
      <w:proofErr w:type="spellEnd"/>
      <w:r w:rsidRPr="00E1329D">
        <w:rPr>
          <w:lang w:eastAsia="es-ES_tradnl"/>
        </w:rPr>
        <w:t xml:space="preserve"> diseñados para la calidad y el costo pueden mejorar el desempeño en manufactura. Por último, se generan implicaciones prácticas para la transformación de sistemas tradicionales de recursos humanos en empresas metalmecánicas que enfrentan retos de productividad y competitividad internacional.</w:t>
      </w:r>
    </w:p>
    <w:p w14:paraId="73E0B280" w14:textId="3EC6F303" w:rsidR="4388483D" w:rsidRDefault="4388483D" w:rsidP="4388483D">
      <w:pPr>
        <w:rPr>
          <w:rFonts w:cs="Times New Roman"/>
        </w:rPr>
      </w:pPr>
    </w:p>
    <w:p w14:paraId="5D6BB84E" w14:textId="01471978" w:rsidR="0069209A" w:rsidRDefault="00A85C31" w:rsidP="008B5848">
      <w:pPr>
        <w:pStyle w:val="Ttulo1"/>
      </w:pPr>
      <w:r>
        <w:t>2</w:t>
      </w:r>
      <w:r w:rsidR="00F646D2">
        <w:t xml:space="preserve"> </w:t>
      </w:r>
      <w:proofErr w:type="gramStart"/>
      <w:r>
        <w:t>Metodología</w:t>
      </w:r>
      <w:proofErr w:type="gramEnd"/>
      <w:r w:rsidR="00130F60">
        <w:t xml:space="preserve"> </w:t>
      </w:r>
    </w:p>
    <w:p w14:paraId="0776454D" w14:textId="77777777" w:rsidR="00E170DA" w:rsidRDefault="00E170DA" w:rsidP="00714638">
      <w:pPr>
        <w:ind w:firstLine="708"/>
        <w:jc w:val="center"/>
        <w:rPr>
          <w:rFonts w:cs="Times New Roman"/>
          <w:b/>
          <w:szCs w:val="24"/>
        </w:rPr>
      </w:pPr>
    </w:p>
    <w:p w14:paraId="065DBC9B" w14:textId="4111F904" w:rsidR="00F646D2" w:rsidRPr="00E170DA" w:rsidRDefault="00A85C31" w:rsidP="00DE6D01">
      <w:pPr>
        <w:pStyle w:val="Ttulo2"/>
      </w:pPr>
      <w:bookmarkStart w:id="10" w:name="_Toc440985133"/>
      <w:r>
        <w:t>2</w:t>
      </w:r>
      <w:r w:rsidR="00F646D2" w:rsidRPr="00E170DA">
        <w:t xml:space="preserve">.1 </w:t>
      </w:r>
      <w:bookmarkEnd w:id="10"/>
      <w:r w:rsidR="00C64369" w:rsidRPr="00E1329D">
        <w:rPr>
          <w:lang w:eastAsia="es-ES_tradnl"/>
        </w:rPr>
        <w:t>Contexto organizacional</w:t>
      </w:r>
    </w:p>
    <w:p w14:paraId="5519409A" w14:textId="77777777" w:rsidR="00F646D2" w:rsidRDefault="00F646D2" w:rsidP="00F646D2">
      <w:pPr>
        <w:rPr>
          <w:rFonts w:cs="Times New Roman"/>
          <w:b/>
          <w:szCs w:val="24"/>
        </w:rPr>
      </w:pPr>
    </w:p>
    <w:p w14:paraId="44D039EC" w14:textId="3281A994" w:rsidR="00F646D2" w:rsidRPr="00C64369" w:rsidRDefault="00C64369" w:rsidP="00C64369">
      <w:pPr>
        <w:pStyle w:val="PrrAPA"/>
      </w:pPr>
      <w:r w:rsidRPr="00C64369">
        <w:t>Este estudio se llevó a cabo en una empresa metalmecánica ubicada en el departamento de Caldas, Colombia, dedicada a la fabricación de herramientas y componentes metálicos para el mercado nacional e internacional. La empresa sigue una estrategia competitiva defensora en el sentido de Miles y Snow (1978), con énfasis en la eficiencia de costos y en estándares estrictos de calidad del producto. La planta combina procesos de forja, mecanizado y tratamientos térmicos, con un alto componente de trabajo manual especializado. Actualmente, la organización enfrenta retos persistentes de productividad, desperdicio de material y cumplimiento de tiempos de entrega. En los últimos años, logró reducir de forma importante la tasa de rotación de personal en sus procesos de manufactura. Estos aspectos justifican la realización de este estudio en la empresa señalada.</w:t>
      </w:r>
    </w:p>
    <w:p w14:paraId="034AF4BF" w14:textId="77777777" w:rsidR="00F646D2" w:rsidRDefault="00F646D2" w:rsidP="00F646D2">
      <w:pPr>
        <w:rPr>
          <w:rFonts w:cs="Times New Roman"/>
          <w:b/>
          <w:szCs w:val="24"/>
        </w:rPr>
      </w:pPr>
    </w:p>
    <w:p w14:paraId="36BA2028" w14:textId="2E01E835" w:rsidR="009135B4" w:rsidRDefault="009135B4" w:rsidP="00DE6D01">
      <w:pPr>
        <w:pStyle w:val="Ttulo2"/>
      </w:pPr>
      <w:r>
        <w:rPr>
          <w:rFonts w:eastAsia="Times New Roman" w:cs="Times New Roman"/>
          <w:bCs/>
          <w:lang w:eastAsia="es-ES_tradnl"/>
        </w:rPr>
        <w:t>2</w:t>
      </w:r>
      <w:r w:rsidRPr="009135B4">
        <w:t>.2 Diseño metodológico</w:t>
      </w:r>
    </w:p>
    <w:p w14:paraId="6DE52E8D" w14:textId="77777777" w:rsidR="0018620C" w:rsidRPr="0018620C" w:rsidRDefault="0018620C" w:rsidP="0018620C"/>
    <w:p w14:paraId="0A2B8F02" w14:textId="77777777" w:rsidR="009135B4" w:rsidRPr="00E1329D" w:rsidRDefault="009135B4" w:rsidP="009135B4">
      <w:pPr>
        <w:pStyle w:val="PrrAPA"/>
        <w:rPr>
          <w:b/>
          <w:bCs/>
          <w:lang w:eastAsia="es-ES_tradnl"/>
        </w:rPr>
      </w:pPr>
      <w:r w:rsidRPr="00E1329D">
        <w:rPr>
          <w:lang w:eastAsia="es-ES_tradnl"/>
        </w:rPr>
        <w:t xml:space="preserve">Esta investigación empleó un diseño cuasi–experimental (revisión de efectos de intervención) de tipo pretest–postest con grupo de comparación no equivalente. Es decir, se seleccionaron dos grupos de manufactura que realizan los mismos procedimientos, utilizan </w:t>
      </w:r>
      <w:r w:rsidRPr="00E1329D">
        <w:rPr>
          <w:lang w:eastAsia="es-ES_tradnl"/>
        </w:rPr>
        <w:lastRenderedPageBreak/>
        <w:t>tecnologías similares y presentan niveles comparables de desempeño histórico. El Grupo U (denominado universalista) estuvo conformado por 43 empleados y el Grupo B (</w:t>
      </w:r>
      <w:proofErr w:type="spellStart"/>
      <w:r w:rsidRPr="00E1329D">
        <w:rPr>
          <w:i/>
          <w:lang w:eastAsia="es-ES_tradnl"/>
        </w:rPr>
        <w:t>bundle</w:t>
      </w:r>
      <w:proofErr w:type="spellEnd"/>
      <w:r w:rsidRPr="00E1329D">
        <w:rPr>
          <w:lang w:eastAsia="es-ES_tradnl"/>
        </w:rPr>
        <w:t>) por 42 empleados. Los grupos se conformaron a partir de dos líneas de producción con procesos equivalentes y niveles históricos similares de IDMI, definidas por conveniencia organizacional. No fue posible la asignación aleatoria de los empleados.</w:t>
      </w:r>
    </w:p>
    <w:p w14:paraId="3DAEF5DF" w14:textId="441A069C" w:rsidR="009135B4" w:rsidRDefault="009135B4" w:rsidP="009135B4">
      <w:pPr>
        <w:pStyle w:val="PrrAPA"/>
        <w:rPr>
          <w:lang w:eastAsia="es-ES_tradnl"/>
        </w:rPr>
      </w:pPr>
      <w:r w:rsidRPr="00E1329D">
        <w:rPr>
          <w:lang w:eastAsia="es-ES_tradnl"/>
        </w:rPr>
        <w:t>La intervención constó de dos fases: (1)</w:t>
      </w:r>
      <w:r w:rsidRPr="00E1329D">
        <w:rPr>
          <w:b/>
          <w:bCs/>
          <w:lang w:eastAsia="es-ES_tradnl"/>
        </w:rPr>
        <w:t xml:space="preserve"> </w:t>
      </w:r>
      <w:r w:rsidRPr="00E1329D">
        <w:rPr>
          <w:lang w:eastAsia="es-ES_tradnl"/>
        </w:rPr>
        <w:t xml:space="preserve">rediseño de sistemas de gestión humana (duración: 3 meses): para el Grupo U se definió un conjunto de mejores prácticas de gestión humana, basadas en la literatura universalista (Delery &amp; Doty, 1996). Estas fueron: reclutamiento y selección por competencias, inducción formal, programa básico de capacitación técnica, evaluación semanal y mensual del desempeño individual y bono monetario vinculado a cumplimiento de metas individuales de producción (mensual y semestral). Para el Grupo B se diseñó un HPWS configuracional alineado con la lógica de producción por células y altamente colaborativo. El </w:t>
      </w:r>
      <w:proofErr w:type="spellStart"/>
      <w:r w:rsidRPr="00E1329D">
        <w:rPr>
          <w:i/>
          <w:lang w:eastAsia="es-ES_tradnl"/>
        </w:rPr>
        <w:t>bundle</w:t>
      </w:r>
      <w:proofErr w:type="spellEnd"/>
      <w:r w:rsidRPr="00E1329D">
        <w:rPr>
          <w:lang w:eastAsia="es-ES_tradnl"/>
        </w:rPr>
        <w:t xml:space="preserve"> incluyó: reclutamiento y selección por competencias técnicas y de trabajo en equipo; formación intensiva en técnicas de mejora continua y solución de problemas en equipo; rediseño del trabajo en células autónomas con rotación de puestos; reuniones diarias de equipo para análisis de indicadores; sistema de sugerencias; evaluación del desempeño basada en indicadores de equipo (productividad, calidad, retrabajos); y un esquema de incentivos mixtos (bono por desempeño de equipo y reconocimiento simbólico: mensual y semestral). (2) Implementación de ambos sistemas (6 meses): durante este periodo se aplicaron los sistemas de gestión humana diseñados para cada grupo, asegurando que los empleados no rotaran entre grupos y que las condiciones tecnológicas de producción permanecieran estables. Se realizaron sesiones de comunicación y acompañamiento para minimizar la resistencia al cambio.</w:t>
      </w:r>
    </w:p>
    <w:p w14:paraId="3884DC8B" w14:textId="77777777" w:rsidR="009135B4" w:rsidRDefault="009135B4" w:rsidP="009135B4">
      <w:pPr>
        <w:pStyle w:val="PrrAPA"/>
        <w:ind w:firstLine="0"/>
        <w:rPr>
          <w:lang w:eastAsia="es-ES_tradnl"/>
        </w:rPr>
      </w:pPr>
    </w:p>
    <w:p w14:paraId="06B55205" w14:textId="75182CF4" w:rsidR="003A1F59" w:rsidRPr="0018620C" w:rsidRDefault="003A1F59" w:rsidP="0018620C">
      <w:pPr>
        <w:pStyle w:val="Ttulo2"/>
      </w:pPr>
      <w:r w:rsidRPr="0018620C">
        <w:t>2.3 Procedimiento de obtención de datos</w:t>
      </w:r>
    </w:p>
    <w:p w14:paraId="751BDF98" w14:textId="77777777" w:rsidR="003A1F59" w:rsidRDefault="003A1F59" w:rsidP="009135B4">
      <w:pPr>
        <w:pStyle w:val="PrrAPA"/>
        <w:ind w:firstLine="0"/>
        <w:rPr>
          <w:rFonts w:eastAsia="Times New Roman" w:cs="Times New Roman"/>
          <w:b/>
          <w:bCs/>
          <w:iCs w:val="0"/>
          <w:szCs w:val="22"/>
          <w:lang w:eastAsia="es-ES_tradnl"/>
        </w:rPr>
      </w:pPr>
    </w:p>
    <w:p w14:paraId="34EFCB53" w14:textId="77777777" w:rsidR="009C0D0E" w:rsidRPr="00E1329D" w:rsidRDefault="009C0D0E" w:rsidP="009C0D0E">
      <w:pPr>
        <w:pStyle w:val="PrrAPA"/>
        <w:rPr>
          <w:lang w:eastAsia="es-ES_tradnl"/>
        </w:rPr>
      </w:pPr>
      <w:r w:rsidRPr="00E1329D">
        <w:rPr>
          <w:lang w:eastAsia="es-ES_tradnl"/>
        </w:rPr>
        <w:t xml:space="preserve">El desempeño en manufactura se midió para cada empleado mediante el Índice de Desempeño Manufacturero Individual (IDMI, establecido dentro de la empresa), calculado mensualmente como un promedio ponderado de tres indicadores normalizados: (1) productividad por hora (PH): número de unidades producidas por hora efectiva de trabajo; (2) calidad de primer paso o intento (QP): porcentaje de piezas conformes sin necesidad de retrabajo; y (3) retrabajo y desperdicio (RD): porcentaje de piezas retrabajadas o descartadas sobre el total producido </w:t>
      </w:r>
      <w:r w:rsidRPr="00E1329D">
        <w:rPr>
          <w:lang w:eastAsia="es-ES_tradnl"/>
        </w:rPr>
        <w:lastRenderedPageBreak/>
        <w:t xml:space="preserve">(invertido con signo negativo en el índice). Cada indicador se estandarizó (z-score) respecto a los promedios y desviaciones estándar históricos de la planta, y el IDMI se obtuvo según la Ecuación 1. </w:t>
      </w:r>
    </w:p>
    <w:p w14:paraId="6E57F80E" w14:textId="77777777" w:rsidR="009C0D0E" w:rsidRPr="00E1329D" w:rsidRDefault="009C0D0E" w:rsidP="009C0D0E">
      <w:pPr>
        <w:spacing w:line="480" w:lineRule="auto"/>
        <w:ind w:left="2124" w:firstLine="708"/>
        <w:jc w:val="center"/>
        <w:rPr>
          <w:rFonts w:eastAsia="Times New Roman" w:cs="Times New Roman"/>
          <w:lang w:eastAsia="es-ES_tradnl"/>
        </w:rPr>
      </w:pPr>
      <w:r w:rsidRPr="00E1329D">
        <w:rPr>
          <w:rFonts w:eastAsia="Times New Roman" w:cs="Times New Roman"/>
          <w:lang w:eastAsia="es-ES_tradnl"/>
        </w:rPr>
        <w:t xml:space="preserve">IDMIᵢ = </w:t>
      </w:r>
      <w:proofErr w:type="gramStart"/>
      <w:r w:rsidRPr="00E1329D">
        <w:rPr>
          <w:rFonts w:eastAsia="Times New Roman" w:cs="Times New Roman"/>
          <w:lang w:eastAsia="es-ES_tradnl"/>
        </w:rPr>
        <w:t xml:space="preserve">( </w:t>
      </w:r>
      <w:proofErr w:type="spellStart"/>
      <w:r w:rsidRPr="00E1329D">
        <w:rPr>
          <w:rFonts w:eastAsia="Times New Roman" w:cs="Times New Roman"/>
          <w:lang w:eastAsia="es-ES_tradnl"/>
        </w:rPr>
        <w:t>zPH</w:t>
      </w:r>
      <w:proofErr w:type="spellEnd"/>
      <w:r w:rsidRPr="00E1329D">
        <w:rPr>
          <w:rFonts w:eastAsia="Times New Roman" w:cs="Times New Roman"/>
          <w:lang w:eastAsia="es-ES_tradnl"/>
        </w:rPr>
        <w:t>ᵢ</w:t>
      </w:r>
      <w:proofErr w:type="gramEnd"/>
      <w:r w:rsidRPr="00E1329D">
        <w:rPr>
          <w:rFonts w:eastAsia="Times New Roman" w:cs="Times New Roman"/>
          <w:lang w:eastAsia="es-ES_tradnl"/>
        </w:rPr>
        <w:t xml:space="preserve"> + </w:t>
      </w:r>
      <w:proofErr w:type="spellStart"/>
      <w:r w:rsidRPr="00E1329D">
        <w:rPr>
          <w:rFonts w:eastAsia="Times New Roman" w:cs="Times New Roman"/>
          <w:lang w:eastAsia="es-ES_tradnl"/>
        </w:rPr>
        <w:t>zQP</w:t>
      </w:r>
      <w:proofErr w:type="spellEnd"/>
      <w:r w:rsidRPr="00E1329D">
        <w:rPr>
          <w:rFonts w:eastAsia="Times New Roman" w:cs="Times New Roman"/>
          <w:lang w:eastAsia="es-ES_tradnl"/>
        </w:rPr>
        <w:t xml:space="preserve">ᵢ – </w:t>
      </w:r>
      <w:proofErr w:type="spellStart"/>
      <w:proofErr w:type="gramStart"/>
      <w:r w:rsidRPr="00E1329D">
        <w:rPr>
          <w:rFonts w:eastAsia="Times New Roman" w:cs="Times New Roman"/>
          <w:lang w:eastAsia="es-ES_tradnl"/>
        </w:rPr>
        <w:t>zRD</w:t>
      </w:r>
      <w:proofErr w:type="spellEnd"/>
      <w:r w:rsidRPr="00E1329D">
        <w:rPr>
          <w:rFonts w:eastAsia="Times New Roman" w:cs="Times New Roman"/>
          <w:lang w:eastAsia="es-ES_tradnl"/>
        </w:rPr>
        <w:t>ᵢ )</w:t>
      </w:r>
      <w:proofErr w:type="gramEnd"/>
      <w:r w:rsidRPr="00E1329D">
        <w:rPr>
          <w:rFonts w:eastAsia="Times New Roman" w:cs="Times New Roman"/>
          <w:lang w:eastAsia="es-ES_tradnl"/>
        </w:rPr>
        <w:t xml:space="preserve"> / 3</w:t>
      </w:r>
      <w:r w:rsidRPr="00E1329D">
        <w:rPr>
          <w:rFonts w:eastAsia="Times New Roman" w:cs="Times New Roman"/>
          <w:lang w:eastAsia="es-ES_tradnl"/>
        </w:rPr>
        <w:tab/>
        <w:t xml:space="preserve">                                          </w:t>
      </w:r>
      <w:proofErr w:type="gramStart"/>
      <w:r w:rsidRPr="00E1329D">
        <w:rPr>
          <w:rFonts w:eastAsia="Times New Roman" w:cs="Times New Roman"/>
          <w:lang w:eastAsia="es-ES_tradnl"/>
        </w:rPr>
        <w:t xml:space="preserve">   (</w:t>
      </w:r>
      <w:proofErr w:type="gramEnd"/>
      <w:r w:rsidRPr="00E1329D">
        <w:rPr>
          <w:rFonts w:eastAsia="Times New Roman" w:cs="Times New Roman"/>
          <w:lang w:eastAsia="es-ES_tradnl"/>
        </w:rPr>
        <w:t>1)</w:t>
      </w:r>
    </w:p>
    <w:p w14:paraId="3FD4272C" w14:textId="77777777" w:rsidR="009C0D0E" w:rsidRDefault="009C0D0E" w:rsidP="009C0D0E">
      <w:pPr>
        <w:spacing w:line="480" w:lineRule="auto"/>
        <w:ind w:firstLine="708"/>
        <w:rPr>
          <w:rFonts w:eastAsia="Times New Roman" w:cs="Times New Roman"/>
          <w:lang w:eastAsia="es-ES_tradnl"/>
        </w:rPr>
      </w:pPr>
      <w:r w:rsidRPr="00E1329D">
        <w:rPr>
          <w:rFonts w:eastAsia="Times New Roman" w:cs="Times New Roman"/>
          <w:lang w:eastAsia="es-ES_tradnl"/>
        </w:rPr>
        <w:t>En este sentido, se calculó el IDMI promedio de los tres meses previos a la intervención (línea base) y el promedio de los últimos tres meses del periodo de implementación (meses 4 a 6). Para cada empleado se obtuvo así una medida pretest y una postest. Es de anotar que la empresa autorizó el uso anónimo de la información de desempeño con fines académicos y no se recolectaron datos personales sensibles de los trabajadores</w:t>
      </w:r>
      <w:r>
        <w:rPr>
          <w:rFonts w:eastAsia="Times New Roman" w:cs="Times New Roman"/>
          <w:lang w:eastAsia="es-ES_tradnl"/>
        </w:rPr>
        <w:t>.</w:t>
      </w:r>
    </w:p>
    <w:p w14:paraId="5F5BAD60" w14:textId="77777777" w:rsidR="00DE6D01" w:rsidRPr="00E1329D" w:rsidRDefault="00DE6D01" w:rsidP="008F68B2">
      <w:pPr>
        <w:ind w:firstLine="709"/>
        <w:rPr>
          <w:rFonts w:eastAsia="Times New Roman" w:cs="Times New Roman"/>
          <w:lang w:eastAsia="es-ES_tradnl"/>
        </w:rPr>
      </w:pPr>
    </w:p>
    <w:p w14:paraId="68EB1985" w14:textId="38972E90" w:rsidR="009C0D0E" w:rsidRDefault="009C0D0E" w:rsidP="00DE6D01">
      <w:pPr>
        <w:pStyle w:val="Ttulo2"/>
        <w:rPr>
          <w:lang w:eastAsia="es-ES_tradnl"/>
        </w:rPr>
      </w:pPr>
      <w:r w:rsidRPr="009C0D0E">
        <w:rPr>
          <w:szCs w:val="22"/>
          <w:lang w:eastAsia="es-ES_tradnl"/>
        </w:rPr>
        <w:t xml:space="preserve">2. 4 </w:t>
      </w:r>
      <w:r w:rsidRPr="00E1329D">
        <w:rPr>
          <w:lang w:eastAsia="es-ES_tradnl"/>
        </w:rPr>
        <w:t>Procedimiento de análisis de datos</w:t>
      </w:r>
    </w:p>
    <w:p w14:paraId="2EB30C15" w14:textId="77777777" w:rsidR="00936DAA" w:rsidRPr="00E1329D" w:rsidRDefault="00936DAA" w:rsidP="009C0D0E">
      <w:pPr>
        <w:spacing w:line="480" w:lineRule="auto"/>
        <w:rPr>
          <w:rFonts w:eastAsia="Times New Roman" w:cs="Times New Roman"/>
          <w:b/>
          <w:bCs/>
          <w:lang w:eastAsia="es-ES_tradnl"/>
        </w:rPr>
      </w:pPr>
    </w:p>
    <w:p w14:paraId="72C2F89C" w14:textId="77777777" w:rsidR="00936DAA" w:rsidRPr="00E1329D" w:rsidRDefault="00936DAA" w:rsidP="00936DAA">
      <w:pPr>
        <w:pStyle w:val="PrrAPA"/>
        <w:rPr>
          <w:lang w:eastAsia="es-ES_tradnl"/>
        </w:rPr>
      </w:pPr>
      <w:r>
        <w:rPr>
          <w:lang w:eastAsia="es-ES_tradnl"/>
        </w:rPr>
        <w:t>Dado el</w:t>
      </w:r>
      <w:r w:rsidRPr="00E1329D">
        <w:rPr>
          <w:lang w:eastAsia="es-ES_tradnl"/>
        </w:rPr>
        <w:t xml:space="preserve"> interés por evaluar cambios dentro de cada grupo y comparar la magnitud de dichos cambios entre grupos, se optó por un esquema de análisis de diferencias de medias. Pruebas </w:t>
      </w:r>
      <w:r w:rsidRPr="00E1329D">
        <w:rPr>
          <w:i/>
          <w:lang w:eastAsia="es-ES_tradnl"/>
        </w:rPr>
        <w:t>t</w:t>
      </w:r>
      <w:r w:rsidRPr="00E1329D">
        <w:rPr>
          <w:lang w:eastAsia="es-ES_tradnl"/>
        </w:rPr>
        <w:t xml:space="preserve"> para muestras relacionadas dentro de cada grupo, comparando el IDMI promedio pretest y postest. Esto permite contrastar H1 y H2, verificando si la introducción de cada sistema se asocia con mejoras significativas en el desempeño de los empleados. Prueba </w:t>
      </w:r>
      <w:r w:rsidRPr="00E1329D">
        <w:rPr>
          <w:i/>
          <w:lang w:eastAsia="es-ES_tradnl"/>
        </w:rPr>
        <w:t>t</w:t>
      </w:r>
      <w:r w:rsidRPr="00E1329D">
        <w:rPr>
          <w:lang w:eastAsia="es-ES_tradnl"/>
        </w:rPr>
        <w:t xml:space="preserve"> para muestras independientes sobre las ganancias en IDMI (ΔIDMI = </w:t>
      </w:r>
      <w:proofErr w:type="spellStart"/>
      <w:r w:rsidRPr="00E1329D">
        <w:rPr>
          <w:lang w:eastAsia="es-ES_tradnl"/>
        </w:rPr>
        <w:t>IDMI_post</w:t>
      </w:r>
      <w:proofErr w:type="spellEnd"/>
      <w:r w:rsidRPr="00E1329D">
        <w:rPr>
          <w:lang w:eastAsia="es-ES_tradnl"/>
        </w:rPr>
        <w:t xml:space="preserve"> – </w:t>
      </w:r>
      <w:proofErr w:type="spellStart"/>
      <w:r w:rsidRPr="00E1329D">
        <w:rPr>
          <w:lang w:eastAsia="es-ES_tradnl"/>
        </w:rPr>
        <w:t>IDMI_pre</w:t>
      </w:r>
      <w:proofErr w:type="spellEnd"/>
      <w:r w:rsidRPr="00E1329D">
        <w:rPr>
          <w:lang w:eastAsia="es-ES_tradnl"/>
        </w:rPr>
        <w:t>) entre el Grupo U y el Grupo B. Esta estrategia es apropiada para diseños cuasi–experimentales con grupos no equivalentes, en la medida en que controla parcialmente diferencias de nivel inicial y se centra en el cambio experimentado.</w:t>
      </w:r>
    </w:p>
    <w:p w14:paraId="3CC864CB" w14:textId="77777777" w:rsidR="00936DAA" w:rsidRPr="00E1329D" w:rsidRDefault="00936DAA" w:rsidP="00936DAA">
      <w:pPr>
        <w:pStyle w:val="PrrAPA"/>
        <w:rPr>
          <w:lang w:eastAsia="es-ES_tradnl"/>
        </w:rPr>
      </w:pPr>
      <w:r w:rsidRPr="00E1329D">
        <w:rPr>
          <w:lang w:eastAsia="es-ES_tradnl"/>
        </w:rPr>
        <w:t>Se consideraron niveles de significancia de 0,05 y 0,01, y se calcularon tamaños del efecto (d de Cohen) para estimar la magnitud práctica de las diferencias. La elección de estas pruebas de diferencia de medias es consistente con la naturaleza continua del índice, el tamaño moderado de las muestras y el interés primario en comparar promedios de desempeño antes y después de la intervención, más que en estimar modelos multivariados complejos.</w:t>
      </w:r>
    </w:p>
    <w:p w14:paraId="3C51CAA2" w14:textId="77777777" w:rsidR="009135B4" w:rsidRDefault="009135B4" w:rsidP="00594CB8">
      <w:pPr>
        <w:pStyle w:val="Ttulo1"/>
      </w:pPr>
    </w:p>
    <w:p w14:paraId="55F3D5CF" w14:textId="77777777" w:rsidR="008F68B2" w:rsidRDefault="008F68B2" w:rsidP="008F68B2"/>
    <w:p w14:paraId="688C5426" w14:textId="77777777" w:rsidR="008F68B2" w:rsidRPr="008F68B2" w:rsidRDefault="008F68B2" w:rsidP="008F68B2"/>
    <w:p w14:paraId="088A835F" w14:textId="55912553" w:rsidR="006859D0" w:rsidRDefault="00594CB8" w:rsidP="00594CB8">
      <w:pPr>
        <w:pStyle w:val="Ttulo1"/>
      </w:pPr>
      <w:r>
        <w:lastRenderedPageBreak/>
        <w:t>3 Marco teórico</w:t>
      </w:r>
    </w:p>
    <w:p w14:paraId="39F26193" w14:textId="77777777" w:rsidR="00594CB8" w:rsidRPr="00594CB8" w:rsidRDefault="00594CB8" w:rsidP="00594CB8"/>
    <w:p w14:paraId="05487E49" w14:textId="77777777" w:rsidR="00B234BD" w:rsidRPr="00E1329D" w:rsidRDefault="00B234BD" w:rsidP="00B234BD">
      <w:pPr>
        <w:pStyle w:val="PrrAPA"/>
        <w:rPr>
          <w:lang w:eastAsia="es-ES_tradnl"/>
        </w:rPr>
      </w:pPr>
      <w:r w:rsidRPr="00E1329D">
        <w:rPr>
          <w:lang w:eastAsia="es-ES_tradnl"/>
        </w:rPr>
        <w:t xml:space="preserve">Visión de la </w:t>
      </w:r>
      <w:r>
        <w:rPr>
          <w:lang w:eastAsia="es-ES_tradnl"/>
        </w:rPr>
        <w:t>F</w:t>
      </w:r>
      <w:r w:rsidRPr="00E1329D">
        <w:rPr>
          <w:lang w:eastAsia="es-ES_tradnl"/>
        </w:rPr>
        <w:t xml:space="preserve">irma basada en </w:t>
      </w:r>
      <w:r>
        <w:rPr>
          <w:lang w:eastAsia="es-ES_tradnl"/>
        </w:rPr>
        <w:t>R</w:t>
      </w:r>
      <w:r w:rsidRPr="00E1329D">
        <w:rPr>
          <w:lang w:eastAsia="es-ES_tradnl"/>
        </w:rPr>
        <w:t>ecursos y su aplicación en la gestión estratégica de los recursos humanos</w:t>
      </w:r>
    </w:p>
    <w:p w14:paraId="5981F00F" w14:textId="77777777" w:rsidR="00B234BD" w:rsidRPr="00E1329D" w:rsidRDefault="00B234BD" w:rsidP="00B234BD">
      <w:pPr>
        <w:pStyle w:val="PrrAPA"/>
        <w:rPr>
          <w:lang w:eastAsia="es-ES_tradnl"/>
        </w:rPr>
      </w:pPr>
      <w:r w:rsidRPr="00E1329D">
        <w:rPr>
          <w:lang w:eastAsia="es-ES_tradnl"/>
        </w:rPr>
        <w:t xml:space="preserve">La RBV plantea que la ventaja competitiva sostenida depende de recursos y capacidades que sean valiosos, raros, imperfectamente imitables y no sustituibles (Barney, 1991). En este marco, el recurso humano adquiere un </w:t>
      </w:r>
      <w:r>
        <w:rPr>
          <w:lang w:eastAsia="es-ES_tradnl"/>
        </w:rPr>
        <w:t>rol esencial</w:t>
      </w:r>
      <w:r w:rsidRPr="00E1329D">
        <w:rPr>
          <w:lang w:eastAsia="es-ES_tradnl"/>
        </w:rPr>
        <w:t xml:space="preserve">, </w:t>
      </w:r>
      <w:proofErr w:type="gramStart"/>
      <w:r>
        <w:rPr>
          <w:lang w:eastAsia="es-ES_tradnl"/>
        </w:rPr>
        <w:t>en</w:t>
      </w:r>
      <w:r w:rsidRPr="00E1329D">
        <w:rPr>
          <w:lang w:eastAsia="es-ES_tradnl"/>
        </w:rPr>
        <w:t xml:space="preserve"> razón de</w:t>
      </w:r>
      <w:proofErr w:type="gramEnd"/>
      <w:r w:rsidRPr="00E1329D">
        <w:rPr>
          <w:lang w:eastAsia="es-ES_tradnl"/>
        </w:rPr>
        <w:t xml:space="preserve"> que las personas poseen conocimientos, competencias, habilidades y actitudes que cumplen con esos criterios, especialmente cuando se articulan dentro de capacidades estratégicas específicas (Osorio-Londoño et al., 202</w:t>
      </w:r>
      <w:r>
        <w:rPr>
          <w:lang w:eastAsia="es-ES_tradnl"/>
        </w:rPr>
        <w:t>5</w:t>
      </w:r>
      <w:r w:rsidRPr="00E1329D">
        <w:rPr>
          <w:lang w:eastAsia="es-ES_tradnl"/>
        </w:rPr>
        <w:t>). Wright et al. (2001) argumentan que la RBV transformó la investigación en gestión humana al desplazar la atención desde prácticas aisladas hacia sistemas y arquitecturas de recursos humanos que generan capacidades estratégicas que diferencian a las organizaciones en el mercado.</w:t>
      </w:r>
    </w:p>
    <w:p w14:paraId="68E35A4B" w14:textId="77777777" w:rsidR="00B234BD" w:rsidRPr="00E1329D" w:rsidRDefault="00B234BD" w:rsidP="00B234BD">
      <w:pPr>
        <w:pStyle w:val="PrrAPA"/>
        <w:rPr>
          <w:lang w:eastAsia="es-ES_tradnl"/>
        </w:rPr>
      </w:pPr>
      <w:r w:rsidRPr="00E1329D">
        <w:rPr>
          <w:lang w:eastAsia="es-ES_tradnl"/>
        </w:rPr>
        <w:t>Lepak y Snell (1999) desarrollan el concepto de arquitectura de recursos humanos, el cual consiste en que las organizaciones combinan diferentes modos de empleo (empleados clave, trabajo tradicional, trabajo contratado y alianzas) y diferentes configuraciones de prácticas para asignar y desarrollar capital humano según su valor y su unicidad. Esta visión da soporte teórico a la idea de que no existe una única mejor práctica de recursos humanos, sino que éstas deben conformar sistemas coherentes con la estrategia competitiva, la tecnología y la estructura de cada organización (Boxall &amp; Purcell, 2016).</w:t>
      </w:r>
    </w:p>
    <w:p w14:paraId="750BF032" w14:textId="77777777" w:rsidR="00B234BD" w:rsidRPr="00E1329D" w:rsidRDefault="00B234BD" w:rsidP="00B234BD">
      <w:pPr>
        <w:pStyle w:val="PrrAPA"/>
        <w:rPr>
          <w:lang w:eastAsia="es-ES_tradnl"/>
        </w:rPr>
      </w:pPr>
      <w:r w:rsidRPr="00E1329D">
        <w:rPr>
          <w:lang w:eastAsia="es-ES_tradnl"/>
        </w:rPr>
        <w:t xml:space="preserve">En manufactura, la aplicación de la RBV implica pensar el desempeño no solo como </w:t>
      </w:r>
      <w:r>
        <w:rPr>
          <w:lang w:eastAsia="es-ES_tradnl"/>
        </w:rPr>
        <w:t xml:space="preserve">un resultado </w:t>
      </w:r>
      <w:r w:rsidRPr="00E1329D">
        <w:rPr>
          <w:lang w:eastAsia="es-ES_tradnl"/>
        </w:rPr>
        <w:t xml:space="preserve">de máquinas o líneas, sino como resultado de capacidades colectivas ligadas a la habilidad de los operarios, a su motivación para sostener estándares de calidad y a las oportunidades que el sistema de trabajo les ofrece para mejorar procesos. El </w:t>
      </w:r>
      <w:proofErr w:type="gramStart"/>
      <w:r w:rsidRPr="00E1329D">
        <w:rPr>
          <w:lang w:eastAsia="es-ES_tradnl"/>
        </w:rPr>
        <w:t>meta</w:t>
      </w:r>
      <w:r>
        <w:rPr>
          <w:lang w:eastAsia="es-ES_tradnl"/>
        </w:rPr>
        <w:t>-</w:t>
      </w:r>
      <w:r w:rsidRPr="00E1329D">
        <w:rPr>
          <w:lang w:eastAsia="es-ES_tradnl"/>
        </w:rPr>
        <w:t>análisis</w:t>
      </w:r>
      <w:proofErr w:type="gramEnd"/>
      <w:r w:rsidRPr="00E1329D">
        <w:rPr>
          <w:lang w:eastAsia="es-ES_tradnl"/>
        </w:rPr>
        <w:t xml:space="preserve"> de Combs et al. (2006) muestra que los sistemas de trabajo de alto desempeño tienen efectos moderados, pero significativos sobre el desempeño financiero y operativo; especialmente mayores cuando se diseñan como conjuntos sinérgicos y cuando se alinean con la estrategia competitiva. </w:t>
      </w:r>
      <w:proofErr w:type="spellStart"/>
      <w:r w:rsidRPr="00E1329D">
        <w:rPr>
          <w:lang w:eastAsia="es-ES_tradnl"/>
        </w:rPr>
        <w:t>Jiang</w:t>
      </w:r>
      <w:proofErr w:type="spellEnd"/>
      <w:r w:rsidRPr="00E1329D">
        <w:rPr>
          <w:lang w:eastAsia="es-ES_tradnl"/>
        </w:rPr>
        <w:t xml:space="preserve"> et al. (2012) demuestran, además, que el impacto de los sistemas de recursos humanos en el desempeño está mediado por mecanismos de capital humano, motivación y oportunidades, lo que refuerza la necesidad de un sistema de gestión humana.</w:t>
      </w:r>
    </w:p>
    <w:p w14:paraId="660A9F27" w14:textId="77777777" w:rsidR="00B234BD" w:rsidRPr="00E1329D" w:rsidRDefault="00B234BD" w:rsidP="00B234BD">
      <w:pPr>
        <w:pStyle w:val="PrrAPA"/>
        <w:rPr>
          <w:lang w:eastAsia="es-ES_tradnl"/>
        </w:rPr>
      </w:pPr>
      <w:r w:rsidRPr="00E1329D">
        <w:rPr>
          <w:lang w:eastAsia="es-ES_tradnl"/>
        </w:rPr>
        <w:t xml:space="preserve">Recientemente, Georgiadis y </w:t>
      </w:r>
      <w:proofErr w:type="spellStart"/>
      <w:r w:rsidRPr="00E1329D">
        <w:rPr>
          <w:lang w:eastAsia="es-ES_tradnl"/>
        </w:rPr>
        <w:t>Kornelakis</w:t>
      </w:r>
      <w:proofErr w:type="spellEnd"/>
      <w:r w:rsidRPr="00E1329D">
        <w:rPr>
          <w:lang w:eastAsia="es-ES_tradnl"/>
        </w:rPr>
        <w:t xml:space="preserve"> (2025) establecieron una visión dinámica de los recursos de capital humano, mostrando que los cambios en los “</w:t>
      </w:r>
      <w:proofErr w:type="spellStart"/>
      <w:r w:rsidRPr="00E1329D">
        <w:rPr>
          <w:lang w:eastAsia="es-ES_tradnl"/>
        </w:rPr>
        <w:t>bundles</w:t>
      </w:r>
      <w:proofErr w:type="spellEnd"/>
      <w:r w:rsidRPr="00E1329D">
        <w:rPr>
          <w:lang w:eastAsia="es-ES_tradnl"/>
        </w:rPr>
        <w:t xml:space="preserve">” de prácticas de habilidad, </w:t>
      </w:r>
      <w:r w:rsidRPr="00E1329D">
        <w:rPr>
          <w:lang w:eastAsia="es-ES_tradnl"/>
        </w:rPr>
        <w:lastRenderedPageBreak/>
        <w:t xml:space="preserve">motivación y oportunidad a lo largo del tiempo se traducen en cambios en desempeño, parcialmente mediados por la rotación de personal y la acumulación de capital humano específico. Esta evidencia sugiere que los </w:t>
      </w:r>
      <w:proofErr w:type="spellStart"/>
      <w:r w:rsidRPr="00E1329D">
        <w:rPr>
          <w:i/>
          <w:lang w:eastAsia="es-ES_tradnl"/>
        </w:rPr>
        <w:t>bundles</w:t>
      </w:r>
      <w:proofErr w:type="spellEnd"/>
      <w:r w:rsidRPr="00E1329D">
        <w:rPr>
          <w:lang w:eastAsia="es-ES_tradnl"/>
        </w:rPr>
        <w:t xml:space="preserve"> de gestión humana constituyen una vía privilegiada para entender cómo la RBV se materializa en procesos longitudinales de mejora de desempeño, especialmente en entornos en los que el aprendizaje en el puesto y la estabilidad del personal son críticos, como la manufactura metalmecánica.</w:t>
      </w:r>
    </w:p>
    <w:p w14:paraId="00A66422" w14:textId="77777777" w:rsidR="00B234BD" w:rsidRDefault="00B234BD" w:rsidP="00B234BD">
      <w:pPr>
        <w:pStyle w:val="PrrAPA"/>
        <w:rPr>
          <w:b/>
          <w:bCs/>
          <w:lang w:eastAsia="es-ES_tradnl"/>
        </w:rPr>
      </w:pPr>
      <w:r w:rsidRPr="00E1329D">
        <w:rPr>
          <w:b/>
          <w:bCs/>
          <w:lang w:eastAsia="es-ES_tradnl"/>
        </w:rPr>
        <w:t xml:space="preserve">Modos de teorización en gestión humana: universalista, contingencial y configuracional </w:t>
      </w:r>
    </w:p>
    <w:p w14:paraId="40889813" w14:textId="29F394F6" w:rsidR="00B234BD" w:rsidRPr="00E1329D" w:rsidRDefault="00B234BD" w:rsidP="00B234BD">
      <w:pPr>
        <w:pStyle w:val="PrrAPA"/>
        <w:rPr>
          <w:lang w:eastAsia="es-ES_tradnl"/>
        </w:rPr>
      </w:pPr>
      <w:r w:rsidRPr="00E1329D">
        <w:rPr>
          <w:lang w:eastAsia="es-ES_tradnl"/>
        </w:rPr>
        <w:t xml:space="preserve">Delery y Doty (1996) identifican tres modos dominantes de teorización en la gestión estratégica de recursos humanos: el universalista, el contingencial y </w:t>
      </w:r>
      <w:proofErr w:type="gramStart"/>
      <w:r w:rsidRPr="00E1329D">
        <w:rPr>
          <w:lang w:eastAsia="es-ES_tradnl"/>
        </w:rPr>
        <w:t>el configuracional</w:t>
      </w:r>
      <w:proofErr w:type="gramEnd"/>
      <w:r w:rsidRPr="00E1329D">
        <w:rPr>
          <w:lang w:eastAsia="es-ES_tradnl"/>
        </w:rPr>
        <w:t>. Primero, el modo universalista asume que existe un conjunto de prácticas de recursos humanos que son “mejores” en promedio para cualquier organización: selección rigurosa, formación extensiva, compensación basada en el desempeño, evaluación sistemática, entre otros (Delery &amp; Doty, 1996). Segundo, el modo contingencial sostiene que la efectividad de las prácticas depende de su ajuste con variables de contexto, como la estrategia competitiva (costos, calidad, innovación), el entorno competitivo o la tecnología (Osorio-Londoño et al., 2020; Schuler &amp; Jackson, 1987). Finalmente, el modo configuracional propone que lo relevante son las configuraciones coherentes de prácticas</w:t>
      </w:r>
      <w:r>
        <w:rPr>
          <w:lang w:eastAsia="es-ES_tradnl"/>
        </w:rPr>
        <w:t xml:space="preserve"> de gestión humana</w:t>
      </w:r>
      <w:r w:rsidRPr="00E1329D">
        <w:rPr>
          <w:lang w:eastAsia="es-ES_tradnl"/>
        </w:rPr>
        <w:t xml:space="preserve"> entre sí y con la estrategia, más que los efectos aditivos de prácticas individuales (Osorio-Londoño et al., 2025). En esta lógica, un sistema de</w:t>
      </w:r>
      <w:r>
        <w:rPr>
          <w:lang w:eastAsia="es-ES_tradnl"/>
        </w:rPr>
        <w:t xml:space="preserve"> prácticas de</w:t>
      </w:r>
      <w:r w:rsidRPr="00E1329D">
        <w:rPr>
          <w:lang w:eastAsia="es-ES_tradnl"/>
        </w:rPr>
        <w:t xml:space="preserve"> gestión humana se concibe como una configuración en la que las prácticas se refuerzan mutuamente y generan sinergias (Delery &amp; Doty, 1996).</w:t>
      </w:r>
    </w:p>
    <w:p w14:paraId="533EE2E0" w14:textId="77777777" w:rsidR="00B234BD" w:rsidRPr="00E1329D" w:rsidRDefault="00B234BD" w:rsidP="00B234BD">
      <w:pPr>
        <w:pStyle w:val="PrrAPA"/>
        <w:rPr>
          <w:lang w:eastAsia="es-ES_tradnl"/>
        </w:rPr>
      </w:pPr>
      <w:r w:rsidRPr="00E1329D">
        <w:rPr>
          <w:lang w:eastAsia="es-ES_tradnl"/>
        </w:rPr>
        <w:t>Ge</w:t>
      </w:r>
      <w:r>
        <w:rPr>
          <w:lang w:eastAsia="es-ES_tradnl"/>
        </w:rPr>
        <w:t>r</w:t>
      </w:r>
      <w:r w:rsidRPr="00E1329D">
        <w:rPr>
          <w:lang w:eastAsia="es-ES_tradnl"/>
        </w:rPr>
        <w:t>hart (2005) revisó la evidencia empírica sobre</w:t>
      </w:r>
      <w:r>
        <w:rPr>
          <w:lang w:eastAsia="es-ES_tradnl"/>
        </w:rPr>
        <w:t xml:space="preserve"> la relación entre</w:t>
      </w:r>
      <w:r w:rsidRPr="00E1329D">
        <w:rPr>
          <w:lang w:eastAsia="es-ES_tradnl"/>
        </w:rPr>
        <w:t xml:space="preserve"> recursos humanos y desempeño</w:t>
      </w:r>
      <w:r>
        <w:rPr>
          <w:lang w:eastAsia="es-ES_tradnl"/>
        </w:rPr>
        <w:t xml:space="preserve"> organizacional</w:t>
      </w:r>
      <w:r w:rsidRPr="00E1329D">
        <w:rPr>
          <w:lang w:eastAsia="es-ES_tradnl"/>
        </w:rPr>
        <w:t xml:space="preserve">, pero halló que, aunque las asociaciones positivas son consistentes, persisten problemas de causalidad, medición y especificación de modelos. Este autor aboga por diseños de investigación más robustos y por prestar mayor atención a la coherencia interna de los sistemas de prácticas, así como a la forma en que los empleados los perciben. </w:t>
      </w:r>
      <w:proofErr w:type="gramStart"/>
      <w:r w:rsidRPr="00E1329D">
        <w:rPr>
          <w:lang w:eastAsia="es-ES_tradnl"/>
        </w:rPr>
        <w:t>Meta</w:t>
      </w:r>
      <w:r>
        <w:rPr>
          <w:lang w:eastAsia="es-ES_tradnl"/>
        </w:rPr>
        <w:t>-</w:t>
      </w:r>
      <w:r w:rsidRPr="00E1329D">
        <w:rPr>
          <w:lang w:eastAsia="es-ES_tradnl"/>
        </w:rPr>
        <w:t>análisis</w:t>
      </w:r>
      <w:proofErr w:type="gramEnd"/>
      <w:r w:rsidRPr="00E1329D">
        <w:rPr>
          <w:lang w:eastAsia="es-ES_tradnl"/>
        </w:rPr>
        <w:t xml:space="preserve"> recientes coinciden en que la investigación universalista sigue prevaleciendo, por lo que los estudios configuracionales son relativamente escasos, a pesar de su mayor alineación con la RBV y con la noción de sistemas de trabajo de alto desempeño (</w:t>
      </w:r>
      <w:proofErr w:type="spellStart"/>
      <w:r w:rsidRPr="00E1329D">
        <w:rPr>
          <w:lang w:eastAsia="es-ES_tradnl"/>
        </w:rPr>
        <w:t>Jiang</w:t>
      </w:r>
      <w:proofErr w:type="spellEnd"/>
      <w:r w:rsidRPr="00E1329D">
        <w:rPr>
          <w:lang w:eastAsia="es-ES_tradnl"/>
        </w:rPr>
        <w:t xml:space="preserve"> &amp; Messersmith, 2018).</w:t>
      </w:r>
    </w:p>
    <w:p w14:paraId="2E927A47" w14:textId="77777777" w:rsidR="00B234BD" w:rsidRPr="00E1329D" w:rsidRDefault="00B234BD" w:rsidP="00B234BD">
      <w:pPr>
        <w:pStyle w:val="PrrAPA"/>
        <w:rPr>
          <w:lang w:eastAsia="es-ES_tradnl"/>
        </w:rPr>
      </w:pPr>
      <w:r w:rsidRPr="00E1329D">
        <w:rPr>
          <w:lang w:eastAsia="es-ES_tradnl"/>
        </w:rPr>
        <w:t xml:space="preserve">Desde la perspectiva de este estudio, las tres lógicas se traducen en tres maneras de diseñar el sistema de gestión humana en manufactura. Primero, un enfoque universalista, que introduce un </w:t>
      </w:r>
      <w:r w:rsidRPr="00E1329D">
        <w:rPr>
          <w:lang w:eastAsia="es-ES_tradnl"/>
        </w:rPr>
        <w:lastRenderedPageBreak/>
        <w:t>conjunto de prácticas</w:t>
      </w:r>
      <w:r>
        <w:rPr>
          <w:lang w:eastAsia="es-ES_tradnl"/>
        </w:rPr>
        <w:t xml:space="preserve"> de gestión humana</w:t>
      </w:r>
      <w:r w:rsidRPr="00E1329D">
        <w:rPr>
          <w:lang w:eastAsia="es-ES_tradnl"/>
        </w:rPr>
        <w:t xml:space="preserve"> consideradas como las mejores de forma relativamente independiente; segundo, un enfoque contingencial, que ajusta ciertas prácticas</w:t>
      </w:r>
      <w:r>
        <w:rPr>
          <w:lang w:eastAsia="es-ES_tradnl"/>
        </w:rPr>
        <w:t xml:space="preserve"> de gestión humana</w:t>
      </w:r>
      <w:r w:rsidRPr="00E1329D">
        <w:rPr>
          <w:lang w:eastAsia="es-ES_tradnl"/>
        </w:rPr>
        <w:t xml:space="preserve"> a la estrategia competitiva; y, tercero, un enfoque configuracional, que diseña un </w:t>
      </w:r>
      <w:proofErr w:type="spellStart"/>
      <w:r w:rsidRPr="00E1329D">
        <w:rPr>
          <w:i/>
          <w:lang w:eastAsia="es-ES_tradnl"/>
        </w:rPr>
        <w:t>bundle</w:t>
      </w:r>
      <w:proofErr w:type="spellEnd"/>
      <w:r w:rsidRPr="00E1329D">
        <w:rPr>
          <w:i/>
          <w:lang w:eastAsia="es-ES_tradnl"/>
        </w:rPr>
        <w:t xml:space="preserve"> </w:t>
      </w:r>
      <w:r w:rsidRPr="00E1329D">
        <w:rPr>
          <w:lang w:eastAsia="es-ES_tradnl"/>
        </w:rPr>
        <w:t xml:space="preserve">o sistema de prácticas </w:t>
      </w:r>
      <w:r>
        <w:rPr>
          <w:lang w:eastAsia="es-ES_tradnl"/>
        </w:rPr>
        <w:t xml:space="preserve">de recursos humanos </w:t>
      </w:r>
      <w:r w:rsidRPr="00E1329D">
        <w:rPr>
          <w:lang w:eastAsia="es-ES_tradnl"/>
        </w:rPr>
        <w:t>mutuamente reforzadas que desarrollan habilidad, motivación y oportunidad para el trabajo de manufactura metalmecánica.</w:t>
      </w:r>
    </w:p>
    <w:p w14:paraId="4469B389" w14:textId="77777777" w:rsidR="00B234BD" w:rsidRPr="00E1329D" w:rsidRDefault="00B234BD" w:rsidP="00B234BD">
      <w:pPr>
        <w:pStyle w:val="PrrAPA"/>
        <w:rPr>
          <w:lang w:eastAsia="es-ES_tradnl"/>
        </w:rPr>
      </w:pPr>
      <w:r w:rsidRPr="00E1329D">
        <w:rPr>
          <w:b/>
          <w:bCs/>
          <w:lang w:eastAsia="es-ES_tradnl"/>
        </w:rPr>
        <w:t xml:space="preserve">Sistemas de gestión humana, HPWS y lógica de </w:t>
      </w:r>
      <w:proofErr w:type="spellStart"/>
      <w:r w:rsidRPr="00E1329D">
        <w:rPr>
          <w:b/>
          <w:bCs/>
          <w:i/>
          <w:lang w:eastAsia="es-ES_tradnl"/>
        </w:rPr>
        <w:t>bundles</w:t>
      </w:r>
      <w:proofErr w:type="spellEnd"/>
    </w:p>
    <w:p w14:paraId="26195C06" w14:textId="77777777" w:rsidR="00B234BD" w:rsidRPr="00E1329D" w:rsidRDefault="00B234BD" w:rsidP="00B234BD">
      <w:pPr>
        <w:pStyle w:val="PrrAPA"/>
        <w:rPr>
          <w:lang w:eastAsia="es-ES_tradnl"/>
        </w:rPr>
      </w:pPr>
      <w:r w:rsidRPr="00E1329D">
        <w:rPr>
          <w:lang w:eastAsia="es-ES_tradnl"/>
        </w:rPr>
        <w:t xml:space="preserve">Los HPWS se definen como conjuntos de prácticas de recursos humanos diseñadas para mejorar la habilidad de los empleados (por ejemplo, selección y formación), su motivación (compensación, evaluación del desempeño, seguridad en el empleo) y las oportunidades para contribuir (diseño del trabajo, participación, trabajo en equipo) (Appelbaum et al., 2000; Becker &amp; </w:t>
      </w:r>
      <w:proofErr w:type="spellStart"/>
      <w:r w:rsidRPr="00E1329D">
        <w:rPr>
          <w:lang w:eastAsia="es-ES_tradnl"/>
        </w:rPr>
        <w:t>Huselid</w:t>
      </w:r>
      <w:proofErr w:type="spellEnd"/>
      <w:r w:rsidRPr="00E1329D">
        <w:rPr>
          <w:lang w:eastAsia="es-ES_tradnl"/>
        </w:rPr>
        <w:t>, 1998; Lepak et al., 2006).</w:t>
      </w:r>
    </w:p>
    <w:p w14:paraId="35EC1012" w14:textId="77777777" w:rsidR="00B234BD" w:rsidRPr="00E1329D" w:rsidRDefault="00B234BD" w:rsidP="00B234BD">
      <w:pPr>
        <w:pStyle w:val="PrrAPA"/>
        <w:rPr>
          <w:lang w:eastAsia="es-ES_tradnl"/>
        </w:rPr>
      </w:pPr>
      <w:r w:rsidRPr="00E1329D">
        <w:rPr>
          <w:lang w:eastAsia="es-ES_tradnl"/>
        </w:rPr>
        <w:t xml:space="preserve">MacDuffie (1995) fue uno de los primeros investigadores en demostrar empíricamente que las prácticas innovadoras de gestión humana tienen efectos sobre el desempeño manufacturero no de forma aislada, sino como elementos interrelacionados de un </w:t>
      </w:r>
      <w:proofErr w:type="spellStart"/>
      <w:r w:rsidRPr="00E1329D">
        <w:rPr>
          <w:i/>
          <w:lang w:eastAsia="es-ES_tradnl"/>
        </w:rPr>
        <w:t>bundle</w:t>
      </w:r>
      <w:proofErr w:type="spellEnd"/>
      <w:r w:rsidRPr="00E1329D">
        <w:rPr>
          <w:lang w:eastAsia="es-ES_tradnl"/>
        </w:rPr>
        <w:t xml:space="preserve"> coherente. Estudiando 62 plantas ensambladoras de automóviles, MacDuffie halló que los “</w:t>
      </w:r>
      <w:proofErr w:type="spellStart"/>
      <w:r w:rsidRPr="00E1329D">
        <w:rPr>
          <w:lang w:eastAsia="es-ES_tradnl"/>
        </w:rPr>
        <w:t>bundles</w:t>
      </w:r>
      <w:proofErr w:type="spellEnd"/>
      <w:r w:rsidRPr="00E1329D">
        <w:rPr>
          <w:lang w:eastAsia="es-ES_tradnl"/>
        </w:rPr>
        <w:t xml:space="preserve">” o sistemas de prácticas participativas, trabajo en equipo, formación y compensación orientada a grupos contribuían </w:t>
      </w:r>
      <w:r>
        <w:rPr>
          <w:lang w:eastAsia="es-ES_tradnl"/>
        </w:rPr>
        <w:t>de forma importante con</w:t>
      </w:r>
      <w:r w:rsidRPr="00E1329D">
        <w:rPr>
          <w:lang w:eastAsia="es-ES_tradnl"/>
        </w:rPr>
        <w:t xml:space="preserve"> la productividad y la calidad cuando estaban integrados con sistemas flexibles de producción.</w:t>
      </w:r>
    </w:p>
    <w:p w14:paraId="3C315DBA" w14:textId="77777777" w:rsidR="00B234BD" w:rsidRPr="00E1329D" w:rsidRDefault="00B234BD" w:rsidP="00B234BD">
      <w:pPr>
        <w:pStyle w:val="PrrAPA"/>
        <w:rPr>
          <w:lang w:eastAsia="es-ES_tradnl"/>
        </w:rPr>
      </w:pPr>
      <w:proofErr w:type="spellStart"/>
      <w:r w:rsidRPr="00E1329D">
        <w:rPr>
          <w:lang w:eastAsia="es-ES_tradnl"/>
        </w:rPr>
        <w:t>Huselid</w:t>
      </w:r>
      <w:proofErr w:type="spellEnd"/>
      <w:r w:rsidRPr="00E1329D">
        <w:rPr>
          <w:lang w:eastAsia="es-ES_tradnl"/>
        </w:rPr>
        <w:t xml:space="preserve"> (1995) y Becker y </w:t>
      </w:r>
      <w:proofErr w:type="spellStart"/>
      <w:r w:rsidRPr="00E1329D">
        <w:rPr>
          <w:lang w:eastAsia="es-ES_tradnl"/>
        </w:rPr>
        <w:t>Huselid</w:t>
      </w:r>
      <w:proofErr w:type="spellEnd"/>
      <w:r w:rsidRPr="00E1329D">
        <w:rPr>
          <w:lang w:eastAsia="es-ES_tradnl"/>
        </w:rPr>
        <w:t xml:space="preserve"> (1998) ampliaron esta lógica a nivel de empresa, demostrando que los HPWS se asocian con menor rotación, mayor productividad y mejor desempeño financiero. Ellos realizaron sus estudios enfatizando la importancia de medir sistemas de prácticas y no políticas individuales. Combs et al. (2006), en un </w:t>
      </w:r>
      <w:proofErr w:type="gramStart"/>
      <w:r w:rsidRPr="00E1329D">
        <w:rPr>
          <w:lang w:eastAsia="es-ES_tradnl"/>
        </w:rPr>
        <w:t>meta</w:t>
      </w:r>
      <w:r>
        <w:rPr>
          <w:lang w:eastAsia="es-ES_tradnl"/>
        </w:rPr>
        <w:t>-</w:t>
      </w:r>
      <w:r w:rsidRPr="00E1329D">
        <w:rPr>
          <w:lang w:eastAsia="es-ES_tradnl"/>
        </w:rPr>
        <w:t>análisis</w:t>
      </w:r>
      <w:proofErr w:type="gramEnd"/>
      <w:r w:rsidRPr="00E1329D">
        <w:rPr>
          <w:lang w:eastAsia="es-ES_tradnl"/>
        </w:rPr>
        <w:t xml:space="preserve"> de 92 estudios, </w:t>
      </w:r>
      <w:r>
        <w:rPr>
          <w:lang w:eastAsia="es-ES_tradnl"/>
        </w:rPr>
        <w:t>encontró</w:t>
      </w:r>
      <w:r w:rsidRPr="00E1329D">
        <w:rPr>
          <w:lang w:eastAsia="es-ES_tradnl"/>
        </w:rPr>
        <w:t xml:space="preserve"> que los HPWS tienen un efecto positivo y robusto sobre múltiples indicadores de desempeño, incluyendo resultados operativos, financieros y resultados de empleados.</w:t>
      </w:r>
    </w:p>
    <w:p w14:paraId="4CE58495" w14:textId="77777777" w:rsidR="00B234BD" w:rsidRPr="00E1329D" w:rsidRDefault="00B234BD" w:rsidP="00B234BD">
      <w:pPr>
        <w:pStyle w:val="PrrAPA"/>
        <w:rPr>
          <w:lang w:eastAsia="es-ES_tradnl"/>
        </w:rPr>
      </w:pPr>
      <w:r>
        <w:rPr>
          <w:lang w:eastAsia="es-ES_tradnl"/>
        </w:rPr>
        <w:t>Otros estudios</w:t>
      </w:r>
      <w:r w:rsidRPr="00E1329D">
        <w:rPr>
          <w:lang w:eastAsia="es-ES_tradnl"/>
        </w:rPr>
        <w:t xml:space="preserve">, como el de Gooderham et al. (2008), han analizado el impacto de </w:t>
      </w:r>
      <w:proofErr w:type="spellStart"/>
      <w:r w:rsidRPr="00E1329D">
        <w:rPr>
          <w:i/>
          <w:lang w:eastAsia="es-ES_tradnl"/>
        </w:rPr>
        <w:t>bundles</w:t>
      </w:r>
      <w:proofErr w:type="spellEnd"/>
      <w:r w:rsidRPr="00E1329D">
        <w:rPr>
          <w:lang w:eastAsia="es-ES_tradnl"/>
        </w:rPr>
        <w:t xml:space="preserve"> de prácticas estratégicas de gestión humana en una gran muestra de empresas europeas, encontrando que los conjuntos de prácticas colaborativas y formativas tienen efectos diferenciados sobre el desempeño percibido y que las configuraciones coherentes superan a combinaciones arbitrarias. Lepak et al. (2006) proponen una tipología de sistemas de gestión humana que distingue entre enfoques centrados en el compromiso, en la productividad y en el control, y resaltan la </w:t>
      </w:r>
      <w:r w:rsidRPr="00E1329D">
        <w:rPr>
          <w:lang w:eastAsia="es-ES_tradnl"/>
        </w:rPr>
        <w:lastRenderedPageBreak/>
        <w:t>necesidad de estudios que identifiquen configuraciones específicas y sus implicaciones para diferentes contextos productivos.</w:t>
      </w:r>
    </w:p>
    <w:p w14:paraId="1C1C2412" w14:textId="77777777" w:rsidR="00B234BD" w:rsidRPr="00E1329D" w:rsidRDefault="00B234BD" w:rsidP="00B234BD">
      <w:pPr>
        <w:pStyle w:val="PrrAPA"/>
        <w:rPr>
          <w:lang w:eastAsia="es-ES_tradnl"/>
        </w:rPr>
      </w:pPr>
      <w:r w:rsidRPr="00E1329D">
        <w:rPr>
          <w:lang w:eastAsia="es-ES_tradnl"/>
        </w:rPr>
        <w:t xml:space="preserve">En la manufactura metalmecánica, la lógica de HPWS se traduce en sistemas que combinan: selección por competencias técnicas y de mejora continua; formación en métodos de calidad, estandarización y mantenimiento autónomo; trabajo en células o equipos con responsabilidad compartida sobre calidad y tiempos de ciclo; mecanismos de sugerencias y resolución de problemas; evaluación del desempeño basada en indicadores de productividad y calidad de equipo; y esquemas de incentivos que refuerzan la cooperación más que el individualismo. Cuando estas prácticas se implementan como </w:t>
      </w:r>
      <w:proofErr w:type="spellStart"/>
      <w:r w:rsidRPr="00E1329D">
        <w:rPr>
          <w:i/>
          <w:lang w:eastAsia="es-ES_tradnl"/>
        </w:rPr>
        <w:t>bundle</w:t>
      </w:r>
      <w:proofErr w:type="spellEnd"/>
      <w:r w:rsidRPr="00E1329D">
        <w:rPr>
          <w:lang w:eastAsia="es-ES_tradnl"/>
        </w:rPr>
        <w:t xml:space="preserve"> coherente, se espera que incrementen el desempeño en manufactura de manera más intensa que un conjunto de prácticas introducidas de manera independiente y sin un diseño sistémico (</w:t>
      </w:r>
      <w:proofErr w:type="spellStart"/>
      <w:r w:rsidRPr="00E1329D">
        <w:rPr>
          <w:lang w:eastAsia="es-ES_tradnl"/>
        </w:rPr>
        <w:t>Huselid</w:t>
      </w:r>
      <w:proofErr w:type="spellEnd"/>
      <w:r w:rsidRPr="00E1329D">
        <w:rPr>
          <w:lang w:eastAsia="es-ES_tradnl"/>
        </w:rPr>
        <w:t>, 1995).</w:t>
      </w:r>
    </w:p>
    <w:p w14:paraId="7EA07524" w14:textId="77777777" w:rsidR="00B234BD" w:rsidRPr="00E1329D" w:rsidRDefault="00B234BD" w:rsidP="00B234BD">
      <w:pPr>
        <w:pStyle w:val="PrrAPA"/>
        <w:rPr>
          <w:lang w:eastAsia="es-ES_tradnl"/>
        </w:rPr>
      </w:pPr>
      <w:r w:rsidRPr="00E1329D">
        <w:rPr>
          <w:b/>
          <w:bCs/>
          <w:lang w:eastAsia="es-ES_tradnl"/>
        </w:rPr>
        <w:t>Desempeño en manufactura desde la perspectiva de la empresa y del individuo</w:t>
      </w:r>
    </w:p>
    <w:p w14:paraId="6CBAE587" w14:textId="77777777" w:rsidR="00B234BD" w:rsidRPr="00E1329D" w:rsidRDefault="00B234BD" w:rsidP="00B234BD">
      <w:pPr>
        <w:pStyle w:val="PrrAPA"/>
        <w:rPr>
          <w:lang w:eastAsia="es-ES_tradnl"/>
        </w:rPr>
      </w:pPr>
      <w:r w:rsidRPr="00E1329D">
        <w:rPr>
          <w:lang w:eastAsia="es-ES_tradnl"/>
        </w:rPr>
        <w:t>El desempeño en manufactura puede definirse como el grado en que una planta o unidad de producción logra sus objetivos de productividad, calidad, costo, flexibilidad y entrega (Adebanjo et al., 2020; Budiono et al., 2021). A nivel macro, se suele medir mediante indicadores como el cumplimiento de pedidos, el costo unitario de producción, el cumplimiento de estándares de calidad o la tasa global de defectos (Adebanjo et al., 2020; Tangen, 2004). Sin embargo, para este estudio interesa una aproximación a nivel de individuo y de equipo, que permita captar cómo las capacidades y comportamientos de los trabajadores en planta se traducen en resultados en planta (Singh &amp; Singh, 2012).</w:t>
      </w:r>
    </w:p>
    <w:p w14:paraId="262C006E" w14:textId="59046B32" w:rsidR="00B234BD" w:rsidRDefault="00B234BD" w:rsidP="00B234BD">
      <w:pPr>
        <w:pStyle w:val="PrrAPA"/>
        <w:rPr>
          <w:b/>
          <w:szCs w:val="24"/>
        </w:rPr>
      </w:pPr>
      <w:r w:rsidRPr="00E1329D">
        <w:rPr>
          <w:lang w:eastAsia="es-ES_tradnl"/>
        </w:rPr>
        <w:t>La literatura especializada en indicadores clave de desempeño en manufactura señala que los indicadores de productividad por trabajador (unidades producidas por hora), la tasa de piezas buenas en el primer pase</w:t>
      </w:r>
      <w:r>
        <w:rPr>
          <w:lang w:eastAsia="es-ES_tradnl"/>
        </w:rPr>
        <w:t xml:space="preserve"> o intento </w:t>
      </w:r>
      <w:r w:rsidRPr="00E1329D">
        <w:rPr>
          <w:lang w:eastAsia="es-ES_tradnl"/>
        </w:rPr>
        <w:t>(</w:t>
      </w:r>
      <w:r w:rsidRPr="00E1329D">
        <w:rPr>
          <w:i/>
          <w:lang w:eastAsia="es-ES_tradnl"/>
        </w:rPr>
        <w:t>first-</w:t>
      </w:r>
      <w:proofErr w:type="spellStart"/>
      <w:r w:rsidRPr="00E1329D">
        <w:rPr>
          <w:i/>
          <w:lang w:eastAsia="es-ES_tradnl"/>
        </w:rPr>
        <w:t>pass</w:t>
      </w:r>
      <w:proofErr w:type="spellEnd"/>
      <w:r w:rsidRPr="00E1329D">
        <w:rPr>
          <w:i/>
          <w:lang w:eastAsia="es-ES_tradnl"/>
        </w:rPr>
        <w:t xml:space="preserve"> </w:t>
      </w:r>
      <w:proofErr w:type="spellStart"/>
      <w:r w:rsidRPr="00E1329D">
        <w:rPr>
          <w:i/>
          <w:lang w:eastAsia="es-ES_tradnl"/>
        </w:rPr>
        <w:t>yield</w:t>
      </w:r>
      <w:proofErr w:type="spellEnd"/>
      <w:r w:rsidRPr="00E1329D">
        <w:rPr>
          <w:lang w:eastAsia="es-ES_tradnl"/>
        </w:rPr>
        <w:t>), la tasa de retrabajos y desperdicio, y el tiempo de ciclo por lote son métricas críticas para evaluar el desempeño operativo de personas y equipos en industrias metalúrgicas y metalmecánicas (</w:t>
      </w:r>
      <w:proofErr w:type="spellStart"/>
      <w:r w:rsidRPr="00E1329D">
        <w:rPr>
          <w:lang w:eastAsia="es-ES_tradnl"/>
        </w:rPr>
        <w:t>Gijo</w:t>
      </w:r>
      <w:proofErr w:type="spellEnd"/>
      <w:r w:rsidRPr="00E1329D">
        <w:rPr>
          <w:lang w:eastAsia="es-ES_tradnl"/>
        </w:rPr>
        <w:t xml:space="preserve"> et al., 2014; Singh &amp; Singh, 2012). Propuestas de índices compuestos de desempeño en manufactura sugieren combinar dimensiones de productividad, calidad, flexibilidad y eficiencia de recursos para obtener un indicador agregado de desempeño opera</w:t>
      </w:r>
      <w:r>
        <w:rPr>
          <w:lang w:eastAsia="es-ES_tradnl"/>
        </w:rPr>
        <w:t>cional</w:t>
      </w:r>
      <w:r w:rsidRPr="00E1329D">
        <w:rPr>
          <w:lang w:eastAsia="es-ES_tradnl"/>
        </w:rPr>
        <w:t xml:space="preserve">, útil para comparaciones dentro y entre organizaciones (Singh &amp; Singh, 2012; Tangen, 2004). En específico, en una empresa metalmecánica defensora (orientada a calidad, mejoramiento de la eficiencia operacional y costo), como es el caso en este estudio, el desempeño de cada operario se puede conceptualizar como su contribución con producir volúmenes </w:t>
      </w:r>
      <w:r w:rsidRPr="00E1329D">
        <w:rPr>
          <w:lang w:eastAsia="es-ES_tradnl"/>
        </w:rPr>
        <w:lastRenderedPageBreak/>
        <w:t>planificados, mantener tasas bajas de defectos y retrabajos, y utilizar materiales y tiempo de manera eficiente (Budiono et al., 2021; Osorio-Londoño et al., 2025). Alcanzar estos resultados es clave para que un defensor pueda competir en el mercado (Osorio-Londoño et al., 2020).</w:t>
      </w:r>
    </w:p>
    <w:p w14:paraId="1FEF0FDB" w14:textId="77777777" w:rsidR="002A6CF1" w:rsidRPr="008C33D2" w:rsidRDefault="002A6CF1" w:rsidP="008C33D2"/>
    <w:p w14:paraId="2D529CF6" w14:textId="159766FF" w:rsidR="007F0E28" w:rsidRPr="00285913" w:rsidRDefault="002A55F5" w:rsidP="007F0E28">
      <w:pPr>
        <w:jc w:val="center"/>
        <w:rPr>
          <w:b/>
        </w:rPr>
      </w:pPr>
      <w:r>
        <w:rPr>
          <w:b/>
        </w:rPr>
        <w:t>4</w:t>
      </w:r>
      <w:r w:rsidR="007F0E28" w:rsidRPr="00285913">
        <w:rPr>
          <w:b/>
        </w:rPr>
        <w:t xml:space="preserve"> </w:t>
      </w:r>
      <w:proofErr w:type="gramStart"/>
      <w:r w:rsidR="002F1EEA" w:rsidRPr="00E1329D">
        <w:rPr>
          <w:rFonts w:eastAsia="Times New Roman" w:cs="Times New Roman"/>
          <w:b/>
          <w:bCs/>
          <w:lang w:eastAsia="es-ES_tradnl"/>
        </w:rPr>
        <w:t>Hipótesis</w:t>
      </w:r>
      <w:proofErr w:type="gramEnd"/>
      <w:r w:rsidR="002F1EEA" w:rsidRPr="00E1329D">
        <w:rPr>
          <w:rFonts w:eastAsia="Times New Roman" w:cs="Times New Roman"/>
          <w:b/>
          <w:bCs/>
          <w:lang w:eastAsia="es-ES_tradnl"/>
        </w:rPr>
        <w:t xml:space="preserve"> De Investigación</w:t>
      </w:r>
    </w:p>
    <w:p w14:paraId="555C5F4F" w14:textId="77777777" w:rsidR="007F0E28" w:rsidRDefault="007F0E28" w:rsidP="007F0E28">
      <w:pPr>
        <w:ind w:firstLine="708"/>
        <w:rPr>
          <w:rFonts w:cs="Times New Roman"/>
          <w:szCs w:val="24"/>
        </w:rPr>
      </w:pPr>
    </w:p>
    <w:p w14:paraId="326C51BE" w14:textId="36891ECD" w:rsidR="005466A4" w:rsidRDefault="002F1EEA" w:rsidP="005466A4">
      <w:pPr>
        <w:ind w:firstLine="708"/>
        <w:rPr>
          <w:rFonts w:cs="Times New Roman"/>
          <w:szCs w:val="24"/>
        </w:rPr>
      </w:pPr>
      <w:r w:rsidRPr="00E1329D">
        <w:rPr>
          <w:rFonts w:eastAsia="Times New Roman" w:cs="Times New Roman"/>
          <w:lang w:eastAsia="es-ES_tradnl"/>
        </w:rPr>
        <w:t>Con base en el referente teórico descrito, se formulan las siguientes hipótesis de investigación que orientan la generación de nuevo conocimiento científico de este estudio.</w:t>
      </w:r>
    </w:p>
    <w:p w14:paraId="0088A857" w14:textId="77777777" w:rsidR="005466A4" w:rsidRDefault="005466A4" w:rsidP="005466A4">
      <w:pPr>
        <w:ind w:firstLine="708"/>
        <w:rPr>
          <w:rFonts w:cs="Times New Roman"/>
          <w:szCs w:val="24"/>
        </w:rPr>
      </w:pPr>
    </w:p>
    <w:p w14:paraId="4FA1B5A2" w14:textId="0A82C0E0" w:rsidR="00E67C94" w:rsidRPr="00DE6D01" w:rsidRDefault="002F1EEA" w:rsidP="00DE6D01">
      <w:pPr>
        <w:pStyle w:val="Ttulo2"/>
      </w:pPr>
      <w:bookmarkStart w:id="11" w:name="_Ref57039114"/>
      <w:r w:rsidRPr="00DE6D01">
        <w:t>Formulación de la hipótesis número 1</w:t>
      </w:r>
    </w:p>
    <w:p w14:paraId="1C5EBAC0" w14:textId="77777777" w:rsidR="009F1535" w:rsidRPr="009F1535" w:rsidRDefault="009F1535" w:rsidP="009F1535">
      <w:pPr>
        <w:rPr>
          <w:lang w:eastAsia="es-ES_tradnl"/>
        </w:rPr>
      </w:pPr>
    </w:p>
    <w:p w14:paraId="7F1B3222" w14:textId="77777777" w:rsidR="009F1535" w:rsidRPr="00E1329D" w:rsidRDefault="009F1535" w:rsidP="009F1535">
      <w:pPr>
        <w:pStyle w:val="PrrAPA"/>
        <w:rPr>
          <w:lang w:eastAsia="es-ES_tradnl"/>
        </w:rPr>
      </w:pPr>
      <w:bookmarkStart w:id="12" w:name="_Toc440985141"/>
      <w:bookmarkEnd w:id="11"/>
      <w:r w:rsidRPr="00E1329D">
        <w:rPr>
          <w:lang w:eastAsia="es-ES_tradnl"/>
        </w:rPr>
        <w:t xml:space="preserve">Los sistemas de gestión humana diseñados e implementados bajo una lógica universalista, es decir, como conjuntos de “mejores prácticas” de forma relativamente independiente, se asocian positivamente con el desempeño en manufactura de los empleados (Delery &amp; Doty, 1996). Esta hipótesis se fundamenta en la evidencia acumulada que muestra que prácticas como la selección rigurosa, la formación, la evaluación del desempeño y la compensación por mérito, aun implementadas de manera relativamente aislada, </w:t>
      </w:r>
      <w:r>
        <w:rPr>
          <w:lang w:eastAsia="es-ES_tradnl"/>
        </w:rPr>
        <w:t>pueden mejorar</w:t>
      </w:r>
      <w:r w:rsidRPr="00E1329D">
        <w:rPr>
          <w:lang w:eastAsia="es-ES_tradnl"/>
        </w:rPr>
        <w:t xml:space="preserve"> los resultados operativos y financieros de las organizaciones (</w:t>
      </w:r>
      <w:proofErr w:type="spellStart"/>
      <w:r w:rsidRPr="00E1329D">
        <w:rPr>
          <w:lang w:eastAsia="es-ES_tradnl"/>
        </w:rPr>
        <w:t>Huselid</w:t>
      </w:r>
      <w:proofErr w:type="spellEnd"/>
      <w:r w:rsidRPr="00E1329D">
        <w:rPr>
          <w:lang w:eastAsia="es-ES_tradnl"/>
        </w:rPr>
        <w:t>, 1995; Combs et al., 2006). Adicionalmente, se ha encontrado que estas prácticas</w:t>
      </w:r>
      <w:r>
        <w:rPr>
          <w:lang w:eastAsia="es-ES_tradnl"/>
        </w:rPr>
        <w:t xml:space="preserve"> también</w:t>
      </w:r>
      <w:r w:rsidRPr="00E1329D">
        <w:rPr>
          <w:lang w:eastAsia="es-ES_tradnl"/>
        </w:rPr>
        <w:t xml:space="preserve"> </w:t>
      </w:r>
      <w:r>
        <w:rPr>
          <w:lang w:eastAsia="es-ES_tradnl"/>
        </w:rPr>
        <w:t>mejoran</w:t>
      </w:r>
      <w:r w:rsidRPr="00E1329D">
        <w:rPr>
          <w:lang w:eastAsia="es-ES_tradnl"/>
        </w:rPr>
        <w:t xml:space="preserve"> el desempeño estratégico de las organizaciones, inclusive cuando son medidas de forma aislada (Osorio-Londoño et al., 2020). De acuerdo con lo anterior se formula la siguiente hipótesis: </w:t>
      </w:r>
    </w:p>
    <w:p w14:paraId="7753EBD4" w14:textId="515F428E" w:rsidR="002F1EEA" w:rsidRDefault="009F1535" w:rsidP="009F1535">
      <w:pPr>
        <w:pStyle w:val="PrrAPA"/>
        <w:rPr>
          <w:b/>
        </w:rPr>
      </w:pPr>
      <w:r w:rsidRPr="00E1329D">
        <w:rPr>
          <w:lang w:eastAsia="es-ES_tradnl"/>
        </w:rPr>
        <w:tab/>
      </w:r>
      <w:r w:rsidRPr="00E1329D">
        <w:rPr>
          <w:b/>
          <w:bCs/>
          <w:i/>
          <w:lang w:eastAsia="es-ES_tradnl"/>
        </w:rPr>
        <w:t xml:space="preserve">Hipótesis 1: </w:t>
      </w:r>
      <w:r w:rsidRPr="00E1329D">
        <w:rPr>
          <w:i/>
          <w:lang w:eastAsia="es-ES_tradnl"/>
        </w:rPr>
        <w:t>Los sistemas de gestión humana, implementados bajo una lógica universalista, mejoran el desempeño en manufactura de los empleados.</w:t>
      </w:r>
    </w:p>
    <w:p w14:paraId="74391EA7" w14:textId="65BE217A" w:rsidR="00FE37E1" w:rsidRDefault="00FE37E1" w:rsidP="009F1535">
      <w:pPr>
        <w:pStyle w:val="PrrAPA"/>
      </w:pPr>
    </w:p>
    <w:p w14:paraId="0DE81BB2" w14:textId="77777777" w:rsidR="009F1535" w:rsidRPr="00E1329D" w:rsidRDefault="009F1535" w:rsidP="009F1535">
      <w:pPr>
        <w:pStyle w:val="Ttulo2"/>
        <w:rPr>
          <w:lang w:eastAsia="es-ES_tradnl"/>
        </w:rPr>
      </w:pPr>
      <w:r w:rsidRPr="00E1329D">
        <w:rPr>
          <w:lang w:eastAsia="es-ES_tradnl"/>
        </w:rPr>
        <w:t>Formulación de la hipótesis número 2</w:t>
      </w:r>
    </w:p>
    <w:p w14:paraId="4A1726F4" w14:textId="4AC47490" w:rsidR="00E50034" w:rsidRDefault="00E50034" w:rsidP="00FE37E1">
      <w:pPr>
        <w:pStyle w:val="PrrAPA"/>
        <w:ind w:firstLine="0"/>
      </w:pPr>
    </w:p>
    <w:p w14:paraId="471E63EC" w14:textId="77777777" w:rsidR="009F1535" w:rsidRPr="00E1329D" w:rsidRDefault="009F1535" w:rsidP="009F1535">
      <w:pPr>
        <w:pStyle w:val="PrrAPA"/>
        <w:rPr>
          <w:b/>
          <w:bCs/>
          <w:lang w:eastAsia="es-ES_tradnl"/>
        </w:rPr>
      </w:pPr>
      <w:r w:rsidRPr="00E1329D">
        <w:rPr>
          <w:lang w:eastAsia="es-ES_tradnl"/>
        </w:rPr>
        <w:t xml:space="preserve">Los sistemas de gestión humana diseñados como </w:t>
      </w:r>
      <w:proofErr w:type="spellStart"/>
      <w:r w:rsidRPr="00E1329D">
        <w:rPr>
          <w:i/>
          <w:lang w:eastAsia="es-ES_tradnl"/>
        </w:rPr>
        <w:t>bundles</w:t>
      </w:r>
      <w:proofErr w:type="spellEnd"/>
      <w:r w:rsidRPr="00E1329D">
        <w:rPr>
          <w:lang w:eastAsia="es-ES_tradnl"/>
        </w:rPr>
        <w:t xml:space="preserve"> o HPWS coherentes, congruentes internamente y alineados con la lógica productiva, influyen en el desempeño en manufactura de los empleados, pues refuerzan los comportamientos que permiten mejorar dicho desempeño (MacDuffie, 1995).</w:t>
      </w:r>
      <w:r w:rsidRPr="00E1329D">
        <w:rPr>
          <w:b/>
          <w:bCs/>
          <w:lang w:eastAsia="es-ES_tradnl"/>
        </w:rPr>
        <w:t xml:space="preserve"> </w:t>
      </w:r>
      <w:r w:rsidRPr="00E1329D">
        <w:rPr>
          <w:lang w:eastAsia="es-ES_tradnl"/>
        </w:rPr>
        <w:t xml:space="preserve">Los </w:t>
      </w:r>
      <w:proofErr w:type="spellStart"/>
      <w:r w:rsidRPr="00E1329D">
        <w:rPr>
          <w:i/>
          <w:lang w:eastAsia="es-ES_tradnl"/>
        </w:rPr>
        <w:t>bundles</w:t>
      </w:r>
      <w:proofErr w:type="spellEnd"/>
      <w:r w:rsidRPr="00E1329D">
        <w:rPr>
          <w:lang w:eastAsia="es-ES_tradnl"/>
        </w:rPr>
        <w:t xml:space="preserve"> de prácticas complementarias tienen efectos significativos sobre la productividad, la calidad y el desempeño financiero, especialmente cuando se articulan con </w:t>
      </w:r>
      <w:r w:rsidRPr="00E1329D">
        <w:rPr>
          <w:lang w:eastAsia="es-ES_tradnl"/>
        </w:rPr>
        <w:lastRenderedPageBreak/>
        <w:t xml:space="preserve">sistemas de producción flexibles (Becker &amp; </w:t>
      </w:r>
      <w:proofErr w:type="spellStart"/>
      <w:r w:rsidRPr="00E1329D">
        <w:rPr>
          <w:lang w:eastAsia="es-ES_tradnl"/>
        </w:rPr>
        <w:t>Huselid</w:t>
      </w:r>
      <w:proofErr w:type="spellEnd"/>
      <w:r w:rsidRPr="00E1329D">
        <w:rPr>
          <w:lang w:eastAsia="es-ES_tradnl"/>
        </w:rPr>
        <w:t>, 1998; Gooderham et al., 2008; MacDuffie, 1995). En consecuencia, se plantea la hipótesis siguiente:</w:t>
      </w:r>
    </w:p>
    <w:p w14:paraId="00F68494" w14:textId="77777777" w:rsidR="009F1535" w:rsidRDefault="009F1535" w:rsidP="009F1535">
      <w:pPr>
        <w:pStyle w:val="PrrAPA"/>
        <w:rPr>
          <w:i/>
          <w:lang w:eastAsia="es-ES_tradnl"/>
        </w:rPr>
      </w:pPr>
      <w:r w:rsidRPr="00E1329D">
        <w:rPr>
          <w:lang w:eastAsia="es-ES_tradnl"/>
        </w:rPr>
        <w:tab/>
      </w:r>
      <w:r w:rsidRPr="00E1329D">
        <w:rPr>
          <w:b/>
          <w:bCs/>
          <w:i/>
          <w:lang w:eastAsia="es-ES_tradnl"/>
        </w:rPr>
        <w:t xml:space="preserve">Hipótesis 2: </w:t>
      </w:r>
      <w:r w:rsidRPr="00E1329D">
        <w:rPr>
          <w:i/>
          <w:lang w:eastAsia="es-ES_tradnl"/>
        </w:rPr>
        <w:t xml:space="preserve">Los sistemas de gestión humana, implementados bajo una lógica configuracional, mejoran el desempeño en manufactura de los empleados. </w:t>
      </w:r>
    </w:p>
    <w:p w14:paraId="60CD8155" w14:textId="77777777" w:rsidR="009F1535" w:rsidRDefault="009F1535" w:rsidP="009F1535">
      <w:pPr>
        <w:pStyle w:val="PrrAPA"/>
        <w:rPr>
          <w:i/>
          <w:lang w:eastAsia="es-ES_tradnl"/>
        </w:rPr>
      </w:pPr>
    </w:p>
    <w:p w14:paraId="000E7ACB" w14:textId="77777777" w:rsidR="00910794" w:rsidRPr="00E1329D" w:rsidRDefault="00910794" w:rsidP="00910794">
      <w:pPr>
        <w:pStyle w:val="Ttulo2"/>
        <w:rPr>
          <w:lang w:eastAsia="es-ES_tradnl"/>
        </w:rPr>
      </w:pPr>
      <w:r w:rsidRPr="00E1329D">
        <w:rPr>
          <w:lang w:eastAsia="es-ES_tradnl"/>
        </w:rPr>
        <w:t>Formulación de la hipótesis número 3</w:t>
      </w:r>
    </w:p>
    <w:p w14:paraId="576EB4FF" w14:textId="77777777" w:rsidR="00910794" w:rsidRDefault="00910794" w:rsidP="009F1535">
      <w:pPr>
        <w:pStyle w:val="PrrAPA"/>
      </w:pPr>
    </w:p>
    <w:p w14:paraId="309FA8C6" w14:textId="77777777" w:rsidR="00910794" w:rsidRPr="00E1329D" w:rsidRDefault="00910794" w:rsidP="00910794">
      <w:pPr>
        <w:pStyle w:val="PrrAPA"/>
        <w:rPr>
          <w:b/>
          <w:bCs/>
          <w:lang w:eastAsia="es-ES_tradnl"/>
        </w:rPr>
      </w:pPr>
      <w:r w:rsidRPr="00E1329D">
        <w:rPr>
          <w:lang w:eastAsia="es-ES_tradnl"/>
        </w:rPr>
        <w:t>Existe la expectativa, derivada de la RBV y del enfoque configuracional de la gestión humana, de que las sinergias internas entre prácticas (por ejemplo, entre formación, participación y compensación grupal) generan capacidades difíciles de imitar que amplifican los efectos sobre el desempeño en comparación con la suma de efectos de prácticas</w:t>
      </w:r>
      <w:r>
        <w:rPr>
          <w:lang w:eastAsia="es-ES_tradnl"/>
        </w:rPr>
        <w:t xml:space="preserve"> de gestión humana</w:t>
      </w:r>
      <w:r w:rsidRPr="00E1329D">
        <w:rPr>
          <w:lang w:eastAsia="es-ES_tradnl"/>
        </w:rPr>
        <w:t xml:space="preserve"> aisladas (Delery &amp; Doty, 1996; Georgiadis &amp; </w:t>
      </w:r>
      <w:proofErr w:type="spellStart"/>
      <w:r w:rsidRPr="00E1329D">
        <w:rPr>
          <w:lang w:eastAsia="es-ES_tradnl"/>
        </w:rPr>
        <w:t>Kornelakis</w:t>
      </w:r>
      <w:proofErr w:type="spellEnd"/>
      <w:r w:rsidRPr="00E1329D">
        <w:rPr>
          <w:lang w:eastAsia="es-ES_tradnl"/>
        </w:rPr>
        <w:t>, 2025; Lepak et al., 2006). Por lo tanto, el desempeño de los sistemas configuracionales se espera que supere al de los sistemas de gestión humana universalistas (MacDuffie, 1995). De este modo, se formula la hipótesis siguiente:</w:t>
      </w:r>
    </w:p>
    <w:p w14:paraId="781A81C7" w14:textId="77777777" w:rsidR="00910794" w:rsidRDefault="00910794" w:rsidP="00910794">
      <w:pPr>
        <w:pStyle w:val="PrrAPA"/>
        <w:rPr>
          <w:lang w:eastAsia="es-ES_tradnl"/>
        </w:rPr>
      </w:pPr>
      <w:r w:rsidRPr="00E1329D">
        <w:rPr>
          <w:b/>
          <w:bCs/>
          <w:i/>
          <w:lang w:eastAsia="es-ES_tradnl"/>
        </w:rPr>
        <w:t>Hipótesis 3:</w:t>
      </w:r>
      <w:r w:rsidRPr="00E1329D">
        <w:rPr>
          <w:b/>
          <w:bCs/>
          <w:lang w:eastAsia="es-ES_tradnl"/>
        </w:rPr>
        <w:t xml:space="preserve"> </w:t>
      </w:r>
      <w:r w:rsidRPr="00E1329D">
        <w:rPr>
          <w:lang w:eastAsia="es-ES_tradnl"/>
        </w:rPr>
        <w:t>Los sistemas de prácticas</w:t>
      </w:r>
      <w:r>
        <w:rPr>
          <w:lang w:eastAsia="es-ES_tradnl"/>
        </w:rPr>
        <w:t xml:space="preserve"> de</w:t>
      </w:r>
      <w:r w:rsidRPr="00E1329D">
        <w:rPr>
          <w:lang w:eastAsia="es-ES_tradnl"/>
        </w:rPr>
        <w:t xml:space="preserve"> gestión humana configurados como </w:t>
      </w:r>
      <w:proofErr w:type="spellStart"/>
      <w:r w:rsidRPr="00E1329D">
        <w:rPr>
          <w:i/>
          <w:lang w:eastAsia="es-ES_tradnl"/>
        </w:rPr>
        <w:t>bundles</w:t>
      </w:r>
      <w:proofErr w:type="spellEnd"/>
      <w:r w:rsidRPr="00E1329D">
        <w:rPr>
          <w:lang w:eastAsia="es-ES_tradnl"/>
        </w:rPr>
        <w:t xml:space="preserve"> o HPWS coherentes tienen un efecto mayor sobre el desempeño en manufactura que los sistemas universalistas (mejores prácticas)</w:t>
      </w:r>
    </w:p>
    <w:bookmarkEnd w:id="12"/>
    <w:p w14:paraId="0D5E1BEF" w14:textId="6E626A3A" w:rsidR="00BA6496" w:rsidRDefault="00BA6496" w:rsidP="00EA1643">
      <w:pPr>
        <w:rPr>
          <w:rFonts w:cs="Times New Roman"/>
          <w:szCs w:val="24"/>
        </w:rPr>
      </w:pPr>
    </w:p>
    <w:p w14:paraId="46087E12" w14:textId="2C5FCB1D" w:rsidR="00EA1643" w:rsidRDefault="00F646D2" w:rsidP="00A85C31">
      <w:pPr>
        <w:pStyle w:val="Ttulo1"/>
      </w:pPr>
      <w:bookmarkStart w:id="13" w:name="_Toc440985142"/>
      <w:r>
        <w:t xml:space="preserve">5 </w:t>
      </w:r>
      <w:proofErr w:type="gramStart"/>
      <w:r w:rsidR="00EA1643" w:rsidRPr="00285913">
        <w:t>Conclusiones</w:t>
      </w:r>
      <w:bookmarkEnd w:id="13"/>
      <w:proofErr w:type="gramEnd"/>
    </w:p>
    <w:p w14:paraId="4ED946FD" w14:textId="77777777" w:rsidR="00EA1643" w:rsidRDefault="00EA1643" w:rsidP="00EA1643"/>
    <w:p w14:paraId="00853892" w14:textId="6BDDCB92" w:rsidR="00EA1643" w:rsidRPr="002A55F5" w:rsidRDefault="002A55F5" w:rsidP="00EA1643">
      <w:pPr>
        <w:ind w:firstLine="708"/>
      </w:pPr>
      <w:r>
        <w:rPr>
          <w:rFonts w:eastAsia="Times New Roman" w:cs="Times New Roman"/>
          <w:lang w:eastAsia="es-ES_tradnl"/>
        </w:rPr>
        <w:t>Esta investigación</w:t>
      </w:r>
      <w:r w:rsidRPr="00E1329D">
        <w:rPr>
          <w:rFonts w:eastAsia="Times New Roman" w:cs="Times New Roman"/>
          <w:lang w:eastAsia="es-ES_tradnl"/>
        </w:rPr>
        <w:t xml:space="preserve"> aporta evidencia de que, en contextos manufactureros defensores, la transición desde sistemas universalistas de mejores prácticas de gestión humana hacia </w:t>
      </w:r>
      <w:proofErr w:type="spellStart"/>
      <w:r w:rsidRPr="00E1329D">
        <w:rPr>
          <w:rFonts w:eastAsia="Times New Roman" w:cs="Times New Roman"/>
          <w:i/>
          <w:iCs/>
          <w:lang w:eastAsia="es-ES_tradnl"/>
        </w:rPr>
        <w:t>bundles</w:t>
      </w:r>
      <w:proofErr w:type="spellEnd"/>
      <w:r w:rsidRPr="00E1329D">
        <w:rPr>
          <w:rFonts w:eastAsia="Times New Roman" w:cs="Times New Roman"/>
          <w:lang w:eastAsia="es-ES_tradnl"/>
        </w:rPr>
        <w:t xml:space="preserve"> configuracionales de HPWS puede generar mejoras </w:t>
      </w:r>
      <w:r>
        <w:rPr>
          <w:rFonts w:eastAsia="Times New Roman" w:cs="Times New Roman"/>
          <w:lang w:eastAsia="es-ES_tradnl"/>
        </w:rPr>
        <w:t>importantes de</w:t>
      </w:r>
      <w:r w:rsidRPr="00E1329D">
        <w:rPr>
          <w:rFonts w:eastAsia="Times New Roman" w:cs="Times New Roman"/>
          <w:lang w:eastAsia="es-ES_tradnl"/>
        </w:rPr>
        <w:t xml:space="preserve"> desempeño en manufactura. </w:t>
      </w:r>
      <w:r>
        <w:rPr>
          <w:rFonts w:eastAsia="Times New Roman" w:cs="Times New Roman"/>
          <w:lang w:eastAsia="es-ES_tradnl"/>
        </w:rPr>
        <w:t>Además</w:t>
      </w:r>
      <w:r w:rsidRPr="00E1329D">
        <w:rPr>
          <w:rFonts w:eastAsia="Times New Roman" w:cs="Times New Roman"/>
          <w:lang w:eastAsia="es-ES_tradnl"/>
        </w:rPr>
        <w:t xml:space="preserve">, destaca la necesidad de continuar desarrollando investigación que integre la RBV, los modos configuracionales y las perspectivas dinámicas de recursos de capital humano, particularmente en economías emergentes donde la manufactura sigue siendo </w:t>
      </w:r>
      <w:r>
        <w:rPr>
          <w:rFonts w:eastAsia="Times New Roman" w:cs="Times New Roman"/>
          <w:lang w:eastAsia="es-ES_tradnl"/>
        </w:rPr>
        <w:t>altamente dependiente de la mano de obra</w:t>
      </w:r>
      <w:r w:rsidRPr="00E1329D">
        <w:rPr>
          <w:rFonts w:eastAsia="Times New Roman" w:cs="Times New Roman"/>
          <w:lang w:eastAsia="es-ES_tradnl"/>
        </w:rPr>
        <w:t>.</w:t>
      </w:r>
    </w:p>
    <w:p w14:paraId="35E6F19C" w14:textId="6008F5E1" w:rsidR="00A47301" w:rsidRPr="002A55F5" w:rsidRDefault="00A47301" w:rsidP="0021027B">
      <w:pPr>
        <w:ind w:firstLine="708"/>
        <w:rPr>
          <w:rFonts w:cs="Times New Roman"/>
          <w:szCs w:val="24"/>
        </w:rPr>
      </w:pPr>
    </w:p>
    <w:p w14:paraId="591F13EA" w14:textId="003DA286" w:rsidR="00C727EA" w:rsidRPr="00216165" w:rsidRDefault="00A85C31" w:rsidP="00A85C31">
      <w:pPr>
        <w:pStyle w:val="Ttulo1"/>
        <w:rPr>
          <w:lang w:val="en-US"/>
        </w:rPr>
      </w:pPr>
      <w:r w:rsidRPr="00216165">
        <w:rPr>
          <w:lang w:val="en-US"/>
        </w:rPr>
        <w:t xml:space="preserve">6 </w:t>
      </w:r>
      <w:proofErr w:type="spellStart"/>
      <w:r w:rsidR="00C727EA" w:rsidRPr="00216165">
        <w:rPr>
          <w:lang w:val="en-US"/>
        </w:rPr>
        <w:t>Referencias</w:t>
      </w:r>
      <w:proofErr w:type="spellEnd"/>
    </w:p>
    <w:p w14:paraId="184BE9D4" w14:textId="77777777" w:rsidR="00C727EA" w:rsidRPr="00216165" w:rsidRDefault="00C727EA" w:rsidP="00C727EA">
      <w:pPr>
        <w:rPr>
          <w:rFonts w:cs="Times New Roman"/>
          <w:szCs w:val="24"/>
          <w:lang w:val="en-US"/>
        </w:rPr>
      </w:pPr>
    </w:p>
    <w:p w14:paraId="0CBE3B6C" w14:textId="77777777" w:rsidR="002A55F5" w:rsidRPr="002A55F5" w:rsidRDefault="002A55F5" w:rsidP="002A55F5">
      <w:pPr>
        <w:spacing w:line="480" w:lineRule="auto"/>
        <w:ind w:left="709" w:hanging="709"/>
        <w:rPr>
          <w:rFonts w:cs="Times New Roman"/>
          <w:color w:val="000000" w:themeColor="text1"/>
          <w:lang w:val="en-US"/>
        </w:rPr>
      </w:pPr>
      <w:r w:rsidRPr="002A55F5">
        <w:rPr>
          <w:rFonts w:cs="Times New Roman"/>
          <w:color w:val="000000" w:themeColor="text1"/>
          <w:lang w:val="en-US"/>
        </w:rPr>
        <w:lastRenderedPageBreak/>
        <w:t xml:space="preserve">Adebanjo, D., Teh, P.-L., Ahmed, P. K., Atay, E., &amp; </w:t>
      </w:r>
      <w:proofErr w:type="spellStart"/>
      <w:r w:rsidRPr="002A55F5">
        <w:rPr>
          <w:rFonts w:cs="Times New Roman"/>
          <w:color w:val="000000" w:themeColor="text1"/>
          <w:lang w:val="en-US"/>
        </w:rPr>
        <w:t>Ractham</w:t>
      </w:r>
      <w:proofErr w:type="spellEnd"/>
      <w:r w:rsidRPr="002A55F5">
        <w:rPr>
          <w:rFonts w:cs="Times New Roman"/>
          <w:color w:val="000000" w:themeColor="text1"/>
          <w:lang w:val="en-US"/>
        </w:rPr>
        <w:t xml:space="preserve">, P. (2020). Competitive priorities, employee management and development and sustainable manufacturing performance in Asian organizations. </w:t>
      </w:r>
      <w:r w:rsidRPr="002A55F5">
        <w:rPr>
          <w:rStyle w:val="nfasis"/>
          <w:rFonts w:cs="Times New Roman"/>
          <w:color w:val="000000" w:themeColor="text1"/>
          <w:lang w:val="en-US"/>
        </w:rPr>
        <w:t>Sustainability, 12</w:t>
      </w:r>
      <w:r w:rsidRPr="002A55F5">
        <w:rPr>
          <w:rFonts w:cs="Times New Roman"/>
          <w:color w:val="000000" w:themeColor="text1"/>
          <w:lang w:val="en-US"/>
        </w:rPr>
        <w:t xml:space="preserve">(13), 5335. https://doi.org/10.3390/su12135335 </w:t>
      </w:r>
    </w:p>
    <w:p w14:paraId="78FA5049"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Barney, J. (1991). Firm resources and sustained competitive advantage. </w:t>
      </w:r>
      <w:r w:rsidRPr="002A55F5">
        <w:rPr>
          <w:rFonts w:eastAsia="Times New Roman" w:cs="Times New Roman"/>
          <w:i/>
          <w:iCs/>
          <w:lang w:val="en-US" w:eastAsia="es-ES_tradnl"/>
        </w:rPr>
        <w:t>Journal of Management, 17</w:t>
      </w:r>
      <w:r w:rsidRPr="002A55F5">
        <w:rPr>
          <w:rFonts w:eastAsia="Times New Roman" w:cs="Times New Roman"/>
          <w:lang w:val="en-US" w:eastAsia="es-ES_tradnl"/>
        </w:rPr>
        <w:t xml:space="preserve">(1), 99–120. </w:t>
      </w:r>
      <w:r w:rsidRPr="002A55F5">
        <w:rPr>
          <w:rFonts w:eastAsia="Times New Roman" w:cs="Times New Roman"/>
          <w:color w:val="000000" w:themeColor="text1"/>
          <w:lang w:val="en-US" w:eastAsia="es-ES_tradnl"/>
        </w:rPr>
        <w:t>https://doi.org/10.1177/014920639101700108</w:t>
      </w:r>
    </w:p>
    <w:p w14:paraId="35E6E73F"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Barney, J. (2001). Resource-based theories of competitive advantage: A ten-year retrospective on the resource-based view. </w:t>
      </w:r>
      <w:r w:rsidRPr="002A55F5">
        <w:rPr>
          <w:rFonts w:eastAsia="Times New Roman" w:cs="Times New Roman"/>
          <w:i/>
          <w:iCs/>
          <w:lang w:val="en-US" w:eastAsia="es-ES_tradnl"/>
        </w:rPr>
        <w:t>Journal of Management, 27</w:t>
      </w:r>
      <w:r w:rsidRPr="002A55F5">
        <w:rPr>
          <w:rFonts w:eastAsia="Times New Roman" w:cs="Times New Roman"/>
          <w:lang w:val="en-US" w:eastAsia="es-ES_tradnl"/>
        </w:rPr>
        <w:t xml:space="preserve">(6), 643–650. </w:t>
      </w:r>
      <w:hyperlink r:id="rId12" w:tgtFrame="_new" w:history="1">
        <w:r w:rsidRPr="002A55F5">
          <w:rPr>
            <w:rFonts w:eastAsia="Times New Roman" w:cs="Times New Roman"/>
            <w:color w:val="000000" w:themeColor="text1"/>
            <w:u w:val="single"/>
            <w:lang w:val="en-US" w:eastAsia="es-ES_tradnl"/>
          </w:rPr>
          <w:t>https://doi.org/10.1177/014920630102700601</w:t>
        </w:r>
      </w:hyperlink>
    </w:p>
    <w:p w14:paraId="764236EC"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Becker, B. E., &amp; </w:t>
      </w:r>
      <w:proofErr w:type="spellStart"/>
      <w:r w:rsidRPr="002A55F5">
        <w:rPr>
          <w:rFonts w:eastAsia="Times New Roman" w:cs="Times New Roman"/>
          <w:lang w:val="en-US" w:eastAsia="es-ES_tradnl"/>
        </w:rPr>
        <w:t>Huselid</w:t>
      </w:r>
      <w:proofErr w:type="spellEnd"/>
      <w:r w:rsidRPr="002A55F5">
        <w:rPr>
          <w:rFonts w:eastAsia="Times New Roman" w:cs="Times New Roman"/>
          <w:lang w:val="en-US" w:eastAsia="es-ES_tradnl"/>
        </w:rPr>
        <w:t xml:space="preserve">, M. A. (1998). High performance work systems and firm performance: A synthesis of research and managerial implications. </w:t>
      </w:r>
      <w:r w:rsidRPr="002A55F5">
        <w:rPr>
          <w:rFonts w:eastAsia="Times New Roman" w:cs="Times New Roman"/>
          <w:i/>
          <w:iCs/>
          <w:lang w:val="en-US" w:eastAsia="es-ES_tradnl"/>
        </w:rPr>
        <w:t>Research in Personnel and Human Resources Management, 16</w:t>
      </w:r>
      <w:r w:rsidRPr="002A55F5">
        <w:rPr>
          <w:rFonts w:eastAsia="Times New Roman" w:cs="Times New Roman"/>
          <w:lang w:val="en-US" w:eastAsia="es-ES_tradnl"/>
        </w:rPr>
        <w:t>, 53–101.</w:t>
      </w:r>
    </w:p>
    <w:p w14:paraId="6541F02C" w14:textId="77777777" w:rsidR="002A55F5" w:rsidRPr="00E1329D" w:rsidRDefault="002A55F5" w:rsidP="002A55F5">
      <w:pPr>
        <w:spacing w:line="480" w:lineRule="auto"/>
        <w:ind w:left="709" w:hanging="709"/>
        <w:rPr>
          <w:rFonts w:eastAsia="Times New Roman" w:cs="Times New Roman"/>
          <w:lang w:eastAsia="es-ES_tradnl"/>
        </w:rPr>
      </w:pPr>
      <w:r w:rsidRPr="002A55F5">
        <w:rPr>
          <w:rFonts w:eastAsia="Times New Roman" w:cs="Times New Roman"/>
          <w:lang w:val="en-US" w:eastAsia="es-ES_tradnl"/>
        </w:rPr>
        <w:t xml:space="preserve">Boxall, P., &amp; Purcell, J. (2016). </w:t>
      </w:r>
      <w:r w:rsidRPr="002A55F5">
        <w:rPr>
          <w:rFonts w:eastAsia="Times New Roman" w:cs="Times New Roman"/>
          <w:i/>
          <w:iCs/>
          <w:lang w:val="en-US" w:eastAsia="es-ES_tradnl"/>
        </w:rPr>
        <w:t>Strategy and human resource management</w:t>
      </w:r>
      <w:r w:rsidRPr="002A55F5">
        <w:rPr>
          <w:rFonts w:eastAsia="Times New Roman" w:cs="Times New Roman"/>
          <w:lang w:val="en-US" w:eastAsia="es-ES_tradnl"/>
        </w:rPr>
        <w:t xml:space="preserve"> (4th ed.). </w:t>
      </w:r>
      <w:proofErr w:type="spellStart"/>
      <w:r w:rsidRPr="00E1329D">
        <w:rPr>
          <w:rFonts w:eastAsia="Times New Roman" w:cs="Times New Roman"/>
          <w:lang w:eastAsia="es-ES_tradnl"/>
        </w:rPr>
        <w:t>Palgrave</w:t>
      </w:r>
      <w:proofErr w:type="spellEnd"/>
      <w:r w:rsidRPr="00E1329D">
        <w:rPr>
          <w:rFonts w:eastAsia="Times New Roman" w:cs="Times New Roman"/>
          <w:lang w:eastAsia="es-ES_tradnl"/>
        </w:rPr>
        <w:t xml:space="preserve"> Macmillan.</w:t>
      </w:r>
    </w:p>
    <w:p w14:paraId="2DA7AC51" w14:textId="77777777" w:rsidR="002A55F5" w:rsidRPr="002A55F5" w:rsidRDefault="002A55F5" w:rsidP="002A55F5">
      <w:pPr>
        <w:spacing w:line="480" w:lineRule="auto"/>
        <w:ind w:left="709" w:hanging="709"/>
        <w:rPr>
          <w:rStyle w:val="ms-1"/>
          <w:rFonts w:cs="Times New Roman"/>
          <w:color w:val="000000" w:themeColor="text1"/>
          <w:lang w:val="en-US"/>
        </w:rPr>
      </w:pPr>
      <w:r w:rsidRPr="00E1329D">
        <w:rPr>
          <w:rFonts w:cs="Times New Roman"/>
          <w:color w:val="000000" w:themeColor="text1"/>
        </w:rPr>
        <w:t xml:space="preserve">Budiono, H. D. S., </w:t>
      </w:r>
      <w:proofErr w:type="spellStart"/>
      <w:r w:rsidRPr="00E1329D">
        <w:rPr>
          <w:rFonts w:cs="Times New Roman"/>
          <w:color w:val="000000" w:themeColor="text1"/>
        </w:rPr>
        <w:t>Nurcahyo</w:t>
      </w:r>
      <w:proofErr w:type="spellEnd"/>
      <w:r w:rsidRPr="00E1329D">
        <w:rPr>
          <w:rFonts w:cs="Times New Roman"/>
          <w:color w:val="000000" w:themeColor="text1"/>
        </w:rPr>
        <w:t xml:space="preserve">, R., &amp; </w:t>
      </w:r>
      <w:proofErr w:type="spellStart"/>
      <w:r w:rsidRPr="00E1329D">
        <w:rPr>
          <w:rFonts w:cs="Times New Roman"/>
          <w:color w:val="000000" w:themeColor="text1"/>
        </w:rPr>
        <w:t>Habiburrahman</w:t>
      </w:r>
      <w:proofErr w:type="spellEnd"/>
      <w:r w:rsidRPr="00E1329D">
        <w:rPr>
          <w:rFonts w:cs="Times New Roman"/>
          <w:color w:val="000000" w:themeColor="text1"/>
        </w:rPr>
        <w:t xml:space="preserve">, M. (2021). </w:t>
      </w:r>
      <w:r w:rsidRPr="00CB3078">
        <w:rPr>
          <w:rFonts w:cs="Times New Roman"/>
          <w:color w:val="000000" w:themeColor="text1"/>
          <w:lang w:val="en-US"/>
        </w:rPr>
        <w:t xml:space="preserve">Relationship between manufacturing complexity, strategy, and performance of manufacturing industries in Indonesia. </w:t>
      </w:r>
      <w:proofErr w:type="spellStart"/>
      <w:r w:rsidRPr="002A55F5">
        <w:rPr>
          <w:rStyle w:val="nfasis"/>
          <w:rFonts w:cs="Times New Roman"/>
          <w:color w:val="000000" w:themeColor="text1"/>
          <w:lang w:val="en-US"/>
        </w:rPr>
        <w:t>Heliyon</w:t>
      </w:r>
      <w:proofErr w:type="spellEnd"/>
      <w:r w:rsidRPr="002A55F5">
        <w:rPr>
          <w:rStyle w:val="nfasis"/>
          <w:rFonts w:cs="Times New Roman"/>
          <w:color w:val="000000" w:themeColor="text1"/>
          <w:lang w:val="en-US"/>
        </w:rPr>
        <w:t>, 7</w:t>
      </w:r>
      <w:r w:rsidRPr="002A55F5">
        <w:rPr>
          <w:rFonts w:cs="Times New Roman"/>
          <w:color w:val="000000" w:themeColor="text1"/>
          <w:lang w:val="en-US"/>
        </w:rPr>
        <w:t xml:space="preserve">(6), e07225. </w:t>
      </w:r>
      <w:hyperlink r:id="rId13" w:tgtFrame="_new" w:history="1">
        <w:r w:rsidRPr="002A55F5">
          <w:rPr>
            <w:rStyle w:val="Hipervnculo"/>
            <w:rFonts w:cs="Times New Roman"/>
            <w:color w:val="000000" w:themeColor="text1"/>
            <w:lang w:val="en-US"/>
          </w:rPr>
          <w:t>https://doi.org/10.1016/j.heliyon.2021.e07225</w:t>
        </w:r>
      </w:hyperlink>
      <w:r w:rsidRPr="002A55F5">
        <w:rPr>
          <w:rFonts w:cs="Times New Roman"/>
          <w:color w:val="000000" w:themeColor="text1"/>
          <w:lang w:val="en-US"/>
        </w:rPr>
        <w:t xml:space="preserve"> </w:t>
      </w:r>
      <w:r w:rsidRPr="002A55F5">
        <w:rPr>
          <w:rStyle w:val="max-w-15ch"/>
          <w:rFonts w:cs="Times New Roman"/>
          <w:color w:val="000000" w:themeColor="text1"/>
          <w:lang w:val="en-US"/>
        </w:rPr>
        <w:t>scholar.ui.ac.id</w:t>
      </w:r>
    </w:p>
    <w:p w14:paraId="148A5B39"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Combs, J., Liu, Y., Hall, A., &amp; Ketchen, D. (2006). How much do high-performance work practices matter? A meta-analysis of their effects on organizational performance. </w:t>
      </w:r>
      <w:r w:rsidRPr="002A55F5">
        <w:rPr>
          <w:rFonts w:eastAsia="Times New Roman" w:cs="Times New Roman"/>
          <w:i/>
          <w:iCs/>
          <w:lang w:val="en-US" w:eastAsia="es-ES_tradnl"/>
        </w:rPr>
        <w:t>Personnel Psychology, 59</w:t>
      </w:r>
      <w:r w:rsidRPr="002A55F5">
        <w:rPr>
          <w:rFonts w:eastAsia="Times New Roman" w:cs="Times New Roman"/>
          <w:lang w:val="en-US" w:eastAsia="es-ES_tradnl"/>
        </w:rPr>
        <w:t>(3), 501–528. https://doi.org/10.1111/j.1744-6570.2006.00045.x</w:t>
      </w:r>
    </w:p>
    <w:p w14:paraId="1ADA4B3D"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Delery, J. E., &amp; Doty, D. H. (1996). Modes of theorizing in strategic human resource management: Tests of universalistic, contingency, and configurational performance predictions. </w:t>
      </w:r>
      <w:r w:rsidRPr="002A55F5">
        <w:rPr>
          <w:rFonts w:eastAsia="Times New Roman" w:cs="Times New Roman"/>
          <w:i/>
          <w:iCs/>
          <w:lang w:val="en-US" w:eastAsia="es-ES_tradnl"/>
        </w:rPr>
        <w:t>Academy of Management Journal, 39</w:t>
      </w:r>
      <w:r w:rsidRPr="002A55F5">
        <w:rPr>
          <w:rFonts w:eastAsia="Times New Roman" w:cs="Times New Roman"/>
          <w:lang w:val="en-US" w:eastAsia="es-ES_tradnl"/>
        </w:rPr>
        <w:t>(4), 802–835. https://doi.org/10.5465/256713</w:t>
      </w:r>
    </w:p>
    <w:p w14:paraId="4385191C"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lastRenderedPageBreak/>
        <w:t xml:space="preserve">Georgiadis, A., &amp; Kornelakis, A. (2025). Pay and train to sustain: A dynamic human capital resources view of the relationship between HRM practices and organizational performance over time. </w:t>
      </w:r>
      <w:r w:rsidRPr="002A55F5">
        <w:rPr>
          <w:rFonts w:eastAsia="Times New Roman" w:cs="Times New Roman"/>
          <w:i/>
          <w:iCs/>
          <w:lang w:val="en-US" w:eastAsia="es-ES_tradnl"/>
        </w:rPr>
        <w:t>Human Resource Management, 0</w:t>
      </w:r>
      <w:r w:rsidRPr="002A55F5">
        <w:rPr>
          <w:rFonts w:eastAsia="Times New Roman" w:cs="Times New Roman"/>
          <w:lang w:val="en-US" w:eastAsia="es-ES_tradnl"/>
        </w:rPr>
        <w:t>, 1–24. https://doi.org/10.1002/hrm.22321</w:t>
      </w:r>
    </w:p>
    <w:p w14:paraId="6421189E"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Gerhart, B. (2005). Human resources and business performance: Findings, unanswered questions, and an alternative approach. </w:t>
      </w:r>
      <w:r w:rsidRPr="002A55F5">
        <w:rPr>
          <w:rFonts w:eastAsia="Times New Roman" w:cs="Times New Roman"/>
          <w:i/>
          <w:iCs/>
          <w:lang w:val="en-US" w:eastAsia="es-ES_tradnl"/>
        </w:rPr>
        <w:t>Management Revue, 16</w:t>
      </w:r>
      <w:r w:rsidRPr="002A55F5">
        <w:rPr>
          <w:rFonts w:eastAsia="Times New Roman" w:cs="Times New Roman"/>
          <w:lang w:val="en-US" w:eastAsia="es-ES_tradnl"/>
        </w:rPr>
        <w:t>(2), 174–185. https://doi.org/10.5771/0935-9915-2005-2-174</w:t>
      </w:r>
    </w:p>
    <w:p w14:paraId="64BA503F" w14:textId="77777777" w:rsidR="002A55F5" w:rsidRPr="002A55F5" w:rsidRDefault="002A55F5" w:rsidP="002A55F5">
      <w:pPr>
        <w:spacing w:line="480" w:lineRule="auto"/>
        <w:ind w:left="709" w:hanging="709"/>
        <w:rPr>
          <w:rStyle w:val="ms-1"/>
          <w:rFonts w:cs="Times New Roman"/>
          <w:color w:val="000000" w:themeColor="text1"/>
          <w:lang w:val="en-US"/>
        </w:rPr>
      </w:pPr>
      <w:proofErr w:type="spellStart"/>
      <w:r w:rsidRPr="002A55F5">
        <w:rPr>
          <w:rFonts w:cs="Times New Roman"/>
          <w:color w:val="000000" w:themeColor="text1"/>
          <w:lang w:val="en-US"/>
        </w:rPr>
        <w:t>Gijo</w:t>
      </w:r>
      <w:proofErr w:type="spellEnd"/>
      <w:r w:rsidRPr="002A55F5">
        <w:rPr>
          <w:rFonts w:cs="Times New Roman"/>
          <w:color w:val="000000" w:themeColor="text1"/>
          <w:lang w:val="en-US"/>
        </w:rPr>
        <w:t xml:space="preserve">, E. V., Antony, J., Kumar, M., McAdam, R., &amp; Hernandez, J. L. (2014). An application of Six Sigma methodology for improving the first pass yield of a grinding process. </w:t>
      </w:r>
      <w:r w:rsidRPr="002A55F5">
        <w:rPr>
          <w:rStyle w:val="nfasis"/>
          <w:rFonts w:cs="Times New Roman"/>
          <w:color w:val="000000" w:themeColor="text1"/>
          <w:lang w:val="en-US"/>
        </w:rPr>
        <w:t>Journal of Manufacturing Technology Management, 25</w:t>
      </w:r>
      <w:r w:rsidRPr="002A55F5">
        <w:rPr>
          <w:rFonts w:cs="Times New Roman"/>
          <w:color w:val="000000" w:themeColor="text1"/>
          <w:lang w:val="en-US"/>
        </w:rPr>
        <w:t xml:space="preserve">(1), 125–135. https://doi.org/10.1108/JMTM-12-2011-0109 </w:t>
      </w:r>
    </w:p>
    <w:p w14:paraId="5AA55B79"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Gooderham, P., Parry, E., &amp; Ringdal, K. (2008). The impact of bundles of strategic human resource management practices on the performance of European firms. </w:t>
      </w:r>
      <w:r w:rsidRPr="002A55F5">
        <w:rPr>
          <w:rFonts w:eastAsia="Times New Roman" w:cs="Times New Roman"/>
          <w:i/>
          <w:iCs/>
          <w:lang w:val="en-US" w:eastAsia="es-ES_tradnl"/>
        </w:rPr>
        <w:t>International Journal of Human Resource Management, 19</w:t>
      </w:r>
      <w:r w:rsidRPr="002A55F5">
        <w:rPr>
          <w:rFonts w:eastAsia="Times New Roman" w:cs="Times New Roman"/>
          <w:lang w:val="en-US" w:eastAsia="es-ES_tradnl"/>
        </w:rPr>
        <w:t>(11), 2041–2056. https://doi.org/10.1080/09585190802404296</w:t>
      </w:r>
    </w:p>
    <w:p w14:paraId="14B321F4" w14:textId="77777777" w:rsidR="002A55F5" w:rsidRPr="002A55F5" w:rsidRDefault="002A55F5" w:rsidP="002A55F5">
      <w:pPr>
        <w:spacing w:line="480" w:lineRule="auto"/>
        <w:ind w:left="709" w:hanging="709"/>
        <w:rPr>
          <w:rFonts w:eastAsia="Times New Roman" w:cs="Times New Roman"/>
          <w:lang w:val="en-US" w:eastAsia="es-ES_tradnl"/>
        </w:rPr>
      </w:pPr>
      <w:proofErr w:type="spellStart"/>
      <w:r w:rsidRPr="002A55F5">
        <w:rPr>
          <w:rFonts w:eastAsia="Times New Roman" w:cs="Times New Roman"/>
          <w:lang w:val="en-US" w:eastAsia="es-ES_tradnl"/>
        </w:rPr>
        <w:t>Huselid</w:t>
      </w:r>
      <w:proofErr w:type="spellEnd"/>
      <w:r w:rsidRPr="002A55F5">
        <w:rPr>
          <w:rFonts w:eastAsia="Times New Roman" w:cs="Times New Roman"/>
          <w:lang w:val="en-US" w:eastAsia="es-ES_tradnl"/>
        </w:rPr>
        <w:t xml:space="preserve">, M. A. (1995). The impact of human resource management practices on turnover, productivity, and corporate financial performance. </w:t>
      </w:r>
      <w:r w:rsidRPr="002A55F5">
        <w:rPr>
          <w:rFonts w:eastAsia="Times New Roman" w:cs="Times New Roman"/>
          <w:i/>
          <w:iCs/>
          <w:lang w:val="en-US" w:eastAsia="es-ES_tradnl"/>
        </w:rPr>
        <w:t>Academy of Management Journal, 38</w:t>
      </w:r>
      <w:r w:rsidRPr="002A55F5">
        <w:rPr>
          <w:rFonts w:eastAsia="Times New Roman" w:cs="Times New Roman"/>
          <w:lang w:val="en-US" w:eastAsia="es-ES_tradnl"/>
        </w:rPr>
        <w:t>(3), 635–672. https://doi.org/10.2307/256741</w:t>
      </w:r>
    </w:p>
    <w:p w14:paraId="372A3DD2"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Jiang, K., &amp; Messersmith, J. (2018). On the shoulders of giants: A meta-review of strategic human resource management. </w:t>
      </w:r>
      <w:r w:rsidRPr="002A55F5">
        <w:rPr>
          <w:rFonts w:eastAsia="Times New Roman" w:cs="Times New Roman"/>
          <w:i/>
          <w:iCs/>
          <w:lang w:val="en-US" w:eastAsia="es-ES_tradnl"/>
        </w:rPr>
        <w:t>International Journal of Human Resource Management, 29</w:t>
      </w:r>
      <w:r w:rsidRPr="002A55F5">
        <w:rPr>
          <w:rFonts w:eastAsia="Times New Roman" w:cs="Times New Roman"/>
          <w:lang w:val="en-US" w:eastAsia="es-ES_tradnl"/>
        </w:rPr>
        <w:t>(1), 6–33. https://doi.org/10.1080/09585192.2017.1384930</w:t>
      </w:r>
    </w:p>
    <w:p w14:paraId="6A927342"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Jiang, K., Lepak, D. P., Hu, J., &amp; Baer, J. C. (2012). How does human resource management influence organizational outcomes? A meta-analytic investigation of mediating </w:t>
      </w:r>
      <w:r w:rsidRPr="002A55F5">
        <w:rPr>
          <w:rFonts w:eastAsia="Times New Roman" w:cs="Times New Roman"/>
          <w:lang w:val="en-US" w:eastAsia="es-ES_tradnl"/>
        </w:rPr>
        <w:lastRenderedPageBreak/>
        <w:t xml:space="preserve">mechanisms. </w:t>
      </w:r>
      <w:r w:rsidRPr="002A55F5">
        <w:rPr>
          <w:rFonts w:eastAsia="Times New Roman" w:cs="Times New Roman"/>
          <w:i/>
          <w:iCs/>
          <w:lang w:val="en-US" w:eastAsia="es-ES_tradnl"/>
        </w:rPr>
        <w:t>Academy of Management Journal, 55</w:t>
      </w:r>
      <w:r w:rsidRPr="002A55F5">
        <w:rPr>
          <w:rFonts w:eastAsia="Times New Roman" w:cs="Times New Roman"/>
          <w:lang w:val="en-US" w:eastAsia="es-ES_tradnl"/>
        </w:rPr>
        <w:t xml:space="preserve">(6), 1264–1294. </w:t>
      </w:r>
      <w:r w:rsidRPr="002A55F5">
        <w:rPr>
          <w:rFonts w:eastAsia="Times New Roman" w:cs="Times New Roman"/>
          <w:color w:val="000000" w:themeColor="text1"/>
          <w:lang w:val="en-US" w:eastAsia="es-ES_tradnl"/>
        </w:rPr>
        <w:t>https://doi.org/10.5465/amj.2011.0088</w:t>
      </w:r>
    </w:p>
    <w:p w14:paraId="0F5CA03E"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Lepak, D. P., &amp; Snell, S. A. (1999). </w:t>
      </w:r>
      <w:proofErr w:type="gramStart"/>
      <w:r w:rsidRPr="002A55F5">
        <w:rPr>
          <w:rFonts w:eastAsia="Times New Roman" w:cs="Times New Roman"/>
          <w:lang w:val="en-US" w:eastAsia="es-ES_tradnl"/>
        </w:rPr>
        <w:t>The human</w:t>
      </w:r>
      <w:proofErr w:type="gramEnd"/>
      <w:r w:rsidRPr="002A55F5">
        <w:rPr>
          <w:rFonts w:eastAsia="Times New Roman" w:cs="Times New Roman"/>
          <w:lang w:val="en-US" w:eastAsia="es-ES_tradnl"/>
        </w:rPr>
        <w:t xml:space="preserve"> </w:t>
      </w:r>
      <w:proofErr w:type="gramStart"/>
      <w:r w:rsidRPr="002A55F5">
        <w:rPr>
          <w:rFonts w:eastAsia="Times New Roman" w:cs="Times New Roman"/>
          <w:lang w:val="en-US" w:eastAsia="es-ES_tradnl"/>
        </w:rPr>
        <w:t>resource architecture</w:t>
      </w:r>
      <w:proofErr w:type="gramEnd"/>
      <w:r w:rsidRPr="002A55F5">
        <w:rPr>
          <w:rFonts w:eastAsia="Times New Roman" w:cs="Times New Roman"/>
          <w:lang w:val="en-US" w:eastAsia="es-ES_tradnl"/>
        </w:rPr>
        <w:t xml:space="preserve">: Toward a theory of human capital allocation and development. </w:t>
      </w:r>
      <w:r w:rsidRPr="002A55F5">
        <w:rPr>
          <w:rFonts w:eastAsia="Times New Roman" w:cs="Times New Roman"/>
          <w:i/>
          <w:iCs/>
          <w:lang w:val="en-US" w:eastAsia="es-ES_tradnl"/>
        </w:rPr>
        <w:t>Academy of Management Review, 24</w:t>
      </w:r>
      <w:r w:rsidRPr="002A55F5">
        <w:rPr>
          <w:rFonts w:eastAsia="Times New Roman" w:cs="Times New Roman"/>
          <w:lang w:val="en-US" w:eastAsia="es-ES_tradnl"/>
        </w:rPr>
        <w:t>(1), 31–48. https://doi.org/10.5465/amr.1999.1580439</w:t>
      </w:r>
    </w:p>
    <w:p w14:paraId="6F7C2843"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Lepak, D. P., Liao, H., Chung, Y., &amp; Harden, E. E. (2006). A conceptual review of human resource management systems in strategic human resource management research. In J. J. Martocchio (Ed.), </w:t>
      </w:r>
      <w:r w:rsidRPr="002A55F5">
        <w:rPr>
          <w:rFonts w:eastAsia="Times New Roman" w:cs="Times New Roman"/>
          <w:i/>
          <w:iCs/>
          <w:lang w:val="en-US" w:eastAsia="es-ES_tradnl"/>
        </w:rPr>
        <w:t>Research in personnel and human resources management</w:t>
      </w:r>
      <w:r w:rsidRPr="002A55F5">
        <w:rPr>
          <w:rFonts w:eastAsia="Times New Roman" w:cs="Times New Roman"/>
          <w:lang w:val="en-US" w:eastAsia="es-ES_tradnl"/>
        </w:rPr>
        <w:t xml:space="preserve"> (Vol. 25, pp. 217–271). Emerald. https://doi.org/10.1016/S0742-7301(06)25006-0</w:t>
      </w:r>
    </w:p>
    <w:p w14:paraId="092185F5"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Li, M., &amp; Rasiah, R. (2025). </w:t>
      </w:r>
      <w:r w:rsidRPr="002A55F5">
        <w:rPr>
          <w:rFonts w:eastAsia="Times New Roman" w:cs="Times New Roman"/>
          <w:i/>
          <w:iCs/>
          <w:lang w:val="en-US" w:eastAsia="es-ES_tradnl"/>
        </w:rPr>
        <w:t>High-performance work systems, psychological empowerment, and power distance orientation in shaping employee innovation: A moderated mediation model</w:t>
      </w:r>
      <w:r w:rsidRPr="002A55F5">
        <w:rPr>
          <w:rFonts w:eastAsia="Times New Roman" w:cs="Times New Roman"/>
          <w:lang w:val="en-US" w:eastAsia="es-ES_tradnl"/>
        </w:rPr>
        <w:t xml:space="preserve">. </w:t>
      </w:r>
      <w:r w:rsidRPr="002A55F5">
        <w:rPr>
          <w:rFonts w:eastAsia="Times New Roman" w:cs="Times New Roman"/>
          <w:i/>
          <w:iCs/>
          <w:lang w:val="en-US" w:eastAsia="es-ES_tradnl"/>
        </w:rPr>
        <w:t>Scientific Reports, 15</w:t>
      </w:r>
      <w:r w:rsidRPr="002A55F5">
        <w:rPr>
          <w:rFonts w:eastAsia="Times New Roman" w:cs="Times New Roman"/>
          <w:lang w:val="en-US" w:eastAsia="es-ES_tradnl"/>
        </w:rPr>
        <w:t xml:space="preserve">, 27189. </w:t>
      </w:r>
      <w:hyperlink r:id="rId14" w:tgtFrame="_new" w:history="1">
        <w:r w:rsidRPr="002A55F5">
          <w:rPr>
            <w:rFonts w:eastAsia="Times New Roman" w:cs="Times New Roman"/>
            <w:lang w:val="en-US" w:eastAsia="es-ES_tradnl"/>
          </w:rPr>
          <w:t>https://doi.org/10.1038/s41598-025-08522-0</w:t>
        </w:r>
      </w:hyperlink>
    </w:p>
    <w:p w14:paraId="661CC5F8"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MacDuffie, J. P. (1995). Human resource bundles and manufacturing performance: Organizational logic and flexible production systems in the world auto industry. </w:t>
      </w:r>
      <w:r w:rsidRPr="002A55F5">
        <w:rPr>
          <w:rFonts w:eastAsia="Times New Roman" w:cs="Times New Roman"/>
          <w:i/>
          <w:iCs/>
          <w:lang w:val="en-US" w:eastAsia="es-ES_tradnl"/>
        </w:rPr>
        <w:t>Industrial and Labor Relations Review, 48</w:t>
      </w:r>
      <w:r w:rsidRPr="002A55F5">
        <w:rPr>
          <w:rFonts w:eastAsia="Times New Roman" w:cs="Times New Roman"/>
          <w:lang w:val="en-US" w:eastAsia="es-ES_tradnl"/>
        </w:rPr>
        <w:t xml:space="preserve">(2), 197–221. </w:t>
      </w:r>
      <w:r w:rsidRPr="002A55F5">
        <w:rPr>
          <w:rFonts w:eastAsia="Times New Roman" w:cs="Times New Roman"/>
          <w:color w:val="000000" w:themeColor="text1"/>
          <w:lang w:val="en-US" w:eastAsia="es-ES_tradnl"/>
        </w:rPr>
        <w:t>https://doi.org/10.1177/001979399504800201</w:t>
      </w:r>
    </w:p>
    <w:p w14:paraId="78E39D3F"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Miles, R. E., &amp; Snow, C. C. (1978). </w:t>
      </w:r>
      <w:r w:rsidRPr="002A55F5">
        <w:rPr>
          <w:rFonts w:eastAsia="Times New Roman" w:cs="Times New Roman"/>
          <w:i/>
          <w:iCs/>
          <w:lang w:val="en-US" w:eastAsia="es-ES_tradnl"/>
        </w:rPr>
        <w:t>Organizational strategy, structure, and process</w:t>
      </w:r>
      <w:r w:rsidRPr="002A55F5">
        <w:rPr>
          <w:rFonts w:eastAsia="Times New Roman" w:cs="Times New Roman"/>
          <w:lang w:val="en-US" w:eastAsia="es-ES_tradnl"/>
        </w:rPr>
        <w:t>. McGraw-Hill.</w:t>
      </w:r>
    </w:p>
    <w:p w14:paraId="4F147824"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Ogbonnaya, C., Daniels, K., Messersmith, J., &amp; </w:t>
      </w:r>
      <w:proofErr w:type="spellStart"/>
      <w:r w:rsidRPr="002A55F5">
        <w:rPr>
          <w:rFonts w:eastAsia="Times New Roman" w:cs="Times New Roman"/>
          <w:lang w:val="en-US" w:eastAsia="es-ES_tradnl"/>
        </w:rPr>
        <w:t>Rofcanin</w:t>
      </w:r>
      <w:proofErr w:type="spellEnd"/>
      <w:r w:rsidRPr="002A55F5">
        <w:rPr>
          <w:rFonts w:eastAsia="Times New Roman" w:cs="Times New Roman"/>
          <w:lang w:val="en-US" w:eastAsia="es-ES_tradnl"/>
        </w:rPr>
        <w:t xml:space="preserve">, Y. (2023). A theory-based analysis of null causality between HRM practices and outcomes: Evidence from four-wave longitudinal data. </w:t>
      </w:r>
      <w:r w:rsidRPr="002A55F5">
        <w:rPr>
          <w:rFonts w:eastAsia="Times New Roman" w:cs="Times New Roman"/>
          <w:i/>
          <w:iCs/>
          <w:lang w:val="en-US" w:eastAsia="es-ES_tradnl"/>
        </w:rPr>
        <w:t>Journal of Management Studies, 60</w:t>
      </w:r>
      <w:r w:rsidRPr="002A55F5">
        <w:rPr>
          <w:rFonts w:eastAsia="Times New Roman" w:cs="Times New Roman"/>
          <w:lang w:val="en-US" w:eastAsia="es-ES_tradnl"/>
        </w:rPr>
        <w:t>(6), 1448–1484. https://doi.org/10.1111/joms.12881</w:t>
      </w:r>
    </w:p>
    <w:p w14:paraId="5F51D977"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lastRenderedPageBreak/>
        <w:t>Osorio‐Londoño, A. A., Naranjo‐Valencia, J. C., &amp; Calderón‐Hernandez, G. (2025). Linking training with competitive strategy: the mediating role of human capital. </w:t>
      </w:r>
      <w:r w:rsidRPr="002A55F5">
        <w:rPr>
          <w:rFonts w:eastAsia="Times New Roman" w:cs="Times New Roman"/>
          <w:i/>
          <w:iCs/>
          <w:lang w:val="en-US" w:eastAsia="es-ES_tradnl"/>
        </w:rPr>
        <w:t>International Journal of Training and Development</w:t>
      </w:r>
      <w:r w:rsidRPr="002A55F5">
        <w:rPr>
          <w:rFonts w:eastAsia="Times New Roman" w:cs="Times New Roman"/>
          <w:lang w:val="en-US" w:eastAsia="es-ES_tradnl"/>
        </w:rPr>
        <w:t>, </w:t>
      </w:r>
      <w:r w:rsidRPr="002A55F5">
        <w:rPr>
          <w:rFonts w:eastAsia="Times New Roman" w:cs="Times New Roman"/>
          <w:i/>
          <w:iCs/>
          <w:lang w:val="en-US" w:eastAsia="es-ES_tradnl"/>
        </w:rPr>
        <w:t>29</w:t>
      </w:r>
      <w:r w:rsidRPr="002A55F5">
        <w:rPr>
          <w:rFonts w:eastAsia="Times New Roman" w:cs="Times New Roman"/>
          <w:lang w:val="en-US" w:eastAsia="es-ES_tradnl"/>
        </w:rPr>
        <w:t>(1), 74-93. https://doi.org/10.1111/ijtd.12343</w:t>
      </w:r>
    </w:p>
    <w:p w14:paraId="621082A5" w14:textId="77777777" w:rsidR="002A55F5" w:rsidRPr="002A55F5" w:rsidRDefault="002A55F5" w:rsidP="002A55F5">
      <w:pPr>
        <w:spacing w:line="480" w:lineRule="auto"/>
        <w:ind w:left="709" w:hanging="709"/>
        <w:rPr>
          <w:rFonts w:eastAsia="Times New Roman" w:cs="Times New Roman"/>
          <w:lang w:val="en-US" w:eastAsia="es-ES_tradnl"/>
        </w:rPr>
      </w:pPr>
      <w:r w:rsidRPr="00E1329D">
        <w:rPr>
          <w:rFonts w:eastAsia="Times New Roman" w:cs="Times New Roman"/>
          <w:lang w:eastAsia="es-ES_tradnl"/>
        </w:rPr>
        <w:t xml:space="preserve">Osorio‐Londoño, A. A., Naranjo‐Valencia, J. C., &amp; Calderón‐Hernández, G. (2020). </w:t>
      </w:r>
      <w:r w:rsidRPr="002A55F5">
        <w:rPr>
          <w:rFonts w:eastAsia="Times New Roman" w:cs="Times New Roman"/>
          <w:lang w:val="en-US" w:eastAsia="es-ES_tradnl"/>
        </w:rPr>
        <w:t>Training and its influence on competitive strategy implementation. </w:t>
      </w:r>
      <w:r w:rsidRPr="002A55F5">
        <w:rPr>
          <w:rFonts w:eastAsia="Times New Roman" w:cs="Times New Roman"/>
          <w:i/>
          <w:iCs/>
          <w:lang w:val="en-US" w:eastAsia="es-ES_tradnl"/>
        </w:rPr>
        <w:t>Human Resource Development Quarterly</w:t>
      </w:r>
      <w:r w:rsidRPr="002A55F5">
        <w:rPr>
          <w:rFonts w:eastAsia="Times New Roman" w:cs="Times New Roman"/>
          <w:lang w:val="en-US" w:eastAsia="es-ES_tradnl"/>
        </w:rPr>
        <w:t>, </w:t>
      </w:r>
      <w:r w:rsidRPr="002A55F5">
        <w:rPr>
          <w:rFonts w:eastAsia="Times New Roman" w:cs="Times New Roman"/>
          <w:i/>
          <w:iCs/>
          <w:lang w:val="en-US" w:eastAsia="es-ES_tradnl"/>
        </w:rPr>
        <w:t>31</w:t>
      </w:r>
      <w:r w:rsidRPr="002A55F5">
        <w:rPr>
          <w:rFonts w:eastAsia="Times New Roman" w:cs="Times New Roman"/>
          <w:lang w:val="en-US" w:eastAsia="es-ES_tradnl"/>
        </w:rPr>
        <w:t>(2), 149-172. https://doi.org/10.1002/hrdq.21381</w:t>
      </w:r>
    </w:p>
    <w:p w14:paraId="2E70DAAB" w14:textId="77777777" w:rsidR="002A55F5" w:rsidRPr="002A55F5" w:rsidRDefault="002A55F5" w:rsidP="002A55F5">
      <w:pPr>
        <w:spacing w:line="480" w:lineRule="auto"/>
        <w:ind w:left="709" w:hanging="709"/>
        <w:rPr>
          <w:rFonts w:eastAsia="Times New Roman" w:cs="Times New Roman"/>
          <w:lang w:val="en-US" w:eastAsia="es-ES_tradnl"/>
        </w:rPr>
      </w:pPr>
      <w:r w:rsidRPr="002A55F5">
        <w:rPr>
          <w:rFonts w:eastAsia="Times New Roman" w:cs="Times New Roman"/>
          <w:lang w:val="en-US" w:eastAsia="es-ES_tradnl"/>
        </w:rPr>
        <w:t xml:space="preserve">Schuler, R. S., &amp; Jackson, S. E. (1987). Linking competitive strategies with human resource management practices. </w:t>
      </w:r>
      <w:r w:rsidRPr="002A55F5">
        <w:rPr>
          <w:rFonts w:eastAsia="Times New Roman" w:cs="Times New Roman"/>
          <w:i/>
          <w:iCs/>
          <w:lang w:val="en-US" w:eastAsia="es-ES_tradnl"/>
        </w:rPr>
        <w:t>Academy of Management Executive, 1</w:t>
      </w:r>
      <w:r w:rsidRPr="002A55F5">
        <w:rPr>
          <w:rFonts w:eastAsia="Times New Roman" w:cs="Times New Roman"/>
          <w:lang w:val="en-US" w:eastAsia="es-ES_tradnl"/>
        </w:rPr>
        <w:t>(3), 207–219. https://doi.org/10.5465/AME.1987.4275740</w:t>
      </w:r>
    </w:p>
    <w:p w14:paraId="3A81AD16" w14:textId="77777777" w:rsidR="002A55F5" w:rsidRPr="002A55F5" w:rsidRDefault="002A55F5" w:rsidP="002A55F5">
      <w:pPr>
        <w:spacing w:line="480" w:lineRule="auto"/>
        <w:ind w:left="709" w:hanging="709"/>
        <w:rPr>
          <w:rStyle w:val="ms-1"/>
          <w:rFonts w:cs="Times New Roman"/>
          <w:color w:val="000000" w:themeColor="text1"/>
          <w:lang w:val="en-US"/>
        </w:rPr>
      </w:pPr>
      <w:r w:rsidRPr="002A55F5">
        <w:rPr>
          <w:rFonts w:cs="Times New Roman"/>
          <w:color w:val="000000" w:themeColor="text1"/>
          <w:lang w:val="en-US"/>
        </w:rPr>
        <w:t xml:space="preserve">Singh, S. K., &amp; Singh, M. K. (2012). Evaluation of productivity, quality and flexibility of an advanced manufacturing system. </w:t>
      </w:r>
      <w:r w:rsidRPr="002A55F5">
        <w:rPr>
          <w:rStyle w:val="nfasis"/>
          <w:rFonts w:cs="Times New Roman"/>
          <w:color w:val="000000" w:themeColor="text1"/>
          <w:lang w:val="en-US"/>
        </w:rPr>
        <w:t>Journal of The Institution of Engineers (India): Series C, 93</w:t>
      </w:r>
      <w:r w:rsidRPr="002A55F5">
        <w:rPr>
          <w:rFonts w:cs="Times New Roman"/>
          <w:color w:val="000000" w:themeColor="text1"/>
          <w:lang w:val="en-US"/>
        </w:rPr>
        <w:t xml:space="preserve">, 93–101. https://doi.org/10.1007/s40032-011-0002-0 </w:t>
      </w:r>
    </w:p>
    <w:p w14:paraId="1BD9EC1A" w14:textId="77777777" w:rsidR="002A55F5" w:rsidRPr="002A55F5" w:rsidRDefault="002A55F5" w:rsidP="002A55F5">
      <w:pPr>
        <w:spacing w:line="480" w:lineRule="auto"/>
        <w:ind w:left="709" w:hanging="709"/>
        <w:rPr>
          <w:rFonts w:eastAsia="Times New Roman" w:cs="Times New Roman"/>
          <w:color w:val="000000" w:themeColor="text1"/>
          <w:lang w:val="en-US" w:eastAsia="es-ES_tradnl"/>
        </w:rPr>
      </w:pPr>
      <w:r w:rsidRPr="002A55F5">
        <w:rPr>
          <w:rFonts w:cs="Times New Roman"/>
          <w:color w:val="000000" w:themeColor="text1"/>
          <w:lang w:val="en-US"/>
        </w:rPr>
        <w:t xml:space="preserve">Tangen, S. (2004). Performance measurement: From philosophy to practice. </w:t>
      </w:r>
      <w:r w:rsidRPr="002A55F5">
        <w:rPr>
          <w:rStyle w:val="nfasis"/>
          <w:rFonts w:cs="Times New Roman"/>
          <w:color w:val="000000" w:themeColor="text1"/>
          <w:lang w:val="en-US"/>
        </w:rPr>
        <w:t>International Journal of Productivity and Performance Management, 53</w:t>
      </w:r>
      <w:r w:rsidRPr="002A55F5">
        <w:rPr>
          <w:rFonts w:cs="Times New Roman"/>
          <w:color w:val="000000" w:themeColor="text1"/>
          <w:lang w:val="en-US"/>
        </w:rPr>
        <w:t>(8), 726–737. https://doi.org/10.1108/17410400410569134</w:t>
      </w:r>
    </w:p>
    <w:p w14:paraId="12436363" w14:textId="77777777" w:rsidR="002A55F5" w:rsidRPr="00E1329D" w:rsidRDefault="002A55F5" w:rsidP="002A55F5">
      <w:pPr>
        <w:spacing w:line="480" w:lineRule="auto"/>
        <w:ind w:left="709" w:hanging="709"/>
        <w:rPr>
          <w:rFonts w:eastAsia="Times New Roman" w:cs="Times New Roman"/>
          <w:color w:val="000000" w:themeColor="text1"/>
          <w:lang w:eastAsia="es-ES_tradnl"/>
        </w:rPr>
      </w:pPr>
      <w:r w:rsidRPr="002A55F5">
        <w:rPr>
          <w:rFonts w:eastAsia="Times New Roman" w:cs="Times New Roman"/>
          <w:lang w:val="en-US" w:eastAsia="es-ES_tradnl"/>
        </w:rPr>
        <w:t xml:space="preserve">Wright, P. M., Dunford, B. B., &amp; Snell, S. A. (2001). Human resources and the resource-based view of the firm. </w:t>
      </w:r>
      <w:proofErr w:type="spellStart"/>
      <w:r w:rsidRPr="00E1329D">
        <w:rPr>
          <w:rFonts w:eastAsia="Times New Roman" w:cs="Times New Roman"/>
          <w:i/>
          <w:iCs/>
          <w:lang w:eastAsia="es-ES_tradnl"/>
        </w:rPr>
        <w:t>Journal</w:t>
      </w:r>
      <w:proofErr w:type="spellEnd"/>
      <w:r w:rsidRPr="00E1329D">
        <w:rPr>
          <w:rFonts w:eastAsia="Times New Roman" w:cs="Times New Roman"/>
          <w:i/>
          <w:iCs/>
          <w:lang w:eastAsia="es-ES_tradnl"/>
        </w:rPr>
        <w:t xml:space="preserve"> </w:t>
      </w:r>
      <w:proofErr w:type="spellStart"/>
      <w:r w:rsidRPr="00E1329D">
        <w:rPr>
          <w:rFonts w:eastAsia="Times New Roman" w:cs="Times New Roman"/>
          <w:i/>
          <w:iCs/>
          <w:lang w:eastAsia="es-ES_tradnl"/>
        </w:rPr>
        <w:t>of</w:t>
      </w:r>
      <w:proofErr w:type="spellEnd"/>
      <w:r w:rsidRPr="00E1329D">
        <w:rPr>
          <w:rFonts w:eastAsia="Times New Roman" w:cs="Times New Roman"/>
          <w:i/>
          <w:iCs/>
          <w:lang w:eastAsia="es-ES_tradnl"/>
        </w:rPr>
        <w:t xml:space="preserve"> Management, 27</w:t>
      </w:r>
      <w:r w:rsidRPr="00E1329D">
        <w:rPr>
          <w:rFonts w:eastAsia="Times New Roman" w:cs="Times New Roman"/>
          <w:lang w:eastAsia="es-ES_tradnl"/>
        </w:rPr>
        <w:t xml:space="preserve">(6), 701–721. </w:t>
      </w:r>
      <w:hyperlink r:id="rId15" w:history="1">
        <w:r w:rsidRPr="00E1329D">
          <w:rPr>
            <w:rStyle w:val="Hipervnculo"/>
            <w:rFonts w:eastAsia="Times New Roman" w:cs="Times New Roman"/>
            <w:color w:val="000000" w:themeColor="text1"/>
            <w:lang w:eastAsia="es-ES_tradnl"/>
          </w:rPr>
          <w:t>https://doi.org/10.1177/014920630102700607</w:t>
        </w:r>
      </w:hyperlink>
    </w:p>
    <w:p w14:paraId="5780FB3E" w14:textId="0BD1DAA9" w:rsidR="002F4442" w:rsidRPr="00FA49E5" w:rsidRDefault="002F4442" w:rsidP="002F4442">
      <w:pPr>
        <w:pStyle w:val="NormalWeb"/>
        <w:spacing w:before="160" w:beforeAutospacing="0" w:after="160" w:afterAutospacing="0"/>
        <w:ind w:left="480" w:hanging="480"/>
        <w:jc w:val="both"/>
      </w:pPr>
    </w:p>
    <w:p w14:paraId="4636E962" w14:textId="5EF2FBB1" w:rsidR="00C727EA" w:rsidRPr="00241FB2" w:rsidRDefault="00C727EA" w:rsidP="00C727EA">
      <w:pPr>
        <w:ind w:left="709" w:hanging="709"/>
        <w:rPr>
          <w:rFonts w:cs="Times New Roman"/>
          <w:szCs w:val="24"/>
        </w:rPr>
      </w:pPr>
    </w:p>
    <w:p w14:paraId="58D4DBE6" w14:textId="77777777" w:rsidR="001E65B5" w:rsidRDefault="001E65B5">
      <w:pPr>
        <w:spacing w:after="160" w:line="259" w:lineRule="auto"/>
        <w:jc w:val="left"/>
        <w:rPr>
          <w:b/>
        </w:rPr>
      </w:pPr>
      <w:bookmarkStart w:id="14" w:name="_Toc440985144"/>
      <w:r>
        <w:rPr>
          <w:b/>
        </w:rPr>
        <w:br w:type="page"/>
      </w:r>
    </w:p>
    <w:bookmarkEnd w:id="14"/>
    <w:p w14:paraId="76DBC092" w14:textId="77777777" w:rsidR="000878F1" w:rsidRDefault="000878F1" w:rsidP="000878F1">
      <w:pPr>
        <w:rPr>
          <w:rFonts w:cs="Times New Roman"/>
          <w:b/>
          <w:szCs w:val="24"/>
        </w:rPr>
        <w:sectPr w:rsidR="000878F1" w:rsidSect="00155E7B">
          <w:headerReference w:type="default" r:id="rId16"/>
          <w:type w:val="continuous"/>
          <w:pgSz w:w="12240" w:h="15840"/>
          <w:pgMar w:top="1418" w:right="1418" w:bottom="1418" w:left="1418" w:header="709" w:footer="709" w:gutter="0"/>
          <w:cols w:space="708"/>
          <w:docGrid w:linePitch="360"/>
        </w:sectPr>
      </w:pPr>
    </w:p>
    <w:p w14:paraId="4EF1B86F" w14:textId="77777777" w:rsidR="0098497E" w:rsidRPr="00E1329D" w:rsidRDefault="0098497E" w:rsidP="0098497E">
      <w:pPr>
        <w:spacing w:line="480" w:lineRule="auto"/>
        <w:ind w:left="709" w:hanging="709"/>
        <w:jc w:val="center"/>
        <w:rPr>
          <w:rFonts w:eastAsia="Times New Roman" w:cs="Times New Roman"/>
          <w:lang w:eastAsia="es-ES_tradnl"/>
        </w:rPr>
      </w:pPr>
      <w:r w:rsidRPr="00E1329D">
        <w:rPr>
          <w:rFonts w:eastAsia="Times New Roman" w:cs="Times New Roman"/>
          <w:b/>
          <w:bCs/>
          <w:lang w:eastAsia="es-ES_tradnl"/>
        </w:rPr>
        <w:lastRenderedPageBreak/>
        <w:t xml:space="preserve">Anexo 1. </w:t>
      </w:r>
      <w:r w:rsidRPr="00E1329D">
        <w:rPr>
          <w:rFonts w:eastAsia="Times New Roman" w:cs="Times New Roman"/>
          <w:lang w:eastAsia="es-ES_tradnl"/>
        </w:rPr>
        <w:t xml:space="preserve">Cálculo del </w:t>
      </w:r>
      <w:r w:rsidRPr="00E1329D">
        <w:rPr>
          <w:rFonts w:cs="Times New Roman"/>
        </w:rPr>
        <w:t>IDMI</w:t>
      </w:r>
    </w:p>
    <w:p w14:paraId="2A3D524B" w14:textId="77777777" w:rsidR="0098497E" w:rsidRPr="00E1329D" w:rsidRDefault="0098497E" w:rsidP="0098497E">
      <w:pPr>
        <w:pStyle w:val="PrrAPA"/>
      </w:pPr>
      <w:r w:rsidRPr="00E1329D">
        <w:t xml:space="preserve">Este apéndice presenta la estructura completa del Índice de Desempeño Manufacturero Individual (IDMI) y los datos utilizados para los grupos Universalista (n=43) y </w:t>
      </w:r>
      <w:proofErr w:type="spellStart"/>
      <w:r w:rsidRPr="00E1329D">
        <w:t>Bundle</w:t>
      </w:r>
      <w:proofErr w:type="spellEnd"/>
      <w:r w:rsidRPr="00E1329D">
        <w:t>/HPWS (n=42). A continuación, se presentan los datos individuales de IDMI pre y post para ambos grupos, de modo que cualquier lector pueda replicar los cálculos realizados.</w:t>
      </w:r>
    </w:p>
    <w:p w14:paraId="0D8AC42B" w14:textId="77777777" w:rsidR="0098497E" w:rsidRPr="00E1329D" w:rsidRDefault="0098497E" w:rsidP="0098497E">
      <w:pPr>
        <w:pStyle w:val="Ttulo2"/>
      </w:pPr>
      <w:r w:rsidRPr="00E1329D">
        <w:t>Definición del IDMI</w:t>
      </w:r>
    </w:p>
    <w:p w14:paraId="1F944C96" w14:textId="77777777" w:rsidR="0098497E" w:rsidRPr="00E1329D" w:rsidRDefault="0098497E" w:rsidP="0098497E">
      <w:pPr>
        <w:pStyle w:val="PrrAPA"/>
      </w:pPr>
      <w:r w:rsidRPr="00E1329D">
        <w:t>El IDMI se construye a partir de tres indicadores operativos estandarizados mediante z-scores: productividad por hora (PH), calidad de primer paso o intento (QP) y retrabajo/desperdicio (RD). La fórmula empleada para calcularlo es:</w:t>
      </w:r>
    </w:p>
    <w:p w14:paraId="174ADB5B" w14:textId="77777777" w:rsidR="0098497E" w:rsidRPr="00E1329D" w:rsidRDefault="0098497E" w:rsidP="0098497E">
      <w:pPr>
        <w:spacing w:line="480" w:lineRule="auto"/>
        <w:jc w:val="center"/>
        <w:rPr>
          <w:rFonts w:cs="Times New Roman"/>
        </w:rPr>
      </w:pPr>
      <w:proofErr w:type="spellStart"/>
      <w:r w:rsidRPr="00E1329D">
        <w:rPr>
          <w:rFonts w:cs="Times New Roman"/>
        </w:rPr>
        <w:t>IDMI_i</w:t>
      </w:r>
      <w:proofErr w:type="spellEnd"/>
      <w:r w:rsidRPr="00E1329D">
        <w:rPr>
          <w:rFonts w:cs="Times New Roman"/>
        </w:rPr>
        <w:t xml:space="preserve"> = (</w:t>
      </w:r>
      <w:proofErr w:type="spellStart"/>
      <w:r w:rsidRPr="00E1329D">
        <w:rPr>
          <w:rFonts w:cs="Times New Roman"/>
        </w:rPr>
        <w:t>zPH_i</w:t>
      </w:r>
      <w:proofErr w:type="spellEnd"/>
      <w:r w:rsidRPr="00E1329D">
        <w:rPr>
          <w:rFonts w:cs="Times New Roman"/>
        </w:rPr>
        <w:t xml:space="preserve"> + </w:t>
      </w:r>
      <w:proofErr w:type="spellStart"/>
      <w:r w:rsidRPr="00E1329D">
        <w:rPr>
          <w:rFonts w:cs="Times New Roman"/>
        </w:rPr>
        <w:t>zQP_i</w:t>
      </w:r>
      <w:proofErr w:type="spellEnd"/>
      <w:r w:rsidRPr="00E1329D">
        <w:rPr>
          <w:rFonts w:cs="Times New Roman"/>
        </w:rPr>
        <w:t xml:space="preserve"> - </w:t>
      </w:r>
      <w:proofErr w:type="spellStart"/>
      <w:r w:rsidRPr="00E1329D">
        <w:rPr>
          <w:rFonts w:cs="Times New Roman"/>
        </w:rPr>
        <w:t>zRD_i</w:t>
      </w:r>
      <w:proofErr w:type="spellEnd"/>
      <w:r w:rsidRPr="00E1329D">
        <w:rPr>
          <w:rFonts w:cs="Times New Roman"/>
        </w:rPr>
        <w:t>) / 3</w:t>
      </w:r>
    </w:p>
    <w:p w14:paraId="2DCDE2C3" w14:textId="77777777" w:rsidR="0098497E" w:rsidRPr="00E1329D" w:rsidRDefault="0098497E" w:rsidP="0098497E">
      <w:pPr>
        <w:spacing w:line="480" w:lineRule="auto"/>
        <w:ind w:firstLine="708"/>
        <w:rPr>
          <w:rFonts w:cs="Times New Roman"/>
        </w:rPr>
      </w:pPr>
      <w:r w:rsidRPr="00E1329D">
        <w:rPr>
          <w:rFonts w:cs="Times New Roman"/>
        </w:rPr>
        <w:t>Con esta lógica, valores cercanos a cero representan el desempeño histórico promedio de la planta, valores positivos indican desempeño superior y valores negativos indican desempeño inferior.</w:t>
      </w:r>
    </w:p>
    <w:p w14:paraId="4E812F3A" w14:textId="77777777" w:rsidR="0098497E" w:rsidRPr="00E1329D" w:rsidRDefault="0098497E" w:rsidP="0098497E">
      <w:pPr>
        <w:pStyle w:val="Ttulo2"/>
      </w:pPr>
      <w:r w:rsidRPr="00E1329D">
        <w:t>Datos completos: Grupo Universalista (n=43)</w:t>
      </w:r>
    </w:p>
    <w:p w14:paraId="4CFD9C7C" w14:textId="77777777" w:rsidR="0098497E" w:rsidRPr="00E1329D" w:rsidRDefault="0098497E" w:rsidP="0098497E">
      <w:pPr>
        <w:rPr>
          <w:rFonts w:cs="Times New Roman"/>
        </w:rPr>
      </w:pPr>
    </w:p>
    <w:tbl>
      <w:tblPr>
        <w:tblStyle w:val="Tablanormal2"/>
        <w:tblW w:w="0" w:type="auto"/>
        <w:jc w:val="center"/>
        <w:tblLook w:val="04A0" w:firstRow="1" w:lastRow="0" w:firstColumn="1" w:lastColumn="0" w:noHBand="0" w:noVBand="1"/>
      </w:tblPr>
      <w:tblGrid>
        <w:gridCol w:w="1257"/>
        <w:gridCol w:w="1265"/>
        <w:gridCol w:w="836"/>
        <w:gridCol w:w="1350"/>
      </w:tblGrid>
      <w:tr w:rsidR="0098497E" w:rsidRPr="00E1329D" w14:paraId="01E54A7E" w14:textId="77777777" w:rsidTr="00A82492">
        <w:trPr>
          <w:cnfStyle w:val="100000000000" w:firstRow="1" w:lastRow="0" w:firstColumn="0" w:lastColumn="0" w:oddVBand="0" w:evenVBand="0" w:oddHBand="0"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86927C6" w14:textId="77777777" w:rsidR="0098497E" w:rsidRPr="00E1329D" w:rsidRDefault="0098497E" w:rsidP="00A82492">
            <w:pPr>
              <w:rPr>
                <w:rFonts w:ascii="Times New Roman" w:hAnsi="Times New Roman" w:cs="Times New Roman"/>
              </w:rPr>
            </w:pPr>
            <w:r w:rsidRPr="00E1329D">
              <w:rPr>
                <w:rFonts w:ascii="Times New Roman" w:hAnsi="Times New Roman" w:cs="Times New Roman"/>
              </w:rPr>
              <w:t>Empleado</w:t>
            </w:r>
          </w:p>
        </w:tc>
        <w:tc>
          <w:tcPr>
            <w:tcW w:w="0" w:type="auto"/>
          </w:tcPr>
          <w:p w14:paraId="3527B1E5"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1329D">
              <w:rPr>
                <w:rFonts w:ascii="Times New Roman" w:hAnsi="Times New Roman" w:cs="Times New Roman"/>
              </w:rPr>
              <w:t>IDMI_pre</w:t>
            </w:r>
            <w:proofErr w:type="spellEnd"/>
          </w:p>
        </w:tc>
        <w:tc>
          <w:tcPr>
            <w:tcW w:w="0" w:type="auto"/>
          </w:tcPr>
          <w:p w14:paraId="4EE0654C"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Delta</w:t>
            </w:r>
          </w:p>
        </w:tc>
        <w:tc>
          <w:tcPr>
            <w:tcW w:w="0" w:type="auto"/>
          </w:tcPr>
          <w:p w14:paraId="119AFCEA"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1329D">
              <w:rPr>
                <w:rFonts w:ascii="Times New Roman" w:hAnsi="Times New Roman" w:cs="Times New Roman"/>
              </w:rPr>
              <w:t>IDMI_post</w:t>
            </w:r>
            <w:proofErr w:type="spellEnd"/>
          </w:p>
        </w:tc>
      </w:tr>
      <w:tr w:rsidR="0098497E" w:rsidRPr="00E1329D" w14:paraId="54869BB8"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4678110"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w:t>
            </w:r>
          </w:p>
        </w:tc>
        <w:tc>
          <w:tcPr>
            <w:tcW w:w="0" w:type="auto"/>
          </w:tcPr>
          <w:p w14:paraId="21CF32F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1.59</w:t>
            </w:r>
          </w:p>
        </w:tc>
        <w:tc>
          <w:tcPr>
            <w:tcW w:w="0" w:type="auto"/>
          </w:tcPr>
          <w:p w14:paraId="24E3B4C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1.815</w:t>
            </w:r>
          </w:p>
        </w:tc>
        <w:tc>
          <w:tcPr>
            <w:tcW w:w="0" w:type="auto"/>
          </w:tcPr>
          <w:p w14:paraId="4E9C12B5"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3.405</w:t>
            </w:r>
          </w:p>
        </w:tc>
      </w:tr>
      <w:tr w:rsidR="0098497E" w:rsidRPr="00E1329D" w14:paraId="0077909A"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4B10C63F"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w:t>
            </w:r>
          </w:p>
        </w:tc>
        <w:tc>
          <w:tcPr>
            <w:tcW w:w="0" w:type="auto"/>
          </w:tcPr>
          <w:p w14:paraId="5D924802"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0.227</w:t>
            </w:r>
          </w:p>
        </w:tc>
        <w:tc>
          <w:tcPr>
            <w:tcW w:w="0" w:type="auto"/>
          </w:tcPr>
          <w:p w14:paraId="4FE16ED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0.244</w:t>
            </w:r>
          </w:p>
        </w:tc>
        <w:tc>
          <w:tcPr>
            <w:tcW w:w="0" w:type="auto"/>
          </w:tcPr>
          <w:p w14:paraId="1666CA9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0.471</w:t>
            </w:r>
          </w:p>
        </w:tc>
      </w:tr>
      <w:tr w:rsidR="0098497E" w:rsidRPr="00E1329D" w14:paraId="67E37DB7"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05F313D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w:t>
            </w:r>
          </w:p>
        </w:tc>
        <w:tc>
          <w:tcPr>
            <w:tcW w:w="0" w:type="auto"/>
          </w:tcPr>
          <w:p w14:paraId="594C621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0.805</w:t>
            </w:r>
          </w:p>
        </w:tc>
        <w:tc>
          <w:tcPr>
            <w:tcW w:w="0" w:type="auto"/>
          </w:tcPr>
          <w:p w14:paraId="625CDD6A"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0.29</w:t>
            </w:r>
          </w:p>
        </w:tc>
        <w:tc>
          <w:tcPr>
            <w:tcW w:w="0" w:type="auto"/>
          </w:tcPr>
          <w:p w14:paraId="1FA7152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1.095</w:t>
            </w:r>
          </w:p>
        </w:tc>
      </w:tr>
      <w:tr w:rsidR="0098497E" w:rsidRPr="00E1329D" w14:paraId="1CD23E88"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D5ABBAF"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w:t>
            </w:r>
          </w:p>
        </w:tc>
        <w:tc>
          <w:tcPr>
            <w:tcW w:w="0" w:type="auto"/>
          </w:tcPr>
          <w:p w14:paraId="3CDEF91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2.067</w:t>
            </w:r>
          </w:p>
        </w:tc>
        <w:tc>
          <w:tcPr>
            <w:tcW w:w="0" w:type="auto"/>
          </w:tcPr>
          <w:p w14:paraId="5107FE3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-0.23</w:t>
            </w:r>
          </w:p>
        </w:tc>
        <w:tc>
          <w:tcPr>
            <w:tcW w:w="0" w:type="auto"/>
          </w:tcPr>
          <w:p w14:paraId="3AB069A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1.837</w:t>
            </w:r>
          </w:p>
        </w:tc>
      </w:tr>
      <w:tr w:rsidR="0098497E" w:rsidRPr="00E1329D" w14:paraId="40324A07"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48B59B7B"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5</w:t>
            </w:r>
          </w:p>
        </w:tc>
        <w:tc>
          <w:tcPr>
            <w:tcW w:w="0" w:type="auto"/>
          </w:tcPr>
          <w:p w14:paraId="7A1AA0B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1.694</w:t>
            </w:r>
          </w:p>
        </w:tc>
        <w:tc>
          <w:tcPr>
            <w:tcW w:w="0" w:type="auto"/>
          </w:tcPr>
          <w:p w14:paraId="6A955171"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1.066</w:t>
            </w:r>
          </w:p>
        </w:tc>
        <w:tc>
          <w:tcPr>
            <w:tcW w:w="0" w:type="auto"/>
          </w:tcPr>
          <w:p w14:paraId="7D6253B5"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2.76</w:t>
            </w:r>
          </w:p>
        </w:tc>
      </w:tr>
      <w:tr w:rsidR="0098497E" w:rsidRPr="00E1329D" w14:paraId="3FEA48FC"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644ED15F"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6</w:t>
            </w:r>
          </w:p>
        </w:tc>
        <w:tc>
          <w:tcPr>
            <w:tcW w:w="0" w:type="auto"/>
          </w:tcPr>
          <w:p w14:paraId="3EC319C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-1.151</w:t>
            </w:r>
          </w:p>
        </w:tc>
        <w:tc>
          <w:tcPr>
            <w:tcW w:w="0" w:type="auto"/>
          </w:tcPr>
          <w:p w14:paraId="5DBFDEB2"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-0.461</w:t>
            </w:r>
          </w:p>
        </w:tc>
        <w:tc>
          <w:tcPr>
            <w:tcW w:w="0" w:type="auto"/>
          </w:tcPr>
          <w:p w14:paraId="24CF4DD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-1.612</w:t>
            </w:r>
          </w:p>
        </w:tc>
      </w:tr>
      <w:tr w:rsidR="0098497E" w:rsidRPr="00E1329D" w14:paraId="764E35A6"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9FECC82"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7</w:t>
            </w:r>
          </w:p>
        </w:tc>
        <w:tc>
          <w:tcPr>
            <w:tcW w:w="0" w:type="auto"/>
          </w:tcPr>
          <w:p w14:paraId="5EF84C5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0.772</w:t>
            </w:r>
          </w:p>
        </w:tc>
        <w:tc>
          <w:tcPr>
            <w:tcW w:w="0" w:type="auto"/>
          </w:tcPr>
          <w:p w14:paraId="7695EA3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-0.627</w:t>
            </w:r>
          </w:p>
        </w:tc>
        <w:tc>
          <w:tcPr>
            <w:tcW w:w="0" w:type="auto"/>
          </w:tcPr>
          <w:p w14:paraId="704731C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0.145</w:t>
            </w:r>
          </w:p>
        </w:tc>
      </w:tr>
      <w:tr w:rsidR="0098497E" w:rsidRPr="00E1329D" w14:paraId="561CC9BB"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16D19B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8</w:t>
            </w:r>
          </w:p>
        </w:tc>
        <w:tc>
          <w:tcPr>
            <w:tcW w:w="0" w:type="auto"/>
          </w:tcPr>
          <w:p w14:paraId="4180576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0.282</w:t>
            </w:r>
          </w:p>
        </w:tc>
        <w:tc>
          <w:tcPr>
            <w:tcW w:w="0" w:type="auto"/>
          </w:tcPr>
          <w:p w14:paraId="73A6B12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0.274</w:t>
            </w:r>
          </w:p>
        </w:tc>
        <w:tc>
          <w:tcPr>
            <w:tcW w:w="0" w:type="auto"/>
          </w:tcPr>
          <w:p w14:paraId="5CE847F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0.556</w:t>
            </w:r>
          </w:p>
        </w:tc>
      </w:tr>
      <w:tr w:rsidR="0098497E" w:rsidRPr="00E1329D" w14:paraId="6FDAF869"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973FB5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9</w:t>
            </w:r>
          </w:p>
        </w:tc>
        <w:tc>
          <w:tcPr>
            <w:tcW w:w="0" w:type="auto"/>
          </w:tcPr>
          <w:p w14:paraId="617D8AA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0.293</w:t>
            </w:r>
          </w:p>
        </w:tc>
        <w:tc>
          <w:tcPr>
            <w:tcW w:w="0" w:type="auto"/>
          </w:tcPr>
          <w:p w14:paraId="283DDB6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0.495</w:t>
            </w:r>
          </w:p>
        </w:tc>
        <w:tc>
          <w:tcPr>
            <w:tcW w:w="0" w:type="auto"/>
          </w:tcPr>
          <w:p w14:paraId="6817B07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0.787</w:t>
            </w:r>
          </w:p>
        </w:tc>
      </w:tr>
      <w:tr w:rsidR="0098497E" w:rsidRPr="00E1329D" w14:paraId="674854A8"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E78D32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10</w:t>
            </w:r>
          </w:p>
        </w:tc>
        <w:tc>
          <w:tcPr>
            <w:tcW w:w="0" w:type="auto"/>
          </w:tcPr>
          <w:p w14:paraId="3C492E2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-1.055</w:t>
            </w:r>
          </w:p>
        </w:tc>
        <w:tc>
          <w:tcPr>
            <w:tcW w:w="0" w:type="auto"/>
          </w:tcPr>
          <w:p w14:paraId="5E7C3D5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0.281</w:t>
            </w:r>
          </w:p>
        </w:tc>
        <w:tc>
          <w:tcPr>
            <w:tcW w:w="0" w:type="auto"/>
          </w:tcPr>
          <w:p w14:paraId="5F4B4FF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-0.774</w:t>
            </w:r>
          </w:p>
        </w:tc>
      </w:tr>
      <w:tr w:rsidR="0098497E" w:rsidRPr="00E1329D" w14:paraId="7B65FA52"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CE4904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11</w:t>
            </w:r>
          </w:p>
        </w:tc>
        <w:tc>
          <w:tcPr>
            <w:tcW w:w="0" w:type="auto"/>
          </w:tcPr>
          <w:p w14:paraId="477F555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0.417</w:t>
            </w:r>
          </w:p>
        </w:tc>
        <w:tc>
          <w:tcPr>
            <w:tcW w:w="0" w:type="auto"/>
          </w:tcPr>
          <w:p w14:paraId="7AFB011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-0.322</w:t>
            </w:r>
          </w:p>
        </w:tc>
        <w:tc>
          <w:tcPr>
            <w:tcW w:w="0" w:type="auto"/>
          </w:tcPr>
          <w:p w14:paraId="0A65B88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0.095</w:t>
            </w:r>
          </w:p>
        </w:tc>
      </w:tr>
      <w:tr w:rsidR="0098497E" w:rsidRPr="00E1329D" w14:paraId="1E69AE33"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2411AB9"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12</w:t>
            </w:r>
          </w:p>
        </w:tc>
        <w:tc>
          <w:tcPr>
            <w:tcW w:w="0" w:type="auto"/>
          </w:tcPr>
          <w:p w14:paraId="66AAD34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-0.595</w:t>
            </w:r>
          </w:p>
        </w:tc>
        <w:tc>
          <w:tcPr>
            <w:tcW w:w="0" w:type="auto"/>
          </w:tcPr>
          <w:p w14:paraId="4278C4E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0.475</w:t>
            </w:r>
          </w:p>
        </w:tc>
        <w:tc>
          <w:tcPr>
            <w:tcW w:w="0" w:type="auto"/>
          </w:tcPr>
          <w:p w14:paraId="2E26B7E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-0.12</w:t>
            </w:r>
          </w:p>
        </w:tc>
      </w:tr>
      <w:tr w:rsidR="0098497E" w:rsidRPr="00E1329D" w14:paraId="50130736"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74CA47B"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13</w:t>
            </w:r>
          </w:p>
        </w:tc>
        <w:tc>
          <w:tcPr>
            <w:tcW w:w="0" w:type="auto"/>
          </w:tcPr>
          <w:p w14:paraId="324EE73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-0.602</w:t>
            </w:r>
          </w:p>
        </w:tc>
        <w:tc>
          <w:tcPr>
            <w:tcW w:w="0" w:type="auto"/>
          </w:tcPr>
          <w:p w14:paraId="1809DFD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0.372</w:t>
            </w:r>
          </w:p>
        </w:tc>
        <w:tc>
          <w:tcPr>
            <w:tcW w:w="0" w:type="auto"/>
          </w:tcPr>
          <w:p w14:paraId="4DDDC67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-0.23</w:t>
            </w:r>
          </w:p>
        </w:tc>
      </w:tr>
      <w:tr w:rsidR="0098497E" w:rsidRPr="00E1329D" w14:paraId="1C2EE1CA"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05088FD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lastRenderedPageBreak/>
              <w:t>14</w:t>
            </w:r>
          </w:p>
        </w:tc>
        <w:tc>
          <w:tcPr>
            <w:tcW w:w="0" w:type="auto"/>
          </w:tcPr>
          <w:p w14:paraId="3483E4A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-0.969</w:t>
            </w:r>
          </w:p>
        </w:tc>
        <w:tc>
          <w:tcPr>
            <w:tcW w:w="0" w:type="auto"/>
          </w:tcPr>
          <w:p w14:paraId="42E8C76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0.607</w:t>
            </w:r>
          </w:p>
        </w:tc>
        <w:tc>
          <w:tcPr>
            <w:tcW w:w="0" w:type="auto"/>
          </w:tcPr>
          <w:p w14:paraId="7737366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-0.362</w:t>
            </w:r>
          </w:p>
        </w:tc>
      </w:tr>
      <w:tr w:rsidR="0098497E" w:rsidRPr="00E1329D" w14:paraId="3F93FF8C"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4D98CA3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15</w:t>
            </w:r>
          </w:p>
        </w:tc>
        <w:tc>
          <w:tcPr>
            <w:tcW w:w="0" w:type="auto"/>
          </w:tcPr>
          <w:p w14:paraId="7993676A"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1.837</w:t>
            </w:r>
          </w:p>
        </w:tc>
        <w:tc>
          <w:tcPr>
            <w:tcW w:w="0" w:type="auto"/>
          </w:tcPr>
          <w:p w14:paraId="26F344D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1.205</w:t>
            </w:r>
          </w:p>
        </w:tc>
        <w:tc>
          <w:tcPr>
            <w:tcW w:w="0" w:type="auto"/>
          </w:tcPr>
          <w:p w14:paraId="5DA5E01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3.042</w:t>
            </w:r>
          </w:p>
        </w:tc>
      </w:tr>
      <w:tr w:rsidR="0098497E" w:rsidRPr="00E1329D" w14:paraId="03BBC291"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BBF621F"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16</w:t>
            </w:r>
          </w:p>
        </w:tc>
        <w:tc>
          <w:tcPr>
            <w:tcW w:w="0" w:type="auto"/>
          </w:tcPr>
          <w:p w14:paraId="682404F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-0.046</w:t>
            </w:r>
          </w:p>
        </w:tc>
        <w:tc>
          <w:tcPr>
            <w:tcW w:w="0" w:type="auto"/>
          </w:tcPr>
          <w:p w14:paraId="48DE8EE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0.338</w:t>
            </w:r>
          </w:p>
        </w:tc>
        <w:tc>
          <w:tcPr>
            <w:tcW w:w="0" w:type="auto"/>
          </w:tcPr>
          <w:p w14:paraId="1D1D2FB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0.292</w:t>
            </w:r>
          </w:p>
        </w:tc>
      </w:tr>
      <w:tr w:rsidR="0098497E" w:rsidRPr="00E1329D" w14:paraId="28590629"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523F4AA"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17</w:t>
            </w:r>
          </w:p>
        </w:tc>
        <w:tc>
          <w:tcPr>
            <w:tcW w:w="0" w:type="auto"/>
          </w:tcPr>
          <w:p w14:paraId="5F6DFC3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0.02</w:t>
            </w:r>
          </w:p>
        </w:tc>
        <w:tc>
          <w:tcPr>
            <w:tcW w:w="0" w:type="auto"/>
          </w:tcPr>
          <w:p w14:paraId="1972B23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0.381</w:t>
            </w:r>
          </w:p>
        </w:tc>
        <w:tc>
          <w:tcPr>
            <w:tcW w:w="0" w:type="auto"/>
          </w:tcPr>
          <w:p w14:paraId="602C8E3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0.401</w:t>
            </w:r>
          </w:p>
        </w:tc>
      </w:tr>
      <w:tr w:rsidR="0098497E" w:rsidRPr="00E1329D" w14:paraId="3CCD3B1D"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A4E2A7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18</w:t>
            </w:r>
          </w:p>
        </w:tc>
        <w:tc>
          <w:tcPr>
            <w:tcW w:w="0" w:type="auto"/>
          </w:tcPr>
          <w:p w14:paraId="23C0BDDA"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-0.259</w:t>
            </w:r>
          </w:p>
        </w:tc>
        <w:tc>
          <w:tcPr>
            <w:tcW w:w="0" w:type="auto"/>
          </w:tcPr>
          <w:p w14:paraId="34400FC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0.134</w:t>
            </w:r>
          </w:p>
        </w:tc>
        <w:tc>
          <w:tcPr>
            <w:tcW w:w="0" w:type="auto"/>
          </w:tcPr>
          <w:p w14:paraId="18A9953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-0.124</w:t>
            </w:r>
          </w:p>
        </w:tc>
      </w:tr>
      <w:tr w:rsidR="0098497E" w:rsidRPr="00E1329D" w14:paraId="722BD635"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86197D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19</w:t>
            </w:r>
          </w:p>
        </w:tc>
        <w:tc>
          <w:tcPr>
            <w:tcW w:w="0" w:type="auto"/>
          </w:tcPr>
          <w:p w14:paraId="430BA1F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-0.214</w:t>
            </w:r>
          </w:p>
        </w:tc>
        <w:tc>
          <w:tcPr>
            <w:tcW w:w="0" w:type="auto"/>
          </w:tcPr>
          <w:p w14:paraId="3051992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0.688</w:t>
            </w:r>
          </w:p>
        </w:tc>
        <w:tc>
          <w:tcPr>
            <w:tcW w:w="0" w:type="auto"/>
          </w:tcPr>
          <w:p w14:paraId="456C98B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0.473</w:t>
            </w:r>
          </w:p>
        </w:tc>
      </w:tr>
      <w:tr w:rsidR="0098497E" w:rsidRPr="00E1329D" w14:paraId="6DFD0060"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6C5A9C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20</w:t>
            </w:r>
          </w:p>
        </w:tc>
        <w:tc>
          <w:tcPr>
            <w:tcW w:w="0" w:type="auto"/>
          </w:tcPr>
          <w:p w14:paraId="380E7715"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0.172</w:t>
            </w:r>
          </w:p>
        </w:tc>
        <w:tc>
          <w:tcPr>
            <w:tcW w:w="0" w:type="auto"/>
          </w:tcPr>
          <w:p w14:paraId="1DFB20E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-0.255</w:t>
            </w:r>
          </w:p>
        </w:tc>
        <w:tc>
          <w:tcPr>
            <w:tcW w:w="0" w:type="auto"/>
          </w:tcPr>
          <w:p w14:paraId="462AAB5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-0.083</w:t>
            </w:r>
          </w:p>
        </w:tc>
      </w:tr>
      <w:tr w:rsidR="0098497E" w:rsidRPr="00E1329D" w14:paraId="5201FAAC"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E044AC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21</w:t>
            </w:r>
          </w:p>
        </w:tc>
        <w:tc>
          <w:tcPr>
            <w:tcW w:w="0" w:type="auto"/>
          </w:tcPr>
          <w:p w14:paraId="25B671EA"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1.235</w:t>
            </w:r>
          </w:p>
        </w:tc>
        <w:tc>
          <w:tcPr>
            <w:tcW w:w="0" w:type="auto"/>
          </w:tcPr>
          <w:p w14:paraId="633CF6D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0.373</w:t>
            </w:r>
          </w:p>
        </w:tc>
        <w:tc>
          <w:tcPr>
            <w:tcW w:w="0" w:type="auto"/>
          </w:tcPr>
          <w:p w14:paraId="34D7B33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1.609</w:t>
            </w:r>
          </w:p>
        </w:tc>
      </w:tr>
      <w:tr w:rsidR="0098497E" w:rsidRPr="00E1329D" w14:paraId="2C20B135"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0FA883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22</w:t>
            </w:r>
          </w:p>
        </w:tc>
        <w:tc>
          <w:tcPr>
            <w:tcW w:w="0" w:type="auto"/>
          </w:tcPr>
          <w:p w14:paraId="1648061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-0.28</w:t>
            </w:r>
          </w:p>
        </w:tc>
        <w:tc>
          <w:tcPr>
            <w:tcW w:w="0" w:type="auto"/>
          </w:tcPr>
          <w:p w14:paraId="641D5F1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0.225</w:t>
            </w:r>
          </w:p>
        </w:tc>
        <w:tc>
          <w:tcPr>
            <w:tcW w:w="0" w:type="auto"/>
          </w:tcPr>
          <w:p w14:paraId="55D6CA6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-0.055</w:t>
            </w:r>
          </w:p>
        </w:tc>
      </w:tr>
      <w:tr w:rsidR="0098497E" w:rsidRPr="00E1329D" w14:paraId="441613EA"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D3B108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23</w:t>
            </w:r>
          </w:p>
        </w:tc>
        <w:tc>
          <w:tcPr>
            <w:tcW w:w="0" w:type="auto"/>
          </w:tcPr>
          <w:p w14:paraId="5DF5CF7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0.414</w:t>
            </w:r>
          </w:p>
        </w:tc>
        <w:tc>
          <w:tcPr>
            <w:tcW w:w="0" w:type="auto"/>
          </w:tcPr>
          <w:p w14:paraId="3A2468D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0.877</w:t>
            </w:r>
          </w:p>
        </w:tc>
        <w:tc>
          <w:tcPr>
            <w:tcW w:w="0" w:type="auto"/>
          </w:tcPr>
          <w:p w14:paraId="21D6AF7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1.291</w:t>
            </w:r>
          </w:p>
        </w:tc>
      </w:tr>
      <w:tr w:rsidR="0098497E" w:rsidRPr="00E1329D" w14:paraId="02A75961"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E06CDE1"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24</w:t>
            </w:r>
          </w:p>
        </w:tc>
        <w:tc>
          <w:tcPr>
            <w:tcW w:w="0" w:type="auto"/>
          </w:tcPr>
          <w:p w14:paraId="0614EA5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-1.6</w:t>
            </w:r>
          </w:p>
        </w:tc>
        <w:tc>
          <w:tcPr>
            <w:tcW w:w="0" w:type="auto"/>
          </w:tcPr>
          <w:p w14:paraId="6B6F990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-0.753</w:t>
            </w:r>
          </w:p>
        </w:tc>
        <w:tc>
          <w:tcPr>
            <w:tcW w:w="0" w:type="auto"/>
          </w:tcPr>
          <w:p w14:paraId="334F421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-2.353</w:t>
            </w:r>
          </w:p>
        </w:tc>
      </w:tr>
      <w:tr w:rsidR="0098497E" w:rsidRPr="00E1329D" w14:paraId="36748DC7"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691C9CBA"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25</w:t>
            </w:r>
          </w:p>
        </w:tc>
        <w:tc>
          <w:tcPr>
            <w:tcW w:w="0" w:type="auto"/>
          </w:tcPr>
          <w:p w14:paraId="09B5782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-0.567</w:t>
            </w:r>
          </w:p>
        </w:tc>
        <w:tc>
          <w:tcPr>
            <w:tcW w:w="0" w:type="auto"/>
          </w:tcPr>
          <w:p w14:paraId="11CEF57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0.618</w:t>
            </w:r>
          </w:p>
        </w:tc>
        <w:tc>
          <w:tcPr>
            <w:tcW w:w="0" w:type="auto"/>
          </w:tcPr>
          <w:p w14:paraId="4BAC924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0.051</w:t>
            </w:r>
          </w:p>
        </w:tc>
      </w:tr>
      <w:tr w:rsidR="0098497E" w:rsidRPr="00E1329D" w14:paraId="5DB5EC4F"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06FD8E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26</w:t>
            </w:r>
          </w:p>
        </w:tc>
        <w:tc>
          <w:tcPr>
            <w:tcW w:w="0" w:type="auto"/>
          </w:tcPr>
          <w:p w14:paraId="4DE1901A"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0.538</w:t>
            </w:r>
          </w:p>
        </w:tc>
        <w:tc>
          <w:tcPr>
            <w:tcW w:w="0" w:type="auto"/>
          </w:tcPr>
          <w:p w14:paraId="6162226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0.189</w:t>
            </w:r>
          </w:p>
        </w:tc>
        <w:tc>
          <w:tcPr>
            <w:tcW w:w="0" w:type="auto"/>
          </w:tcPr>
          <w:p w14:paraId="0CCE343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0.727</w:t>
            </w:r>
          </w:p>
        </w:tc>
      </w:tr>
      <w:tr w:rsidR="0098497E" w:rsidRPr="00E1329D" w14:paraId="33D034C9"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73773B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27</w:t>
            </w:r>
          </w:p>
        </w:tc>
        <w:tc>
          <w:tcPr>
            <w:tcW w:w="0" w:type="auto"/>
          </w:tcPr>
          <w:p w14:paraId="155FAF6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0.597</w:t>
            </w:r>
          </w:p>
        </w:tc>
        <w:tc>
          <w:tcPr>
            <w:tcW w:w="0" w:type="auto"/>
          </w:tcPr>
          <w:p w14:paraId="12D85CB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0.242</w:t>
            </w:r>
          </w:p>
        </w:tc>
        <w:tc>
          <w:tcPr>
            <w:tcW w:w="0" w:type="auto"/>
          </w:tcPr>
          <w:p w14:paraId="116A3DC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0.839</w:t>
            </w:r>
          </w:p>
        </w:tc>
      </w:tr>
      <w:tr w:rsidR="0098497E" w:rsidRPr="00E1329D" w14:paraId="7A7AF1B2"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585DFC8"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28</w:t>
            </w:r>
          </w:p>
        </w:tc>
        <w:tc>
          <w:tcPr>
            <w:tcW w:w="0" w:type="auto"/>
          </w:tcPr>
          <w:p w14:paraId="0BE6D08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0.186</w:t>
            </w:r>
          </w:p>
        </w:tc>
        <w:tc>
          <w:tcPr>
            <w:tcW w:w="0" w:type="auto"/>
          </w:tcPr>
          <w:p w14:paraId="30DB835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0.691</w:t>
            </w:r>
          </w:p>
        </w:tc>
        <w:tc>
          <w:tcPr>
            <w:tcW w:w="0" w:type="auto"/>
          </w:tcPr>
          <w:p w14:paraId="704AA3C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0.877</w:t>
            </w:r>
          </w:p>
        </w:tc>
      </w:tr>
      <w:tr w:rsidR="0098497E" w:rsidRPr="00E1329D" w14:paraId="111BF195"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9972E2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29</w:t>
            </w:r>
          </w:p>
        </w:tc>
        <w:tc>
          <w:tcPr>
            <w:tcW w:w="0" w:type="auto"/>
          </w:tcPr>
          <w:p w14:paraId="17D35F9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0.193</w:t>
            </w:r>
          </w:p>
        </w:tc>
        <w:tc>
          <w:tcPr>
            <w:tcW w:w="0" w:type="auto"/>
          </w:tcPr>
          <w:p w14:paraId="23063B1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1.007</w:t>
            </w:r>
          </w:p>
        </w:tc>
        <w:tc>
          <w:tcPr>
            <w:tcW w:w="0" w:type="auto"/>
          </w:tcPr>
          <w:p w14:paraId="41165732"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w:t>
            </w:r>
          </w:p>
        </w:tc>
      </w:tr>
      <w:tr w:rsidR="0098497E" w:rsidRPr="00E1329D" w14:paraId="2354857E"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80FA17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30</w:t>
            </w:r>
          </w:p>
        </w:tc>
        <w:tc>
          <w:tcPr>
            <w:tcW w:w="0" w:type="auto"/>
          </w:tcPr>
          <w:p w14:paraId="0AB339B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-0.229</w:t>
            </w:r>
          </w:p>
        </w:tc>
        <w:tc>
          <w:tcPr>
            <w:tcW w:w="0" w:type="auto"/>
          </w:tcPr>
          <w:p w14:paraId="18BACEE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0.448</w:t>
            </w:r>
          </w:p>
        </w:tc>
        <w:tc>
          <w:tcPr>
            <w:tcW w:w="0" w:type="auto"/>
          </w:tcPr>
          <w:p w14:paraId="51A0DD3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0.22</w:t>
            </w:r>
          </w:p>
        </w:tc>
      </w:tr>
      <w:tr w:rsidR="0098497E" w:rsidRPr="00E1329D" w14:paraId="03F211DF"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C91F0D0"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31</w:t>
            </w:r>
          </w:p>
        </w:tc>
        <w:tc>
          <w:tcPr>
            <w:tcW w:w="0" w:type="auto"/>
          </w:tcPr>
          <w:p w14:paraId="05D044B1"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-0.101</w:t>
            </w:r>
          </w:p>
        </w:tc>
        <w:tc>
          <w:tcPr>
            <w:tcW w:w="0" w:type="auto"/>
          </w:tcPr>
          <w:p w14:paraId="21E7E7C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0.308</w:t>
            </w:r>
          </w:p>
        </w:tc>
        <w:tc>
          <w:tcPr>
            <w:tcW w:w="0" w:type="auto"/>
          </w:tcPr>
          <w:p w14:paraId="58B3C74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0.207</w:t>
            </w:r>
          </w:p>
        </w:tc>
      </w:tr>
      <w:tr w:rsidR="0098497E" w:rsidRPr="00E1329D" w14:paraId="703777C5"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8A4484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32</w:t>
            </w:r>
          </w:p>
        </w:tc>
        <w:tc>
          <w:tcPr>
            <w:tcW w:w="0" w:type="auto"/>
          </w:tcPr>
          <w:p w14:paraId="517531A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0.697</w:t>
            </w:r>
          </w:p>
        </w:tc>
        <w:tc>
          <w:tcPr>
            <w:tcW w:w="0" w:type="auto"/>
          </w:tcPr>
          <w:p w14:paraId="17FE51C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0.918</w:t>
            </w:r>
          </w:p>
        </w:tc>
        <w:tc>
          <w:tcPr>
            <w:tcW w:w="0" w:type="auto"/>
          </w:tcPr>
          <w:p w14:paraId="1294C432"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1.616</w:t>
            </w:r>
          </w:p>
        </w:tc>
      </w:tr>
      <w:tr w:rsidR="0098497E" w:rsidRPr="00E1329D" w14:paraId="196CBD32"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AFAB6F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33</w:t>
            </w:r>
          </w:p>
        </w:tc>
        <w:tc>
          <w:tcPr>
            <w:tcW w:w="0" w:type="auto"/>
          </w:tcPr>
          <w:p w14:paraId="1F49882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-0.331</w:t>
            </w:r>
          </w:p>
        </w:tc>
        <w:tc>
          <w:tcPr>
            <w:tcW w:w="0" w:type="auto"/>
          </w:tcPr>
          <w:p w14:paraId="62FA28D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0.518</w:t>
            </w:r>
          </w:p>
        </w:tc>
        <w:tc>
          <w:tcPr>
            <w:tcW w:w="0" w:type="auto"/>
          </w:tcPr>
          <w:p w14:paraId="31FEDCE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0.187</w:t>
            </w:r>
          </w:p>
        </w:tc>
      </w:tr>
      <w:tr w:rsidR="0098497E" w:rsidRPr="00E1329D" w14:paraId="794D9E84"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7BA2DAA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34</w:t>
            </w:r>
          </w:p>
        </w:tc>
        <w:tc>
          <w:tcPr>
            <w:tcW w:w="0" w:type="auto"/>
          </w:tcPr>
          <w:p w14:paraId="31AA974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-0.438</w:t>
            </w:r>
          </w:p>
        </w:tc>
        <w:tc>
          <w:tcPr>
            <w:tcW w:w="0" w:type="auto"/>
          </w:tcPr>
          <w:p w14:paraId="78794BC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0.051</w:t>
            </w:r>
          </w:p>
        </w:tc>
        <w:tc>
          <w:tcPr>
            <w:tcW w:w="0" w:type="auto"/>
          </w:tcPr>
          <w:p w14:paraId="605D608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-0.387</w:t>
            </w:r>
          </w:p>
        </w:tc>
      </w:tr>
      <w:tr w:rsidR="0098497E" w:rsidRPr="00E1329D" w14:paraId="5004F6E5"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31C72EFB"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35</w:t>
            </w:r>
          </w:p>
        </w:tc>
        <w:tc>
          <w:tcPr>
            <w:tcW w:w="0" w:type="auto"/>
          </w:tcPr>
          <w:p w14:paraId="416224E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0.167</w:t>
            </w:r>
          </w:p>
        </w:tc>
        <w:tc>
          <w:tcPr>
            <w:tcW w:w="0" w:type="auto"/>
          </w:tcPr>
          <w:p w14:paraId="6D2F9ED1"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0.48</w:t>
            </w:r>
          </w:p>
        </w:tc>
        <w:tc>
          <w:tcPr>
            <w:tcW w:w="0" w:type="auto"/>
          </w:tcPr>
          <w:p w14:paraId="56ECA86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0.647</w:t>
            </w:r>
          </w:p>
        </w:tc>
      </w:tr>
      <w:tr w:rsidR="0098497E" w:rsidRPr="00E1329D" w14:paraId="45118171"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69807E9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36</w:t>
            </w:r>
          </w:p>
        </w:tc>
        <w:tc>
          <w:tcPr>
            <w:tcW w:w="0" w:type="auto"/>
          </w:tcPr>
          <w:p w14:paraId="01863B8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1.425</w:t>
            </w:r>
          </w:p>
        </w:tc>
        <w:tc>
          <w:tcPr>
            <w:tcW w:w="0" w:type="auto"/>
          </w:tcPr>
          <w:p w14:paraId="15A78D5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1.08</w:t>
            </w:r>
          </w:p>
        </w:tc>
        <w:tc>
          <w:tcPr>
            <w:tcW w:w="0" w:type="auto"/>
          </w:tcPr>
          <w:p w14:paraId="57E69C92"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2.505</w:t>
            </w:r>
          </w:p>
        </w:tc>
      </w:tr>
      <w:tr w:rsidR="0098497E" w:rsidRPr="00E1329D" w14:paraId="623EA9F4"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4B9F998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37</w:t>
            </w:r>
          </w:p>
        </w:tc>
        <w:tc>
          <w:tcPr>
            <w:tcW w:w="0" w:type="auto"/>
          </w:tcPr>
          <w:p w14:paraId="44D1A2D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-0.705</w:t>
            </w:r>
          </w:p>
        </w:tc>
        <w:tc>
          <w:tcPr>
            <w:tcW w:w="0" w:type="auto"/>
          </w:tcPr>
          <w:p w14:paraId="3960E0E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0.576</w:t>
            </w:r>
          </w:p>
        </w:tc>
        <w:tc>
          <w:tcPr>
            <w:tcW w:w="0" w:type="auto"/>
          </w:tcPr>
          <w:p w14:paraId="54A1E79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-0.128</w:t>
            </w:r>
          </w:p>
        </w:tc>
      </w:tr>
      <w:tr w:rsidR="0098497E" w:rsidRPr="00E1329D" w14:paraId="18B2EA90"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190AD98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38</w:t>
            </w:r>
          </w:p>
        </w:tc>
        <w:tc>
          <w:tcPr>
            <w:tcW w:w="0" w:type="auto"/>
          </w:tcPr>
          <w:p w14:paraId="5047A20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0.112</w:t>
            </w:r>
          </w:p>
        </w:tc>
        <w:tc>
          <w:tcPr>
            <w:tcW w:w="0" w:type="auto"/>
          </w:tcPr>
          <w:p w14:paraId="671FB0C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0.348</w:t>
            </w:r>
          </w:p>
        </w:tc>
        <w:tc>
          <w:tcPr>
            <w:tcW w:w="0" w:type="auto"/>
          </w:tcPr>
          <w:p w14:paraId="45CE5C2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0.46</w:t>
            </w:r>
          </w:p>
        </w:tc>
      </w:tr>
      <w:tr w:rsidR="0098497E" w:rsidRPr="00E1329D" w14:paraId="022CB385"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2DD635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39</w:t>
            </w:r>
          </w:p>
        </w:tc>
        <w:tc>
          <w:tcPr>
            <w:tcW w:w="0" w:type="auto"/>
          </w:tcPr>
          <w:p w14:paraId="2238CFF5"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-0.583</w:t>
            </w:r>
          </w:p>
        </w:tc>
        <w:tc>
          <w:tcPr>
            <w:tcW w:w="0" w:type="auto"/>
          </w:tcPr>
          <w:p w14:paraId="788EAB3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0.047</w:t>
            </w:r>
          </w:p>
        </w:tc>
        <w:tc>
          <w:tcPr>
            <w:tcW w:w="0" w:type="auto"/>
          </w:tcPr>
          <w:p w14:paraId="144A51B1"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-0.536</w:t>
            </w:r>
          </w:p>
        </w:tc>
      </w:tr>
      <w:tr w:rsidR="0098497E" w:rsidRPr="00E1329D" w14:paraId="51FF788C"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07EF9BF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40</w:t>
            </w:r>
          </w:p>
        </w:tc>
        <w:tc>
          <w:tcPr>
            <w:tcW w:w="0" w:type="auto"/>
          </w:tcPr>
          <w:p w14:paraId="0E3FBB8A"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-0.159</w:t>
            </w:r>
          </w:p>
        </w:tc>
        <w:tc>
          <w:tcPr>
            <w:tcW w:w="0" w:type="auto"/>
          </w:tcPr>
          <w:p w14:paraId="3E0A4EF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0.939</w:t>
            </w:r>
          </w:p>
        </w:tc>
        <w:tc>
          <w:tcPr>
            <w:tcW w:w="0" w:type="auto"/>
          </w:tcPr>
          <w:p w14:paraId="2C83A93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0.78</w:t>
            </w:r>
          </w:p>
        </w:tc>
      </w:tr>
      <w:tr w:rsidR="0098497E" w:rsidRPr="00E1329D" w14:paraId="7083D5C0"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50C07D5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41</w:t>
            </w:r>
          </w:p>
        </w:tc>
        <w:tc>
          <w:tcPr>
            <w:tcW w:w="0" w:type="auto"/>
          </w:tcPr>
          <w:p w14:paraId="039503F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0.643</w:t>
            </w:r>
          </w:p>
        </w:tc>
        <w:tc>
          <w:tcPr>
            <w:tcW w:w="0" w:type="auto"/>
          </w:tcPr>
          <w:p w14:paraId="06C6E02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0.795</w:t>
            </w:r>
          </w:p>
        </w:tc>
        <w:tc>
          <w:tcPr>
            <w:tcW w:w="0" w:type="auto"/>
          </w:tcPr>
          <w:p w14:paraId="1691C01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1.438</w:t>
            </w:r>
          </w:p>
        </w:tc>
      </w:tr>
      <w:tr w:rsidR="0098497E" w:rsidRPr="00E1329D" w14:paraId="022A01B3" w14:textId="77777777" w:rsidTr="00A82492">
        <w:trPr>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0CAC0FF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42</w:t>
            </w:r>
          </w:p>
        </w:tc>
        <w:tc>
          <w:tcPr>
            <w:tcW w:w="0" w:type="auto"/>
          </w:tcPr>
          <w:p w14:paraId="3FECB80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-1.775</w:t>
            </w:r>
          </w:p>
        </w:tc>
        <w:tc>
          <w:tcPr>
            <w:tcW w:w="0" w:type="auto"/>
          </w:tcPr>
          <w:p w14:paraId="775C4A0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0.735</w:t>
            </w:r>
          </w:p>
        </w:tc>
        <w:tc>
          <w:tcPr>
            <w:tcW w:w="0" w:type="auto"/>
          </w:tcPr>
          <w:p w14:paraId="2A90701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-1.04</w:t>
            </w:r>
          </w:p>
        </w:tc>
      </w:tr>
      <w:tr w:rsidR="0098497E" w:rsidRPr="00E1329D" w14:paraId="530B4334" w14:textId="77777777" w:rsidTr="00A82492">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0" w:type="auto"/>
          </w:tcPr>
          <w:p w14:paraId="208FD87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43</w:t>
            </w:r>
          </w:p>
        </w:tc>
        <w:tc>
          <w:tcPr>
            <w:tcW w:w="0" w:type="auto"/>
          </w:tcPr>
          <w:p w14:paraId="4971108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0.461</w:t>
            </w:r>
          </w:p>
        </w:tc>
        <w:tc>
          <w:tcPr>
            <w:tcW w:w="0" w:type="auto"/>
          </w:tcPr>
          <w:p w14:paraId="1194B33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0.038</w:t>
            </w:r>
          </w:p>
        </w:tc>
        <w:tc>
          <w:tcPr>
            <w:tcW w:w="0" w:type="auto"/>
          </w:tcPr>
          <w:p w14:paraId="10ACDF9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0.499</w:t>
            </w:r>
          </w:p>
        </w:tc>
      </w:tr>
    </w:tbl>
    <w:p w14:paraId="721E126E" w14:textId="77777777" w:rsidR="0098497E" w:rsidRPr="00E1329D" w:rsidRDefault="0098497E" w:rsidP="0098497E">
      <w:pPr>
        <w:rPr>
          <w:rFonts w:cs="Times New Roman"/>
        </w:rPr>
      </w:pPr>
    </w:p>
    <w:p w14:paraId="06B5FF6C" w14:textId="77777777" w:rsidR="0098497E" w:rsidRPr="00E1329D" w:rsidRDefault="0098497E" w:rsidP="0098497E">
      <w:pPr>
        <w:pStyle w:val="Ttulo2"/>
      </w:pPr>
      <w:r w:rsidRPr="00E1329D">
        <w:t xml:space="preserve">Datos completos: Grupo </w:t>
      </w:r>
      <w:proofErr w:type="spellStart"/>
      <w:r w:rsidRPr="00E1329D">
        <w:t>Bundle</w:t>
      </w:r>
      <w:proofErr w:type="spellEnd"/>
      <w:r w:rsidRPr="00E1329D">
        <w:t>/HPWS (n=42)</w:t>
      </w:r>
    </w:p>
    <w:p w14:paraId="0F1496A6" w14:textId="77777777" w:rsidR="0098497E" w:rsidRPr="00E1329D" w:rsidRDefault="0098497E" w:rsidP="0098497E">
      <w:pPr>
        <w:rPr>
          <w:rFonts w:cs="Times New Roman"/>
        </w:rPr>
      </w:pPr>
    </w:p>
    <w:tbl>
      <w:tblPr>
        <w:tblStyle w:val="Tablanormal2"/>
        <w:tblW w:w="0" w:type="auto"/>
        <w:jc w:val="center"/>
        <w:tblLook w:val="04A0" w:firstRow="1" w:lastRow="0" w:firstColumn="1" w:lastColumn="0" w:noHBand="0" w:noVBand="1"/>
      </w:tblPr>
      <w:tblGrid>
        <w:gridCol w:w="1257"/>
        <w:gridCol w:w="1265"/>
        <w:gridCol w:w="763"/>
        <w:gridCol w:w="1350"/>
      </w:tblGrid>
      <w:tr w:rsidR="0098497E" w:rsidRPr="00E1329D" w14:paraId="678E3717" w14:textId="77777777" w:rsidTr="00A8249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3E40B90"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Empleado</w:t>
            </w:r>
          </w:p>
        </w:tc>
        <w:tc>
          <w:tcPr>
            <w:tcW w:w="0" w:type="auto"/>
          </w:tcPr>
          <w:p w14:paraId="7E9C620F"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1329D">
              <w:rPr>
                <w:rFonts w:ascii="Times New Roman" w:hAnsi="Times New Roman" w:cs="Times New Roman"/>
              </w:rPr>
              <w:t>IDMI_pre</w:t>
            </w:r>
            <w:proofErr w:type="spellEnd"/>
          </w:p>
        </w:tc>
        <w:tc>
          <w:tcPr>
            <w:tcW w:w="0" w:type="auto"/>
          </w:tcPr>
          <w:p w14:paraId="506AD5FB"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Delta</w:t>
            </w:r>
          </w:p>
        </w:tc>
        <w:tc>
          <w:tcPr>
            <w:tcW w:w="0" w:type="auto"/>
          </w:tcPr>
          <w:p w14:paraId="2D9FD3D4" w14:textId="77777777" w:rsidR="0098497E" w:rsidRPr="00E1329D" w:rsidRDefault="0098497E" w:rsidP="00A8249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1329D">
              <w:rPr>
                <w:rFonts w:ascii="Times New Roman" w:hAnsi="Times New Roman" w:cs="Times New Roman"/>
              </w:rPr>
              <w:t>IDMI_post</w:t>
            </w:r>
            <w:proofErr w:type="spellEnd"/>
          </w:p>
        </w:tc>
      </w:tr>
      <w:tr w:rsidR="0098497E" w:rsidRPr="00E1329D" w14:paraId="1687F82F"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5E46DB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w:t>
            </w:r>
          </w:p>
        </w:tc>
        <w:tc>
          <w:tcPr>
            <w:tcW w:w="0" w:type="auto"/>
          </w:tcPr>
          <w:p w14:paraId="3751985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0.725</w:t>
            </w:r>
          </w:p>
        </w:tc>
        <w:tc>
          <w:tcPr>
            <w:tcW w:w="0" w:type="auto"/>
          </w:tcPr>
          <w:p w14:paraId="504EF8E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1.496</w:t>
            </w:r>
          </w:p>
        </w:tc>
        <w:tc>
          <w:tcPr>
            <w:tcW w:w="0" w:type="auto"/>
          </w:tcPr>
          <w:p w14:paraId="00B0B7C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2.222</w:t>
            </w:r>
          </w:p>
        </w:tc>
      </w:tr>
      <w:tr w:rsidR="0098497E" w:rsidRPr="00E1329D" w14:paraId="1E7FEA49"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948EC34"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w:t>
            </w:r>
          </w:p>
        </w:tc>
        <w:tc>
          <w:tcPr>
            <w:tcW w:w="0" w:type="auto"/>
          </w:tcPr>
          <w:p w14:paraId="7D9A770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-0.633</w:t>
            </w:r>
          </w:p>
        </w:tc>
        <w:tc>
          <w:tcPr>
            <w:tcW w:w="0" w:type="auto"/>
          </w:tcPr>
          <w:p w14:paraId="29D4E13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1.303</w:t>
            </w:r>
          </w:p>
        </w:tc>
        <w:tc>
          <w:tcPr>
            <w:tcW w:w="0" w:type="auto"/>
          </w:tcPr>
          <w:p w14:paraId="66D1ED0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0.67</w:t>
            </w:r>
          </w:p>
        </w:tc>
      </w:tr>
      <w:tr w:rsidR="0098497E" w:rsidRPr="00E1329D" w14:paraId="6F66924A"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C4BAED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w:t>
            </w:r>
          </w:p>
        </w:tc>
        <w:tc>
          <w:tcPr>
            <w:tcW w:w="0" w:type="auto"/>
          </w:tcPr>
          <w:p w14:paraId="6E7F2A0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-1.524</w:t>
            </w:r>
          </w:p>
        </w:tc>
        <w:tc>
          <w:tcPr>
            <w:tcW w:w="0" w:type="auto"/>
          </w:tcPr>
          <w:p w14:paraId="1F7CF43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0.444</w:t>
            </w:r>
          </w:p>
        </w:tc>
        <w:tc>
          <w:tcPr>
            <w:tcW w:w="0" w:type="auto"/>
          </w:tcPr>
          <w:p w14:paraId="17B0A99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-1.08</w:t>
            </w:r>
          </w:p>
        </w:tc>
      </w:tr>
      <w:tr w:rsidR="0098497E" w:rsidRPr="00E1329D" w14:paraId="27841AA5"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D0726E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w:t>
            </w:r>
          </w:p>
        </w:tc>
        <w:tc>
          <w:tcPr>
            <w:tcW w:w="0" w:type="auto"/>
          </w:tcPr>
          <w:p w14:paraId="266D50A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0.601</w:t>
            </w:r>
          </w:p>
        </w:tc>
        <w:tc>
          <w:tcPr>
            <w:tcW w:w="0" w:type="auto"/>
          </w:tcPr>
          <w:p w14:paraId="4ABBE87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1.399</w:t>
            </w:r>
          </w:p>
        </w:tc>
        <w:tc>
          <w:tcPr>
            <w:tcW w:w="0" w:type="auto"/>
          </w:tcPr>
          <w:p w14:paraId="25D2EAB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2.0</w:t>
            </w:r>
          </w:p>
        </w:tc>
      </w:tr>
      <w:tr w:rsidR="0098497E" w:rsidRPr="00E1329D" w14:paraId="2E089F2C"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1FEF872"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5</w:t>
            </w:r>
          </w:p>
        </w:tc>
        <w:tc>
          <w:tcPr>
            <w:tcW w:w="0" w:type="auto"/>
          </w:tcPr>
          <w:p w14:paraId="7D8DF258"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-0.856</w:t>
            </w:r>
          </w:p>
        </w:tc>
        <w:tc>
          <w:tcPr>
            <w:tcW w:w="0" w:type="auto"/>
          </w:tcPr>
          <w:p w14:paraId="49971E5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0.514</w:t>
            </w:r>
          </w:p>
        </w:tc>
        <w:tc>
          <w:tcPr>
            <w:tcW w:w="0" w:type="auto"/>
          </w:tcPr>
          <w:p w14:paraId="4574D47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-0.343</w:t>
            </w:r>
          </w:p>
        </w:tc>
      </w:tr>
      <w:tr w:rsidR="0098497E" w:rsidRPr="00E1329D" w14:paraId="0CEE5ABD"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BCF13B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6</w:t>
            </w:r>
          </w:p>
        </w:tc>
        <w:tc>
          <w:tcPr>
            <w:tcW w:w="0" w:type="auto"/>
          </w:tcPr>
          <w:p w14:paraId="7233CD7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0.769</w:t>
            </w:r>
          </w:p>
        </w:tc>
        <w:tc>
          <w:tcPr>
            <w:tcW w:w="0" w:type="auto"/>
          </w:tcPr>
          <w:p w14:paraId="485EF9D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1.029</w:t>
            </w:r>
          </w:p>
        </w:tc>
        <w:tc>
          <w:tcPr>
            <w:tcW w:w="0" w:type="auto"/>
          </w:tcPr>
          <w:p w14:paraId="7EA4A22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1.798</w:t>
            </w:r>
          </w:p>
        </w:tc>
      </w:tr>
      <w:tr w:rsidR="0098497E" w:rsidRPr="00E1329D" w14:paraId="46D0CC77"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F1BB5B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7</w:t>
            </w:r>
          </w:p>
        </w:tc>
        <w:tc>
          <w:tcPr>
            <w:tcW w:w="0" w:type="auto"/>
          </w:tcPr>
          <w:p w14:paraId="5517EC8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-0.221</w:t>
            </w:r>
          </w:p>
        </w:tc>
        <w:tc>
          <w:tcPr>
            <w:tcW w:w="0" w:type="auto"/>
          </w:tcPr>
          <w:p w14:paraId="11D9BAD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1.151</w:t>
            </w:r>
          </w:p>
        </w:tc>
        <w:tc>
          <w:tcPr>
            <w:tcW w:w="0" w:type="auto"/>
          </w:tcPr>
          <w:p w14:paraId="68E225C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0.93</w:t>
            </w:r>
          </w:p>
        </w:tc>
      </w:tr>
      <w:tr w:rsidR="0098497E" w:rsidRPr="00E1329D" w14:paraId="7743768D"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340C46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8</w:t>
            </w:r>
          </w:p>
        </w:tc>
        <w:tc>
          <w:tcPr>
            <w:tcW w:w="0" w:type="auto"/>
          </w:tcPr>
          <w:p w14:paraId="76BB6EB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0.104</w:t>
            </w:r>
          </w:p>
        </w:tc>
        <w:tc>
          <w:tcPr>
            <w:tcW w:w="0" w:type="auto"/>
          </w:tcPr>
          <w:p w14:paraId="0F9377B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0.971</w:t>
            </w:r>
          </w:p>
        </w:tc>
        <w:tc>
          <w:tcPr>
            <w:tcW w:w="0" w:type="auto"/>
          </w:tcPr>
          <w:p w14:paraId="276560E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1.075</w:t>
            </w:r>
          </w:p>
        </w:tc>
      </w:tr>
      <w:tr w:rsidR="0098497E" w:rsidRPr="00E1329D" w14:paraId="50C2DEA2"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227E9F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9</w:t>
            </w:r>
          </w:p>
        </w:tc>
        <w:tc>
          <w:tcPr>
            <w:tcW w:w="0" w:type="auto"/>
          </w:tcPr>
          <w:p w14:paraId="0048AF5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-0.154</w:t>
            </w:r>
          </w:p>
        </w:tc>
        <w:tc>
          <w:tcPr>
            <w:tcW w:w="0" w:type="auto"/>
          </w:tcPr>
          <w:p w14:paraId="7F7B25A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1.063</w:t>
            </w:r>
          </w:p>
        </w:tc>
        <w:tc>
          <w:tcPr>
            <w:tcW w:w="0" w:type="auto"/>
          </w:tcPr>
          <w:p w14:paraId="3261108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0.909</w:t>
            </w:r>
          </w:p>
        </w:tc>
      </w:tr>
      <w:tr w:rsidR="0098497E" w:rsidRPr="00E1329D" w14:paraId="1C4E15B1"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EE3C86A"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10</w:t>
            </w:r>
          </w:p>
        </w:tc>
        <w:tc>
          <w:tcPr>
            <w:tcW w:w="0" w:type="auto"/>
          </w:tcPr>
          <w:p w14:paraId="638C62F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-0.411</w:t>
            </w:r>
          </w:p>
        </w:tc>
        <w:tc>
          <w:tcPr>
            <w:tcW w:w="0" w:type="auto"/>
          </w:tcPr>
          <w:p w14:paraId="1BBEBE5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0.99</w:t>
            </w:r>
          </w:p>
        </w:tc>
        <w:tc>
          <w:tcPr>
            <w:tcW w:w="0" w:type="auto"/>
          </w:tcPr>
          <w:p w14:paraId="7F9899B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0.578</w:t>
            </w:r>
          </w:p>
        </w:tc>
      </w:tr>
      <w:tr w:rsidR="0098497E" w:rsidRPr="00E1329D" w14:paraId="5B38528E"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AA2E5D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11</w:t>
            </w:r>
          </w:p>
        </w:tc>
        <w:tc>
          <w:tcPr>
            <w:tcW w:w="0" w:type="auto"/>
          </w:tcPr>
          <w:p w14:paraId="565942D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0.096</w:t>
            </w:r>
          </w:p>
        </w:tc>
        <w:tc>
          <w:tcPr>
            <w:tcW w:w="0" w:type="auto"/>
          </w:tcPr>
          <w:p w14:paraId="3965761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1.022</w:t>
            </w:r>
          </w:p>
        </w:tc>
        <w:tc>
          <w:tcPr>
            <w:tcW w:w="0" w:type="auto"/>
          </w:tcPr>
          <w:p w14:paraId="0470173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1.118</w:t>
            </w:r>
          </w:p>
        </w:tc>
      </w:tr>
      <w:tr w:rsidR="0098497E" w:rsidRPr="00E1329D" w14:paraId="5D87E00D"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AC3F1C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12</w:t>
            </w:r>
          </w:p>
        </w:tc>
        <w:tc>
          <w:tcPr>
            <w:tcW w:w="0" w:type="auto"/>
          </w:tcPr>
          <w:p w14:paraId="6A1FDB4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0.093</w:t>
            </w:r>
          </w:p>
        </w:tc>
        <w:tc>
          <w:tcPr>
            <w:tcW w:w="0" w:type="auto"/>
          </w:tcPr>
          <w:p w14:paraId="632C072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1.355</w:t>
            </w:r>
          </w:p>
        </w:tc>
        <w:tc>
          <w:tcPr>
            <w:tcW w:w="0" w:type="auto"/>
          </w:tcPr>
          <w:p w14:paraId="2B1B9DF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1.448</w:t>
            </w:r>
          </w:p>
        </w:tc>
      </w:tr>
      <w:tr w:rsidR="0098497E" w:rsidRPr="00E1329D" w14:paraId="6FFAFC4F"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0AB2BF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13</w:t>
            </w:r>
          </w:p>
        </w:tc>
        <w:tc>
          <w:tcPr>
            <w:tcW w:w="0" w:type="auto"/>
          </w:tcPr>
          <w:p w14:paraId="01C2630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-0.687</w:t>
            </w:r>
          </w:p>
        </w:tc>
        <w:tc>
          <w:tcPr>
            <w:tcW w:w="0" w:type="auto"/>
          </w:tcPr>
          <w:p w14:paraId="195D8AD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1.159</w:t>
            </w:r>
          </w:p>
        </w:tc>
        <w:tc>
          <w:tcPr>
            <w:tcW w:w="0" w:type="auto"/>
          </w:tcPr>
          <w:p w14:paraId="34A318C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0.472</w:t>
            </w:r>
          </w:p>
        </w:tc>
      </w:tr>
      <w:tr w:rsidR="0098497E" w:rsidRPr="00E1329D" w14:paraId="0168BFBF"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AAE575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14</w:t>
            </w:r>
          </w:p>
        </w:tc>
        <w:tc>
          <w:tcPr>
            <w:tcW w:w="0" w:type="auto"/>
          </w:tcPr>
          <w:p w14:paraId="5D5A5D9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0.242</w:t>
            </w:r>
          </w:p>
        </w:tc>
        <w:tc>
          <w:tcPr>
            <w:tcW w:w="0" w:type="auto"/>
          </w:tcPr>
          <w:p w14:paraId="6EC4EBF3"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1.216</w:t>
            </w:r>
          </w:p>
        </w:tc>
        <w:tc>
          <w:tcPr>
            <w:tcW w:w="0" w:type="auto"/>
          </w:tcPr>
          <w:p w14:paraId="139CCCC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1.458</w:t>
            </w:r>
          </w:p>
        </w:tc>
      </w:tr>
      <w:tr w:rsidR="0098497E" w:rsidRPr="00E1329D" w14:paraId="39ED6D37"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A90A082"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15</w:t>
            </w:r>
          </w:p>
        </w:tc>
        <w:tc>
          <w:tcPr>
            <w:tcW w:w="0" w:type="auto"/>
          </w:tcPr>
          <w:p w14:paraId="096A75D2"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0.371</w:t>
            </w:r>
          </w:p>
        </w:tc>
        <w:tc>
          <w:tcPr>
            <w:tcW w:w="0" w:type="auto"/>
          </w:tcPr>
          <w:p w14:paraId="5436A90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0.928</w:t>
            </w:r>
          </w:p>
        </w:tc>
        <w:tc>
          <w:tcPr>
            <w:tcW w:w="0" w:type="auto"/>
          </w:tcPr>
          <w:p w14:paraId="5000634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1.299</w:t>
            </w:r>
          </w:p>
        </w:tc>
      </w:tr>
      <w:tr w:rsidR="0098497E" w:rsidRPr="00E1329D" w14:paraId="4868073E"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483A95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16</w:t>
            </w:r>
          </w:p>
        </w:tc>
        <w:tc>
          <w:tcPr>
            <w:tcW w:w="0" w:type="auto"/>
          </w:tcPr>
          <w:p w14:paraId="2A03C6E5"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-0.473</w:t>
            </w:r>
          </w:p>
        </w:tc>
        <w:tc>
          <w:tcPr>
            <w:tcW w:w="0" w:type="auto"/>
          </w:tcPr>
          <w:p w14:paraId="6DF20EB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1.287</w:t>
            </w:r>
          </w:p>
        </w:tc>
        <w:tc>
          <w:tcPr>
            <w:tcW w:w="0" w:type="auto"/>
          </w:tcPr>
          <w:p w14:paraId="7A2A6B6C"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0.813</w:t>
            </w:r>
          </w:p>
        </w:tc>
      </w:tr>
      <w:tr w:rsidR="0098497E" w:rsidRPr="00E1329D" w14:paraId="70B3530A"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9EABCD9"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17</w:t>
            </w:r>
          </w:p>
        </w:tc>
        <w:tc>
          <w:tcPr>
            <w:tcW w:w="0" w:type="auto"/>
          </w:tcPr>
          <w:p w14:paraId="1D5BBD2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-0.991</w:t>
            </w:r>
          </w:p>
        </w:tc>
        <w:tc>
          <w:tcPr>
            <w:tcW w:w="0" w:type="auto"/>
          </w:tcPr>
          <w:p w14:paraId="63755A3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0.79</w:t>
            </w:r>
          </w:p>
        </w:tc>
        <w:tc>
          <w:tcPr>
            <w:tcW w:w="0" w:type="auto"/>
          </w:tcPr>
          <w:p w14:paraId="2812B4E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-0.201</w:t>
            </w:r>
          </w:p>
        </w:tc>
      </w:tr>
      <w:tr w:rsidR="0098497E" w:rsidRPr="00E1329D" w14:paraId="6EB89310"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A85A54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18</w:t>
            </w:r>
          </w:p>
        </w:tc>
        <w:tc>
          <w:tcPr>
            <w:tcW w:w="0" w:type="auto"/>
          </w:tcPr>
          <w:p w14:paraId="6421D44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0.181</w:t>
            </w:r>
          </w:p>
        </w:tc>
        <w:tc>
          <w:tcPr>
            <w:tcW w:w="0" w:type="auto"/>
          </w:tcPr>
          <w:p w14:paraId="00D998F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0.592</w:t>
            </w:r>
          </w:p>
        </w:tc>
        <w:tc>
          <w:tcPr>
            <w:tcW w:w="0" w:type="auto"/>
          </w:tcPr>
          <w:p w14:paraId="36CCED4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0.773</w:t>
            </w:r>
          </w:p>
        </w:tc>
      </w:tr>
      <w:tr w:rsidR="0098497E" w:rsidRPr="00E1329D" w14:paraId="73F4984F"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9EECE4A"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19</w:t>
            </w:r>
          </w:p>
        </w:tc>
        <w:tc>
          <w:tcPr>
            <w:tcW w:w="0" w:type="auto"/>
          </w:tcPr>
          <w:p w14:paraId="196CC1EE"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0.576</w:t>
            </w:r>
          </w:p>
        </w:tc>
        <w:tc>
          <w:tcPr>
            <w:tcW w:w="0" w:type="auto"/>
          </w:tcPr>
          <w:p w14:paraId="7C58812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1.439</w:t>
            </w:r>
          </w:p>
        </w:tc>
        <w:tc>
          <w:tcPr>
            <w:tcW w:w="0" w:type="auto"/>
          </w:tcPr>
          <w:p w14:paraId="6A5FB01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2.016</w:t>
            </w:r>
          </w:p>
        </w:tc>
      </w:tr>
      <w:tr w:rsidR="0098497E" w:rsidRPr="00E1329D" w14:paraId="619DA6B1"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98402FE"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20</w:t>
            </w:r>
          </w:p>
        </w:tc>
        <w:tc>
          <w:tcPr>
            <w:tcW w:w="0" w:type="auto"/>
          </w:tcPr>
          <w:p w14:paraId="28737A2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0.894</w:t>
            </w:r>
          </w:p>
        </w:tc>
        <w:tc>
          <w:tcPr>
            <w:tcW w:w="0" w:type="auto"/>
          </w:tcPr>
          <w:p w14:paraId="712206A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1.87</w:t>
            </w:r>
          </w:p>
        </w:tc>
        <w:tc>
          <w:tcPr>
            <w:tcW w:w="0" w:type="auto"/>
          </w:tcPr>
          <w:p w14:paraId="41652DD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2.764</w:t>
            </w:r>
          </w:p>
        </w:tc>
      </w:tr>
      <w:tr w:rsidR="0098497E" w:rsidRPr="00E1329D" w14:paraId="6DC870AC"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810B69B"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21</w:t>
            </w:r>
          </w:p>
        </w:tc>
        <w:tc>
          <w:tcPr>
            <w:tcW w:w="0" w:type="auto"/>
          </w:tcPr>
          <w:p w14:paraId="343A3E2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-0.852</w:t>
            </w:r>
          </w:p>
        </w:tc>
        <w:tc>
          <w:tcPr>
            <w:tcW w:w="0" w:type="auto"/>
          </w:tcPr>
          <w:p w14:paraId="396E98D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1.529</w:t>
            </w:r>
          </w:p>
        </w:tc>
        <w:tc>
          <w:tcPr>
            <w:tcW w:w="0" w:type="auto"/>
          </w:tcPr>
          <w:p w14:paraId="62EB091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0.677</w:t>
            </w:r>
          </w:p>
        </w:tc>
      </w:tr>
      <w:tr w:rsidR="0098497E" w:rsidRPr="00E1329D" w14:paraId="6F4F6AA3"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D9774F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22</w:t>
            </w:r>
          </w:p>
        </w:tc>
        <w:tc>
          <w:tcPr>
            <w:tcW w:w="0" w:type="auto"/>
          </w:tcPr>
          <w:p w14:paraId="766EF295"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-0.038</w:t>
            </w:r>
          </w:p>
        </w:tc>
        <w:tc>
          <w:tcPr>
            <w:tcW w:w="0" w:type="auto"/>
          </w:tcPr>
          <w:p w14:paraId="195D2994"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1.035</w:t>
            </w:r>
          </w:p>
        </w:tc>
        <w:tc>
          <w:tcPr>
            <w:tcW w:w="0" w:type="auto"/>
          </w:tcPr>
          <w:p w14:paraId="2610D88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0.997</w:t>
            </w:r>
          </w:p>
        </w:tc>
      </w:tr>
      <w:tr w:rsidR="0098497E" w:rsidRPr="00E1329D" w14:paraId="3DD23A44"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4BAE6E0"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23</w:t>
            </w:r>
          </w:p>
        </w:tc>
        <w:tc>
          <w:tcPr>
            <w:tcW w:w="0" w:type="auto"/>
          </w:tcPr>
          <w:p w14:paraId="2137FC5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0.033</w:t>
            </w:r>
          </w:p>
        </w:tc>
        <w:tc>
          <w:tcPr>
            <w:tcW w:w="0" w:type="auto"/>
          </w:tcPr>
          <w:p w14:paraId="7BD93F38"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1.48</w:t>
            </w:r>
          </w:p>
        </w:tc>
        <w:tc>
          <w:tcPr>
            <w:tcW w:w="0" w:type="auto"/>
          </w:tcPr>
          <w:p w14:paraId="585B3377"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1.513</w:t>
            </w:r>
          </w:p>
        </w:tc>
      </w:tr>
      <w:tr w:rsidR="0098497E" w:rsidRPr="00E1329D" w14:paraId="2147DE6E"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5121AF8"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24</w:t>
            </w:r>
          </w:p>
        </w:tc>
        <w:tc>
          <w:tcPr>
            <w:tcW w:w="0" w:type="auto"/>
          </w:tcPr>
          <w:p w14:paraId="62A174E2"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0.965</w:t>
            </w:r>
          </w:p>
        </w:tc>
        <w:tc>
          <w:tcPr>
            <w:tcW w:w="0" w:type="auto"/>
          </w:tcPr>
          <w:p w14:paraId="670DE54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0.998</w:t>
            </w:r>
          </w:p>
        </w:tc>
        <w:tc>
          <w:tcPr>
            <w:tcW w:w="0" w:type="auto"/>
          </w:tcPr>
          <w:p w14:paraId="1B22CE0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1.963</w:t>
            </w:r>
          </w:p>
        </w:tc>
      </w:tr>
      <w:tr w:rsidR="0098497E" w:rsidRPr="00E1329D" w14:paraId="4D1A06B6"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D2CF8A7"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25</w:t>
            </w:r>
          </w:p>
        </w:tc>
        <w:tc>
          <w:tcPr>
            <w:tcW w:w="0" w:type="auto"/>
          </w:tcPr>
          <w:p w14:paraId="214BFE9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-0.397</w:t>
            </w:r>
          </w:p>
        </w:tc>
        <w:tc>
          <w:tcPr>
            <w:tcW w:w="0" w:type="auto"/>
          </w:tcPr>
          <w:p w14:paraId="7B723A6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0.84</w:t>
            </w:r>
          </w:p>
        </w:tc>
        <w:tc>
          <w:tcPr>
            <w:tcW w:w="0" w:type="auto"/>
          </w:tcPr>
          <w:p w14:paraId="6838261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0.443</w:t>
            </w:r>
          </w:p>
        </w:tc>
      </w:tr>
      <w:tr w:rsidR="0098497E" w:rsidRPr="00E1329D" w14:paraId="50296382"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A80637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26</w:t>
            </w:r>
          </w:p>
        </w:tc>
        <w:tc>
          <w:tcPr>
            <w:tcW w:w="0" w:type="auto"/>
          </w:tcPr>
          <w:p w14:paraId="2A747C9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w:t>
            </w:r>
          </w:p>
        </w:tc>
        <w:tc>
          <w:tcPr>
            <w:tcW w:w="0" w:type="auto"/>
          </w:tcPr>
          <w:p w14:paraId="51DB59E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1.269</w:t>
            </w:r>
          </w:p>
        </w:tc>
        <w:tc>
          <w:tcPr>
            <w:tcW w:w="0" w:type="auto"/>
          </w:tcPr>
          <w:p w14:paraId="6715F373"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1.369</w:t>
            </w:r>
          </w:p>
        </w:tc>
      </w:tr>
      <w:tr w:rsidR="0098497E" w:rsidRPr="00E1329D" w14:paraId="09CEC6AD"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EDB5F2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lastRenderedPageBreak/>
              <w:t>27</w:t>
            </w:r>
          </w:p>
        </w:tc>
        <w:tc>
          <w:tcPr>
            <w:tcW w:w="0" w:type="auto"/>
          </w:tcPr>
          <w:p w14:paraId="20DEF8DF"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-0.503</w:t>
            </w:r>
          </w:p>
        </w:tc>
        <w:tc>
          <w:tcPr>
            <w:tcW w:w="0" w:type="auto"/>
          </w:tcPr>
          <w:p w14:paraId="24FE4D58"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0.986</w:t>
            </w:r>
          </w:p>
        </w:tc>
        <w:tc>
          <w:tcPr>
            <w:tcW w:w="0" w:type="auto"/>
          </w:tcPr>
          <w:p w14:paraId="4AE9E3A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0.483</w:t>
            </w:r>
          </w:p>
        </w:tc>
      </w:tr>
      <w:tr w:rsidR="0098497E" w:rsidRPr="00E1329D" w14:paraId="06C83E36"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CA881E2"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28</w:t>
            </w:r>
          </w:p>
        </w:tc>
        <w:tc>
          <w:tcPr>
            <w:tcW w:w="0" w:type="auto"/>
          </w:tcPr>
          <w:p w14:paraId="478BAD4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-0.036</w:t>
            </w:r>
          </w:p>
        </w:tc>
        <w:tc>
          <w:tcPr>
            <w:tcW w:w="0" w:type="auto"/>
          </w:tcPr>
          <w:p w14:paraId="5483E93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1.047</w:t>
            </w:r>
          </w:p>
        </w:tc>
        <w:tc>
          <w:tcPr>
            <w:tcW w:w="0" w:type="auto"/>
          </w:tcPr>
          <w:p w14:paraId="6395D98F"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1.011</w:t>
            </w:r>
          </w:p>
        </w:tc>
      </w:tr>
      <w:tr w:rsidR="0098497E" w:rsidRPr="00E1329D" w14:paraId="173D4407"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B074960"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29</w:t>
            </w:r>
          </w:p>
        </w:tc>
        <w:tc>
          <w:tcPr>
            <w:tcW w:w="0" w:type="auto"/>
          </w:tcPr>
          <w:p w14:paraId="7196C4B5"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-0.297</w:t>
            </w:r>
          </w:p>
        </w:tc>
        <w:tc>
          <w:tcPr>
            <w:tcW w:w="0" w:type="auto"/>
          </w:tcPr>
          <w:p w14:paraId="400555F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1.056</w:t>
            </w:r>
          </w:p>
        </w:tc>
        <w:tc>
          <w:tcPr>
            <w:tcW w:w="0" w:type="auto"/>
          </w:tcPr>
          <w:p w14:paraId="27C04C5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0.759</w:t>
            </w:r>
          </w:p>
        </w:tc>
      </w:tr>
      <w:tr w:rsidR="0098497E" w:rsidRPr="00E1329D" w14:paraId="579968BC"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46790A5"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30</w:t>
            </w:r>
          </w:p>
        </w:tc>
        <w:tc>
          <w:tcPr>
            <w:tcW w:w="0" w:type="auto"/>
          </w:tcPr>
          <w:p w14:paraId="3424C41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0.49</w:t>
            </w:r>
          </w:p>
        </w:tc>
        <w:tc>
          <w:tcPr>
            <w:tcW w:w="0" w:type="auto"/>
          </w:tcPr>
          <w:p w14:paraId="0183580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1.488</w:t>
            </w:r>
          </w:p>
        </w:tc>
        <w:tc>
          <w:tcPr>
            <w:tcW w:w="0" w:type="auto"/>
          </w:tcPr>
          <w:p w14:paraId="26D5152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1.978</w:t>
            </w:r>
          </w:p>
        </w:tc>
      </w:tr>
      <w:tr w:rsidR="0098497E" w:rsidRPr="00E1329D" w14:paraId="38420BC4"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353EB6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31</w:t>
            </w:r>
          </w:p>
        </w:tc>
        <w:tc>
          <w:tcPr>
            <w:tcW w:w="0" w:type="auto"/>
          </w:tcPr>
          <w:p w14:paraId="357A63D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0.083</w:t>
            </w:r>
          </w:p>
        </w:tc>
        <w:tc>
          <w:tcPr>
            <w:tcW w:w="0" w:type="auto"/>
          </w:tcPr>
          <w:p w14:paraId="335553B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1.313</w:t>
            </w:r>
          </w:p>
        </w:tc>
        <w:tc>
          <w:tcPr>
            <w:tcW w:w="0" w:type="auto"/>
          </w:tcPr>
          <w:p w14:paraId="6B79BC8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1.395</w:t>
            </w:r>
          </w:p>
        </w:tc>
      </w:tr>
      <w:tr w:rsidR="0098497E" w:rsidRPr="00E1329D" w14:paraId="2E698FE3"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8CA22C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32</w:t>
            </w:r>
          </w:p>
        </w:tc>
        <w:tc>
          <w:tcPr>
            <w:tcW w:w="0" w:type="auto"/>
          </w:tcPr>
          <w:p w14:paraId="5DA47465"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-0.351</w:t>
            </w:r>
          </w:p>
        </w:tc>
        <w:tc>
          <w:tcPr>
            <w:tcW w:w="0" w:type="auto"/>
          </w:tcPr>
          <w:p w14:paraId="0912339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1.116</w:t>
            </w:r>
          </w:p>
        </w:tc>
        <w:tc>
          <w:tcPr>
            <w:tcW w:w="0" w:type="auto"/>
          </w:tcPr>
          <w:p w14:paraId="1A50F23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0.766</w:t>
            </w:r>
          </w:p>
        </w:tc>
      </w:tr>
      <w:tr w:rsidR="0098497E" w:rsidRPr="00E1329D" w14:paraId="36046308"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2C1B1C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33</w:t>
            </w:r>
          </w:p>
        </w:tc>
        <w:tc>
          <w:tcPr>
            <w:tcW w:w="0" w:type="auto"/>
          </w:tcPr>
          <w:p w14:paraId="7BCD457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-0.278</w:t>
            </w:r>
          </w:p>
        </w:tc>
        <w:tc>
          <w:tcPr>
            <w:tcW w:w="0" w:type="auto"/>
          </w:tcPr>
          <w:p w14:paraId="0CEE5526"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0.951</w:t>
            </w:r>
          </w:p>
        </w:tc>
        <w:tc>
          <w:tcPr>
            <w:tcW w:w="0" w:type="auto"/>
          </w:tcPr>
          <w:p w14:paraId="2E455CC3"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0.674</w:t>
            </w:r>
          </w:p>
        </w:tc>
      </w:tr>
      <w:tr w:rsidR="0098497E" w:rsidRPr="00E1329D" w14:paraId="196A939E"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157FA9A"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34</w:t>
            </w:r>
          </w:p>
        </w:tc>
        <w:tc>
          <w:tcPr>
            <w:tcW w:w="0" w:type="auto"/>
          </w:tcPr>
          <w:p w14:paraId="0735D7D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0.178</w:t>
            </w:r>
          </w:p>
        </w:tc>
        <w:tc>
          <w:tcPr>
            <w:tcW w:w="0" w:type="auto"/>
          </w:tcPr>
          <w:p w14:paraId="37A60A2E"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1.214</w:t>
            </w:r>
          </w:p>
        </w:tc>
        <w:tc>
          <w:tcPr>
            <w:tcW w:w="0" w:type="auto"/>
          </w:tcPr>
          <w:p w14:paraId="77E14D9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1.392</w:t>
            </w:r>
          </w:p>
        </w:tc>
      </w:tr>
      <w:tr w:rsidR="0098497E" w:rsidRPr="00E1329D" w14:paraId="67A7F64E"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8ADCE52"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35</w:t>
            </w:r>
          </w:p>
        </w:tc>
        <w:tc>
          <w:tcPr>
            <w:tcW w:w="0" w:type="auto"/>
          </w:tcPr>
          <w:p w14:paraId="2ED0E2ED"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0.039</w:t>
            </w:r>
          </w:p>
        </w:tc>
        <w:tc>
          <w:tcPr>
            <w:tcW w:w="0" w:type="auto"/>
          </w:tcPr>
          <w:p w14:paraId="1E9E6E59"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1.181</w:t>
            </w:r>
          </w:p>
        </w:tc>
        <w:tc>
          <w:tcPr>
            <w:tcW w:w="0" w:type="auto"/>
          </w:tcPr>
          <w:p w14:paraId="3EFC146A"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1.22</w:t>
            </w:r>
          </w:p>
        </w:tc>
      </w:tr>
      <w:tr w:rsidR="0098497E" w:rsidRPr="00E1329D" w14:paraId="241C9DF0"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1A0F956"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36</w:t>
            </w:r>
          </w:p>
        </w:tc>
        <w:tc>
          <w:tcPr>
            <w:tcW w:w="0" w:type="auto"/>
          </w:tcPr>
          <w:p w14:paraId="078A1A6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-0.879</w:t>
            </w:r>
          </w:p>
        </w:tc>
        <w:tc>
          <w:tcPr>
            <w:tcW w:w="0" w:type="auto"/>
          </w:tcPr>
          <w:p w14:paraId="5823CA2B"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1.116</w:t>
            </w:r>
          </w:p>
        </w:tc>
        <w:tc>
          <w:tcPr>
            <w:tcW w:w="0" w:type="auto"/>
          </w:tcPr>
          <w:p w14:paraId="700FAAE9"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0.237</w:t>
            </w:r>
          </w:p>
        </w:tc>
      </w:tr>
      <w:tr w:rsidR="0098497E" w:rsidRPr="00E1329D" w14:paraId="0464274E"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8E3CC3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37</w:t>
            </w:r>
          </w:p>
        </w:tc>
        <w:tc>
          <w:tcPr>
            <w:tcW w:w="0" w:type="auto"/>
          </w:tcPr>
          <w:p w14:paraId="561F2802"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0.383</w:t>
            </w:r>
          </w:p>
        </w:tc>
        <w:tc>
          <w:tcPr>
            <w:tcW w:w="0" w:type="auto"/>
          </w:tcPr>
          <w:p w14:paraId="044ECBA4"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1.062</w:t>
            </w:r>
          </w:p>
        </w:tc>
        <w:tc>
          <w:tcPr>
            <w:tcW w:w="0" w:type="auto"/>
          </w:tcPr>
          <w:p w14:paraId="5DE7102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1.446</w:t>
            </w:r>
          </w:p>
        </w:tc>
      </w:tr>
      <w:tr w:rsidR="0098497E" w:rsidRPr="00E1329D" w14:paraId="41855477"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1447B1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38</w:t>
            </w:r>
          </w:p>
        </w:tc>
        <w:tc>
          <w:tcPr>
            <w:tcW w:w="0" w:type="auto"/>
          </w:tcPr>
          <w:p w14:paraId="0B339540"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0.576</w:t>
            </w:r>
          </w:p>
        </w:tc>
        <w:tc>
          <w:tcPr>
            <w:tcW w:w="0" w:type="auto"/>
          </w:tcPr>
          <w:p w14:paraId="54F174F1"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0.852</w:t>
            </w:r>
          </w:p>
        </w:tc>
        <w:tc>
          <w:tcPr>
            <w:tcW w:w="0" w:type="auto"/>
          </w:tcPr>
          <w:p w14:paraId="4E20205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1.428</w:t>
            </w:r>
          </w:p>
        </w:tc>
      </w:tr>
      <w:tr w:rsidR="0098497E" w:rsidRPr="00E1329D" w14:paraId="09847F36"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3062F2D"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39</w:t>
            </w:r>
          </w:p>
        </w:tc>
        <w:tc>
          <w:tcPr>
            <w:tcW w:w="0" w:type="auto"/>
          </w:tcPr>
          <w:p w14:paraId="0F4C91F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0.77</w:t>
            </w:r>
          </w:p>
        </w:tc>
        <w:tc>
          <w:tcPr>
            <w:tcW w:w="0" w:type="auto"/>
          </w:tcPr>
          <w:p w14:paraId="07876DB2"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1.089</w:t>
            </w:r>
          </w:p>
        </w:tc>
        <w:tc>
          <w:tcPr>
            <w:tcW w:w="0" w:type="auto"/>
          </w:tcPr>
          <w:p w14:paraId="71880068"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1.859</w:t>
            </w:r>
          </w:p>
        </w:tc>
      </w:tr>
      <w:tr w:rsidR="0098497E" w:rsidRPr="00E1329D" w14:paraId="05B9431E"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B10DD9C"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40</w:t>
            </w:r>
          </w:p>
        </w:tc>
        <w:tc>
          <w:tcPr>
            <w:tcW w:w="0" w:type="auto"/>
          </w:tcPr>
          <w:p w14:paraId="11127CD8"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-0.347</w:t>
            </w:r>
          </w:p>
        </w:tc>
        <w:tc>
          <w:tcPr>
            <w:tcW w:w="0" w:type="auto"/>
          </w:tcPr>
          <w:p w14:paraId="0D4C35C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1.118</w:t>
            </w:r>
          </w:p>
        </w:tc>
        <w:tc>
          <w:tcPr>
            <w:tcW w:w="0" w:type="auto"/>
          </w:tcPr>
          <w:p w14:paraId="3FB7B57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0.77</w:t>
            </w:r>
          </w:p>
        </w:tc>
      </w:tr>
      <w:tr w:rsidR="0098497E" w:rsidRPr="00E1329D" w14:paraId="66E51DCD" w14:textId="77777777" w:rsidTr="00A8249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F5081CF"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41</w:t>
            </w:r>
          </w:p>
        </w:tc>
        <w:tc>
          <w:tcPr>
            <w:tcW w:w="0" w:type="auto"/>
          </w:tcPr>
          <w:p w14:paraId="3E90A69C"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-0.496</w:t>
            </w:r>
          </w:p>
        </w:tc>
        <w:tc>
          <w:tcPr>
            <w:tcW w:w="0" w:type="auto"/>
          </w:tcPr>
          <w:p w14:paraId="4E54824B"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1.1</w:t>
            </w:r>
          </w:p>
        </w:tc>
        <w:tc>
          <w:tcPr>
            <w:tcW w:w="0" w:type="auto"/>
          </w:tcPr>
          <w:p w14:paraId="1B174600" w14:textId="77777777" w:rsidR="0098497E" w:rsidRPr="00E1329D" w:rsidRDefault="0098497E" w:rsidP="00A8249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0.604</w:t>
            </w:r>
          </w:p>
        </w:tc>
      </w:tr>
      <w:tr w:rsidR="0098497E" w:rsidRPr="00E1329D" w14:paraId="436ABC89" w14:textId="77777777" w:rsidTr="00A82492">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EB53D53" w14:textId="77777777" w:rsidR="0098497E" w:rsidRPr="00E1329D" w:rsidRDefault="0098497E" w:rsidP="00A82492">
            <w:pPr>
              <w:jc w:val="center"/>
              <w:rPr>
                <w:rFonts w:ascii="Times New Roman" w:hAnsi="Times New Roman" w:cs="Times New Roman"/>
              </w:rPr>
            </w:pPr>
            <w:r w:rsidRPr="00E1329D">
              <w:rPr>
                <w:rFonts w:ascii="Times New Roman" w:hAnsi="Times New Roman" w:cs="Times New Roman"/>
              </w:rPr>
              <w:t>42</w:t>
            </w:r>
          </w:p>
        </w:tc>
        <w:tc>
          <w:tcPr>
            <w:tcW w:w="0" w:type="auto"/>
          </w:tcPr>
          <w:p w14:paraId="09FEA306"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-0.209</w:t>
            </w:r>
          </w:p>
        </w:tc>
        <w:tc>
          <w:tcPr>
            <w:tcW w:w="0" w:type="auto"/>
          </w:tcPr>
          <w:p w14:paraId="08C0D90D"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0.484</w:t>
            </w:r>
          </w:p>
        </w:tc>
        <w:tc>
          <w:tcPr>
            <w:tcW w:w="0" w:type="auto"/>
          </w:tcPr>
          <w:p w14:paraId="69538037" w14:textId="77777777" w:rsidR="0098497E" w:rsidRPr="00E1329D" w:rsidRDefault="0098497E" w:rsidP="00A8249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1329D">
              <w:rPr>
                <w:rFonts w:ascii="Times New Roman" w:hAnsi="Times New Roman" w:cs="Times New Roman"/>
              </w:rPr>
              <w:t>0.275</w:t>
            </w:r>
          </w:p>
        </w:tc>
      </w:tr>
    </w:tbl>
    <w:p w14:paraId="0B2DCB28" w14:textId="072A62AD" w:rsidR="00C727EA" w:rsidRPr="001C5495" w:rsidRDefault="00C727EA" w:rsidP="0098497E">
      <w:pPr>
        <w:pStyle w:val="PrrAPA"/>
        <w:ind w:firstLine="0"/>
      </w:pPr>
    </w:p>
    <w:sectPr w:rsidR="00C727EA" w:rsidRPr="001C5495" w:rsidSect="0098497E">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DB66B8" w14:textId="77777777" w:rsidR="00505755" w:rsidRDefault="00505755" w:rsidP="00237190">
      <w:pPr>
        <w:spacing w:line="240" w:lineRule="auto"/>
      </w:pPr>
      <w:r>
        <w:separator/>
      </w:r>
    </w:p>
  </w:endnote>
  <w:endnote w:type="continuationSeparator" w:id="0">
    <w:p w14:paraId="7507E1E6" w14:textId="77777777" w:rsidR="00505755" w:rsidRDefault="00505755" w:rsidP="00237190">
      <w:pPr>
        <w:spacing w:line="240" w:lineRule="auto"/>
      </w:pPr>
      <w:r>
        <w:continuationSeparator/>
      </w:r>
    </w:p>
  </w:endnote>
  <w:endnote w:type="continuationNotice" w:id="1">
    <w:p w14:paraId="198A11CC" w14:textId="77777777" w:rsidR="00505755" w:rsidRDefault="0050575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AFAB0" w14:textId="77777777" w:rsidR="00505755" w:rsidRDefault="00505755" w:rsidP="00237190">
      <w:pPr>
        <w:spacing w:line="240" w:lineRule="auto"/>
      </w:pPr>
      <w:r>
        <w:separator/>
      </w:r>
    </w:p>
  </w:footnote>
  <w:footnote w:type="continuationSeparator" w:id="0">
    <w:p w14:paraId="5BCF236D" w14:textId="77777777" w:rsidR="00505755" w:rsidRDefault="00505755" w:rsidP="00237190">
      <w:pPr>
        <w:spacing w:line="240" w:lineRule="auto"/>
      </w:pPr>
      <w:r>
        <w:continuationSeparator/>
      </w:r>
    </w:p>
  </w:footnote>
  <w:footnote w:type="continuationNotice" w:id="1">
    <w:p w14:paraId="68E34B97" w14:textId="77777777" w:rsidR="00505755" w:rsidRDefault="0050575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1960E" w14:textId="55405059" w:rsidR="00E67C94" w:rsidRDefault="00E67C94" w:rsidP="00E67C94">
    <w:pPr>
      <w:pStyle w:val="Encabezado"/>
    </w:pPr>
    <w:r w:rsidRPr="002F7EDF">
      <w:rPr>
        <w:rFonts w:cs="Times New Roman"/>
        <w:sz w:val="20"/>
        <w:szCs w:val="20"/>
      </w:rPr>
      <w:t>ARTE Y SENSIBILIDAD EN LA ESCUELA PRIMARIA</w:t>
    </w:r>
    <w:r w:rsidRPr="002F7EDF">
      <w:rPr>
        <w:sz w:val="20"/>
        <w:szCs w:val="20"/>
      </w:rPr>
      <w:t>: UN ESTUDIO HERMENÉUTICO</w:t>
    </w:r>
    <w:r>
      <w:rPr>
        <w:sz w:val="20"/>
        <w:szCs w:val="20"/>
      </w:rPr>
      <w:t>...</w:t>
    </w:r>
    <w:r w:rsidR="00791A65">
      <w:rPr>
        <w:sz w:val="20"/>
        <w:szCs w:val="20"/>
      </w:rPr>
      <w:tab/>
    </w:r>
    <w:sdt>
      <w:sdtPr>
        <w:id w:val="1994603643"/>
        <w:docPartObj>
          <w:docPartGallery w:val="Page Numbers (Top of Page)"/>
          <w:docPartUnique/>
        </w:docPartObj>
      </w:sdtPr>
      <w:sdtContent>
        <w:r>
          <w:fldChar w:fldCharType="begin"/>
        </w:r>
        <w:r>
          <w:instrText>PAGE   \* MERGEFORMAT</w:instrText>
        </w:r>
        <w:r>
          <w:fldChar w:fldCharType="separate"/>
        </w:r>
        <w:r>
          <w:rPr>
            <w:lang w:val="es-ES"/>
          </w:rPr>
          <w:t>2</w:t>
        </w:r>
        <w:r>
          <w:fldChar w:fldCharType="end"/>
        </w:r>
        <w:r w:rsidR="00000000">
          <w:rPr>
            <w:noProof/>
            <w:sz w:val="20"/>
            <w:szCs w:val="20"/>
          </w:rPr>
          <w:pict w14:anchorId="6653E480">
            <v:rect id="_x0000_i1025" style="width:470.2pt;height:1pt" o:hralign="center" o:hrstd="t" o:hrnoshade="t" o:hr="t" fillcolor="#70ad47 [3209]" stroked="f"/>
          </w:pict>
        </w:r>
      </w:sdtContent>
    </w:sdt>
  </w:p>
  <w:p w14:paraId="5DA67BB7" w14:textId="77777777" w:rsidR="00E67C94" w:rsidRDefault="00E67C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75550117">
    <w:abstractNumId w:val="4"/>
  </w:num>
  <w:num w:numId="2" w16cid:durableId="743406959">
    <w:abstractNumId w:val="5"/>
  </w:num>
  <w:num w:numId="3" w16cid:durableId="1382561465">
    <w:abstractNumId w:val="7"/>
  </w:num>
  <w:num w:numId="4" w16cid:durableId="769205034">
    <w:abstractNumId w:val="0"/>
  </w:num>
  <w:num w:numId="5" w16cid:durableId="299651937">
    <w:abstractNumId w:val="1"/>
  </w:num>
  <w:num w:numId="6" w16cid:durableId="850878686">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4114F"/>
    <w:rsid w:val="00044274"/>
    <w:rsid w:val="00051410"/>
    <w:rsid w:val="000528EA"/>
    <w:rsid w:val="0005312B"/>
    <w:rsid w:val="00053673"/>
    <w:rsid w:val="00061AA8"/>
    <w:rsid w:val="000636C1"/>
    <w:rsid w:val="000650D9"/>
    <w:rsid w:val="000710A5"/>
    <w:rsid w:val="00071476"/>
    <w:rsid w:val="0007354F"/>
    <w:rsid w:val="000739FE"/>
    <w:rsid w:val="00074C3E"/>
    <w:rsid w:val="00083434"/>
    <w:rsid w:val="00084028"/>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D5C"/>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F60"/>
    <w:rsid w:val="001324D0"/>
    <w:rsid w:val="001327D7"/>
    <w:rsid w:val="001338F8"/>
    <w:rsid w:val="001373C8"/>
    <w:rsid w:val="0013798E"/>
    <w:rsid w:val="0014678B"/>
    <w:rsid w:val="00147259"/>
    <w:rsid w:val="00147A96"/>
    <w:rsid w:val="00152400"/>
    <w:rsid w:val="00153DE2"/>
    <w:rsid w:val="001559D5"/>
    <w:rsid w:val="00155B36"/>
    <w:rsid w:val="00155E7B"/>
    <w:rsid w:val="00157EC1"/>
    <w:rsid w:val="0016108F"/>
    <w:rsid w:val="001612A8"/>
    <w:rsid w:val="00161731"/>
    <w:rsid w:val="0016280A"/>
    <w:rsid w:val="00164696"/>
    <w:rsid w:val="0017231B"/>
    <w:rsid w:val="00173AE4"/>
    <w:rsid w:val="00174087"/>
    <w:rsid w:val="0017465E"/>
    <w:rsid w:val="00176E92"/>
    <w:rsid w:val="0018204C"/>
    <w:rsid w:val="001829F9"/>
    <w:rsid w:val="00184991"/>
    <w:rsid w:val="001858B7"/>
    <w:rsid w:val="0018620C"/>
    <w:rsid w:val="001A0243"/>
    <w:rsid w:val="001A0EB1"/>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0CC5"/>
    <w:rsid w:val="001E50F7"/>
    <w:rsid w:val="001E55B1"/>
    <w:rsid w:val="001E65B5"/>
    <w:rsid w:val="001E67AA"/>
    <w:rsid w:val="001F154E"/>
    <w:rsid w:val="001F5704"/>
    <w:rsid w:val="001F5D16"/>
    <w:rsid w:val="0020053C"/>
    <w:rsid w:val="00202B75"/>
    <w:rsid w:val="00203357"/>
    <w:rsid w:val="00210009"/>
    <w:rsid w:val="0021027B"/>
    <w:rsid w:val="002146FB"/>
    <w:rsid w:val="0021571A"/>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312B"/>
    <w:rsid w:val="002756AD"/>
    <w:rsid w:val="0027584D"/>
    <w:rsid w:val="00281428"/>
    <w:rsid w:val="002821C1"/>
    <w:rsid w:val="00283F63"/>
    <w:rsid w:val="002843F5"/>
    <w:rsid w:val="00290B07"/>
    <w:rsid w:val="00296B9C"/>
    <w:rsid w:val="002A13FF"/>
    <w:rsid w:val="002A331C"/>
    <w:rsid w:val="002A5462"/>
    <w:rsid w:val="002A55F5"/>
    <w:rsid w:val="002A5F7A"/>
    <w:rsid w:val="002A6CF1"/>
    <w:rsid w:val="002B18E5"/>
    <w:rsid w:val="002B2759"/>
    <w:rsid w:val="002B2CC2"/>
    <w:rsid w:val="002B41A8"/>
    <w:rsid w:val="002C61D4"/>
    <w:rsid w:val="002D72E1"/>
    <w:rsid w:val="002D7383"/>
    <w:rsid w:val="002E03A8"/>
    <w:rsid w:val="002E09A9"/>
    <w:rsid w:val="002E1AC2"/>
    <w:rsid w:val="002E46D0"/>
    <w:rsid w:val="002E63D0"/>
    <w:rsid w:val="002E65F9"/>
    <w:rsid w:val="002E7C36"/>
    <w:rsid w:val="002F0225"/>
    <w:rsid w:val="002F0E2B"/>
    <w:rsid w:val="002F1279"/>
    <w:rsid w:val="002F19DF"/>
    <w:rsid w:val="002F1EEA"/>
    <w:rsid w:val="002F3E39"/>
    <w:rsid w:val="002F4442"/>
    <w:rsid w:val="00303F77"/>
    <w:rsid w:val="003043BD"/>
    <w:rsid w:val="00304E0D"/>
    <w:rsid w:val="00306FFB"/>
    <w:rsid w:val="00310526"/>
    <w:rsid w:val="00310B23"/>
    <w:rsid w:val="00311F3C"/>
    <w:rsid w:val="003143FE"/>
    <w:rsid w:val="0031633B"/>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5B8"/>
    <w:rsid w:val="003868E9"/>
    <w:rsid w:val="00390E0A"/>
    <w:rsid w:val="00394EE6"/>
    <w:rsid w:val="0039636F"/>
    <w:rsid w:val="003A1F59"/>
    <w:rsid w:val="003B1E14"/>
    <w:rsid w:val="003B29FC"/>
    <w:rsid w:val="003B4309"/>
    <w:rsid w:val="003B614D"/>
    <w:rsid w:val="003B7EB4"/>
    <w:rsid w:val="003C34A7"/>
    <w:rsid w:val="003D06ED"/>
    <w:rsid w:val="003D089B"/>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153B4"/>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60E1C"/>
    <w:rsid w:val="004614F1"/>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7BDB"/>
    <w:rsid w:val="004E1517"/>
    <w:rsid w:val="004F14A8"/>
    <w:rsid w:val="004F3286"/>
    <w:rsid w:val="004F3892"/>
    <w:rsid w:val="004F6AC0"/>
    <w:rsid w:val="004F72F2"/>
    <w:rsid w:val="00500C84"/>
    <w:rsid w:val="0050256F"/>
    <w:rsid w:val="00504A94"/>
    <w:rsid w:val="00505755"/>
    <w:rsid w:val="00511434"/>
    <w:rsid w:val="00511890"/>
    <w:rsid w:val="00516B86"/>
    <w:rsid w:val="00516DD4"/>
    <w:rsid w:val="005252DD"/>
    <w:rsid w:val="00525DF7"/>
    <w:rsid w:val="0052785B"/>
    <w:rsid w:val="00527D6D"/>
    <w:rsid w:val="0053059F"/>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A0ED0"/>
    <w:rsid w:val="005A1759"/>
    <w:rsid w:val="005A1E65"/>
    <w:rsid w:val="005A5000"/>
    <w:rsid w:val="005B3182"/>
    <w:rsid w:val="005B4214"/>
    <w:rsid w:val="005B422F"/>
    <w:rsid w:val="005B42FF"/>
    <w:rsid w:val="005C3718"/>
    <w:rsid w:val="005C43FB"/>
    <w:rsid w:val="005C4C21"/>
    <w:rsid w:val="005C608E"/>
    <w:rsid w:val="005D2510"/>
    <w:rsid w:val="005D26C1"/>
    <w:rsid w:val="005D64DD"/>
    <w:rsid w:val="005D694A"/>
    <w:rsid w:val="005D6A62"/>
    <w:rsid w:val="005E11A9"/>
    <w:rsid w:val="005E11CA"/>
    <w:rsid w:val="005E12C5"/>
    <w:rsid w:val="005E3960"/>
    <w:rsid w:val="005E42EA"/>
    <w:rsid w:val="005E6588"/>
    <w:rsid w:val="005E6C90"/>
    <w:rsid w:val="005F07C5"/>
    <w:rsid w:val="005F5ACE"/>
    <w:rsid w:val="005F635A"/>
    <w:rsid w:val="006006C0"/>
    <w:rsid w:val="0060298E"/>
    <w:rsid w:val="0060397B"/>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766C0"/>
    <w:rsid w:val="0068033B"/>
    <w:rsid w:val="006859D0"/>
    <w:rsid w:val="00690FEE"/>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17CD"/>
    <w:rsid w:val="006C4903"/>
    <w:rsid w:val="006D0F7C"/>
    <w:rsid w:val="006D11A6"/>
    <w:rsid w:val="006D5DC2"/>
    <w:rsid w:val="006D770A"/>
    <w:rsid w:val="006E305F"/>
    <w:rsid w:val="006E447D"/>
    <w:rsid w:val="006E4583"/>
    <w:rsid w:val="006E6A81"/>
    <w:rsid w:val="006E6D13"/>
    <w:rsid w:val="006F374E"/>
    <w:rsid w:val="006F5820"/>
    <w:rsid w:val="006F5CF6"/>
    <w:rsid w:val="006F7206"/>
    <w:rsid w:val="007028E1"/>
    <w:rsid w:val="0070701E"/>
    <w:rsid w:val="007122C8"/>
    <w:rsid w:val="00714165"/>
    <w:rsid w:val="007141AD"/>
    <w:rsid w:val="00714638"/>
    <w:rsid w:val="00714FE1"/>
    <w:rsid w:val="007178A0"/>
    <w:rsid w:val="00721D63"/>
    <w:rsid w:val="007252FA"/>
    <w:rsid w:val="00732653"/>
    <w:rsid w:val="00734601"/>
    <w:rsid w:val="00740358"/>
    <w:rsid w:val="00745904"/>
    <w:rsid w:val="00745C37"/>
    <w:rsid w:val="007460D2"/>
    <w:rsid w:val="00750A21"/>
    <w:rsid w:val="007515B0"/>
    <w:rsid w:val="00751E4F"/>
    <w:rsid w:val="007548F9"/>
    <w:rsid w:val="007643F5"/>
    <w:rsid w:val="00765B01"/>
    <w:rsid w:val="00771742"/>
    <w:rsid w:val="00773906"/>
    <w:rsid w:val="007811A7"/>
    <w:rsid w:val="0078131D"/>
    <w:rsid w:val="00781859"/>
    <w:rsid w:val="00781DC0"/>
    <w:rsid w:val="007829D9"/>
    <w:rsid w:val="00784A5D"/>
    <w:rsid w:val="00787165"/>
    <w:rsid w:val="00791A65"/>
    <w:rsid w:val="00791B00"/>
    <w:rsid w:val="007922D7"/>
    <w:rsid w:val="00792650"/>
    <w:rsid w:val="00792C33"/>
    <w:rsid w:val="00792F31"/>
    <w:rsid w:val="007A068F"/>
    <w:rsid w:val="007A48C0"/>
    <w:rsid w:val="007A5118"/>
    <w:rsid w:val="007A71AA"/>
    <w:rsid w:val="007A7E39"/>
    <w:rsid w:val="007B3409"/>
    <w:rsid w:val="007B752A"/>
    <w:rsid w:val="007B798F"/>
    <w:rsid w:val="007C08FA"/>
    <w:rsid w:val="007C77F6"/>
    <w:rsid w:val="007C7D78"/>
    <w:rsid w:val="007D361B"/>
    <w:rsid w:val="007D452C"/>
    <w:rsid w:val="007D5EA4"/>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886"/>
    <w:rsid w:val="00813E7B"/>
    <w:rsid w:val="00824669"/>
    <w:rsid w:val="00824E06"/>
    <w:rsid w:val="00827257"/>
    <w:rsid w:val="00841417"/>
    <w:rsid w:val="00842611"/>
    <w:rsid w:val="00843A30"/>
    <w:rsid w:val="00843E10"/>
    <w:rsid w:val="00844147"/>
    <w:rsid w:val="00844611"/>
    <w:rsid w:val="00845753"/>
    <w:rsid w:val="00845A80"/>
    <w:rsid w:val="00845EA9"/>
    <w:rsid w:val="008500CD"/>
    <w:rsid w:val="00850399"/>
    <w:rsid w:val="00851096"/>
    <w:rsid w:val="00863E3B"/>
    <w:rsid w:val="008644D8"/>
    <w:rsid w:val="00864B2A"/>
    <w:rsid w:val="00865307"/>
    <w:rsid w:val="008663FA"/>
    <w:rsid w:val="008702B7"/>
    <w:rsid w:val="00870452"/>
    <w:rsid w:val="0087284F"/>
    <w:rsid w:val="008739D1"/>
    <w:rsid w:val="00874332"/>
    <w:rsid w:val="00874982"/>
    <w:rsid w:val="00876B10"/>
    <w:rsid w:val="00877230"/>
    <w:rsid w:val="0087763F"/>
    <w:rsid w:val="00884B13"/>
    <w:rsid w:val="008873DF"/>
    <w:rsid w:val="008900AD"/>
    <w:rsid w:val="0089016E"/>
    <w:rsid w:val="00891866"/>
    <w:rsid w:val="0089337C"/>
    <w:rsid w:val="00894997"/>
    <w:rsid w:val="008960FF"/>
    <w:rsid w:val="008A02B7"/>
    <w:rsid w:val="008A4539"/>
    <w:rsid w:val="008B16B5"/>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48C2"/>
    <w:rsid w:val="008D62E6"/>
    <w:rsid w:val="008E0765"/>
    <w:rsid w:val="008E1C44"/>
    <w:rsid w:val="008E248D"/>
    <w:rsid w:val="008E3618"/>
    <w:rsid w:val="008E71B5"/>
    <w:rsid w:val="008F0D01"/>
    <w:rsid w:val="008F1761"/>
    <w:rsid w:val="008F2246"/>
    <w:rsid w:val="008F33A3"/>
    <w:rsid w:val="008F3787"/>
    <w:rsid w:val="008F68B2"/>
    <w:rsid w:val="008F6939"/>
    <w:rsid w:val="008F7BEE"/>
    <w:rsid w:val="00902162"/>
    <w:rsid w:val="0091018A"/>
    <w:rsid w:val="00910794"/>
    <w:rsid w:val="00910BBE"/>
    <w:rsid w:val="0091158C"/>
    <w:rsid w:val="00911B37"/>
    <w:rsid w:val="00912C62"/>
    <w:rsid w:val="009134A1"/>
    <w:rsid w:val="009135B4"/>
    <w:rsid w:val="00914B74"/>
    <w:rsid w:val="009152C2"/>
    <w:rsid w:val="009206FC"/>
    <w:rsid w:val="00924E5C"/>
    <w:rsid w:val="0093011F"/>
    <w:rsid w:val="009304DD"/>
    <w:rsid w:val="00936525"/>
    <w:rsid w:val="00936DAA"/>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497E"/>
    <w:rsid w:val="00986140"/>
    <w:rsid w:val="00990586"/>
    <w:rsid w:val="00993645"/>
    <w:rsid w:val="00994433"/>
    <w:rsid w:val="009975C0"/>
    <w:rsid w:val="009A00EC"/>
    <w:rsid w:val="009A0209"/>
    <w:rsid w:val="009A3C05"/>
    <w:rsid w:val="009A5321"/>
    <w:rsid w:val="009B4043"/>
    <w:rsid w:val="009B6D7C"/>
    <w:rsid w:val="009B70DF"/>
    <w:rsid w:val="009C0D0E"/>
    <w:rsid w:val="009C22C9"/>
    <w:rsid w:val="009C3034"/>
    <w:rsid w:val="009D121F"/>
    <w:rsid w:val="009D3953"/>
    <w:rsid w:val="009D4276"/>
    <w:rsid w:val="009D5192"/>
    <w:rsid w:val="009D6B94"/>
    <w:rsid w:val="009D750B"/>
    <w:rsid w:val="009D7ACB"/>
    <w:rsid w:val="009D7B18"/>
    <w:rsid w:val="009E124D"/>
    <w:rsid w:val="009E4A38"/>
    <w:rsid w:val="009E6F82"/>
    <w:rsid w:val="009F0ED0"/>
    <w:rsid w:val="009F1535"/>
    <w:rsid w:val="009F179E"/>
    <w:rsid w:val="009F3591"/>
    <w:rsid w:val="009F37B3"/>
    <w:rsid w:val="009F6B9A"/>
    <w:rsid w:val="00A009DE"/>
    <w:rsid w:val="00A00C4D"/>
    <w:rsid w:val="00A05640"/>
    <w:rsid w:val="00A11A42"/>
    <w:rsid w:val="00A15BDD"/>
    <w:rsid w:val="00A175D6"/>
    <w:rsid w:val="00A21368"/>
    <w:rsid w:val="00A239AE"/>
    <w:rsid w:val="00A25352"/>
    <w:rsid w:val="00A27BEF"/>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5F4"/>
    <w:rsid w:val="00AD6AB1"/>
    <w:rsid w:val="00AE189E"/>
    <w:rsid w:val="00AE27EA"/>
    <w:rsid w:val="00AE382C"/>
    <w:rsid w:val="00AE5140"/>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1448"/>
    <w:rsid w:val="00B234BD"/>
    <w:rsid w:val="00B23F95"/>
    <w:rsid w:val="00B24D9D"/>
    <w:rsid w:val="00B30F7F"/>
    <w:rsid w:val="00B318C4"/>
    <w:rsid w:val="00B3450D"/>
    <w:rsid w:val="00B366F8"/>
    <w:rsid w:val="00B368EF"/>
    <w:rsid w:val="00B408B7"/>
    <w:rsid w:val="00B414A9"/>
    <w:rsid w:val="00B44585"/>
    <w:rsid w:val="00B446F9"/>
    <w:rsid w:val="00B46193"/>
    <w:rsid w:val="00B46EB3"/>
    <w:rsid w:val="00B501CA"/>
    <w:rsid w:val="00B5187A"/>
    <w:rsid w:val="00B535A8"/>
    <w:rsid w:val="00B5576E"/>
    <w:rsid w:val="00B56CFB"/>
    <w:rsid w:val="00B56E9D"/>
    <w:rsid w:val="00B57AA7"/>
    <w:rsid w:val="00B62410"/>
    <w:rsid w:val="00B65D0B"/>
    <w:rsid w:val="00B66A5B"/>
    <w:rsid w:val="00B73687"/>
    <w:rsid w:val="00B75EC1"/>
    <w:rsid w:val="00B7663F"/>
    <w:rsid w:val="00B77C97"/>
    <w:rsid w:val="00B836E5"/>
    <w:rsid w:val="00B9498F"/>
    <w:rsid w:val="00BA08D8"/>
    <w:rsid w:val="00BA2E2F"/>
    <w:rsid w:val="00BA5877"/>
    <w:rsid w:val="00BA636D"/>
    <w:rsid w:val="00BA6496"/>
    <w:rsid w:val="00BB18FF"/>
    <w:rsid w:val="00BC537E"/>
    <w:rsid w:val="00BC5FCE"/>
    <w:rsid w:val="00BD1461"/>
    <w:rsid w:val="00BD1742"/>
    <w:rsid w:val="00BD24B2"/>
    <w:rsid w:val="00BD2E69"/>
    <w:rsid w:val="00BD421F"/>
    <w:rsid w:val="00BD7141"/>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05A"/>
    <w:rsid w:val="00C63257"/>
    <w:rsid w:val="00C632FA"/>
    <w:rsid w:val="00C63F0A"/>
    <w:rsid w:val="00C64369"/>
    <w:rsid w:val="00C66ABF"/>
    <w:rsid w:val="00C71CCB"/>
    <w:rsid w:val="00C72608"/>
    <w:rsid w:val="00C727EA"/>
    <w:rsid w:val="00C76416"/>
    <w:rsid w:val="00C76E0D"/>
    <w:rsid w:val="00C77193"/>
    <w:rsid w:val="00C778A3"/>
    <w:rsid w:val="00C82F89"/>
    <w:rsid w:val="00C83143"/>
    <w:rsid w:val="00C854B2"/>
    <w:rsid w:val="00C903AA"/>
    <w:rsid w:val="00C90764"/>
    <w:rsid w:val="00C90CF3"/>
    <w:rsid w:val="00C91C4E"/>
    <w:rsid w:val="00C9250D"/>
    <w:rsid w:val="00C9639A"/>
    <w:rsid w:val="00CA13BC"/>
    <w:rsid w:val="00CA5D69"/>
    <w:rsid w:val="00CA7FDC"/>
    <w:rsid w:val="00CB1AF3"/>
    <w:rsid w:val="00CB1E9F"/>
    <w:rsid w:val="00CB1EBB"/>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F13E2"/>
    <w:rsid w:val="00CF3FA6"/>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95BF4"/>
    <w:rsid w:val="00D960D1"/>
    <w:rsid w:val="00D97639"/>
    <w:rsid w:val="00DA210F"/>
    <w:rsid w:val="00DA2729"/>
    <w:rsid w:val="00DA3A85"/>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E6D01"/>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EFC"/>
    <w:rsid w:val="00E85494"/>
    <w:rsid w:val="00E910A8"/>
    <w:rsid w:val="00E937E9"/>
    <w:rsid w:val="00E945E8"/>
    <w:rsid w:val="00E95B76"/>
    <w:rsid w:val="00E96ED9"/>
    <w:rsid w:val="00EA0D9C"/>
    <w:rsid w:val="00EA1643"/>
    <w:rsid w:val="00EA2FBC"/>
    <w:rsid w:val="00EA5CBE"/>
    <w:rsid w:val="00EB2034"/>
    <w:rsid w:val="00EB2762"/>
    <w:rsid w:val="00EB5708"/>
    <w:rsid w:val="00EB7F8C"/>
    <w:rsid w:val="00EC0821"/>
    <w:rsid w:val="00EC1AD2"/>
    <w:rsid w:val="00EC2339"/>
    <w:rsid w:val="00EC3104"/>
    <w:rsid w:val="00EC405C"/>
    <w:rsid w:val="00EC4CC2"/>
    <w:rsid w:val="00ED4031"/>
    <w:rsid w:val="00ED65CA"/>
    <w:rsid w:val="00ED7000"/>
    <w:rsid w:val="00EE1E9B"/>
    <w:rsid w:val="00EE1FD0"/>
    <w:rsid w:val="00EE210F"/>
    <w:rsid w:val="00EE7927"/>
    <w:rsid w:val="00EF218F"/>
    <w:rsid w:val="00EF3672"/>
    <w:rsid w:val="00EF700A"/>
    <w:rsid w:val="00F007C1"/>
    <w:rsid w:val="00F01E26"/>
    <w:rsid w:val="00F02C00"/>
    <w:rsid w:val="00F03028"/>
    <w:rsid w:val="00F0436C"/>
    <w:rsid w:val="00F05CEB"/>
    <w:rsid w:val="00F12985"/>
    <w:rsid w:val="00F12C0C"/>
    <w:rsid w:val="00F152F3"/>
    <w:rsid w:val="00F17BF0"/>
    <w:rsid w:val="00F22D0F"/>
    <w:rsid w:val="00F25F84"/>
    <w:rsid w:val="00F26D25"/>
    <w:rsid w:val="00F35471"/>
    <w:rsid w:val="00F360DF"/>
    <w:rsid w:val="00F37821"/>
    <w:rsid w:val="00F37F6A"/>
    <w:rsid w:val="00F4333F"/>
    <w:rsid w:val="00F46A93"/>
    <w:rsid w:val="00F5126D"/>
    <w:rsid w:val="00F5449C"/>
    <w:rsid w:val="00F577F7"/>
    <w:rsid w:val="00F609AD"/>
    <w:rsid w:val="00F63384"/>
    <w:rsid w:val="00F646D2"/>
    <w:rsid w:val="00F7001B"/>
    <w:rsid w:val="00F7069D"/>
    <w:rsid w:val="00F71824"/>
    <w:rsid w:val="00F91E3D"/>
    <w:rsid w:val="00F93977"/>
    <w:rsid w:val="00F94999"/>
    <w:rsid w:val="00F97950"/>
    <w:rsid w:val="00FA40FD"/>
    <w:rsid w:val="00FA50FD"/>
    <w:rsid w:val="00FB0E9E"/>
    <w:rsid w:val="00FB35CF"/>
    <w:rsid w:val="00FB52ED"/>
    <w:rsid w:val="00FB5E63"/>
    <w:rsid w:val="00FC1A47"/>
    <w:rsid w:val="00FC1AA5"/>
    <w:rsid w:val="00FC2531"/>
    <w:rsid w:val="00FC2ACC"/>
    <w:rsid w:val="00FC4DE8"/>
    <w:rsid w:val="00FD5239"/>
    <w:rsid w:val="00FD73B8"/>
    <w:rsid w:val="00FE2FEB"/>
    <w:rsid w:val="00FE37E1"/>
    <w:rsid w:val="00FE5B73"/>
    <w:rsid w:val="00FE67BA"/>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table" w:styleId="Tablanormal2">
    <w:name w:val="Plain Table 2"/>
    <w:basedOn w:val="Tablanormal"/>
    <w:uiPriority w:val="99"/>
    <w:rsid w:val="004153B4"/>
    <w:pPr>
      <w:spacing w:after="0" w:line="240" w:lineRule="auto"/>
    </w:pPr>
    <w:rPr>
      <w:rFonts w:asciiTheme="minorHAnsi" w:hAnsiTheme="minorHAnsi"/>
      <w:kern w:val="2"/>
      <w:sz w:val="24"/>
      <w:szCs w:val="24"/>
      <w:lang w:val="es-ES"/>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fasis">
    <w:name w:val="Emphasis"/>
    <w:basedOn w:val="Fuentedeprrafopredeter"/>
    <w:uiPriority w:val="20"/>
    <w:qFormat/>
    <w:rsid w:val="002A55F5"/>
    <w:rPr>
      <w:i/>
      <w:iCs/>
    </w:rPr>
  </w:style>
  <w:style w:type="character" w:customStyle="1" w:styleId="ms-1">
    <w:name w:val="ms-1"/>
    <w:basedOn w:val="Fuentedeprrafopredeter"/>
    <w:rsid w:val="002A55F5"/>
  </w:style>
  <w:style w:type="character" w:customStyle="1" w:styleId="max-w-15ch">
    <w:name w:val="max-w-[15ch]"/>
    <w:basedOn w:val="Fuentedeprrafopredeter"/>
    <w:rsid w:val="002A55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16/j.heliyon.2021.e07225"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77/01492063010270060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doi.org/10.1177/014920630102700607"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hyperlink" Target="https://doi.org/10.1038/s41598-025-08522-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4F68"/>
    <w:rsid w:val="00257847"/>
    <w:rsid w:val="00276BA5"/>
    <w:rsid w:val="00305944"/>
    <w:rsid w:val="003158C6"/>
    <w:rsid w:val="0036366E"/>
    <w:rsid w:val="0038397F"/>
    <w:rsid w:val="003B1609"/>
    <w:rsid w:val="003E6FD7"/>
    <w:rsid w:val="003F262C"/>
    <w:rsid w:val="003F5C44"/>
    <w:rsid w:val="0041007A"/>
    <w:rsid w:val="004119A3"/>
    <w:rsid w:val="0042427A"/>
    <w:rsid w:val="004643AD"/>
    <w:rsid w:val="00470B79"/>
    <w:rsid w:val="004807D9"/>
    <w:rsid w:val="0048200D"/>
    <w:rsid w:val="00486653"/>
    <w:rsid w:val="004C0907"/>
    <w:rsid w:val="004D1F07"/>
    <w:rsid w:val="004D565E"/>
    <w:rsid w:val="004F6D10"/>
    <w:rsid w:val="00510680"/>
    <w:rsid w:val="00526FD4"/>
    <w:rsid w:val="00527ECD"/>
    <w:rsid w:val="005534BD"/>
    <w:rsid w:val="0056192E"/>
    <w:rsid w:val="00574C98"/>
    <w:rsid w:val="005808EF"/>
    <w:rsid w:val="005A62F2"/>
    <w:rsid w:val="005F0A32"/>
    <w:rsid w:val="005F31F7"/>
    <w:rsid w:val="0060397B"/>
    <w:rsid w:val="00603B4A"/>
    <w:rsid w:val="00607F80"/>
    <w:rsid w:val="00610F6D"/>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6F39"/>
    <w:rsid w:val="00837B49"/>
    <w:rsid w:val="00847292"/>
    <w:rsid w:val="008733C4"/>
    <w:rsid w:val="0087499A"/>
    <w:rsid w:val="00875DE9"/>
    <w:rsid w:val="00883DA8"/>
    <w:rsid w:val="00885122"/>
    <w:rsid w:val="008903F8"/>
    <w:rsid w:val="008E60E9"/>
    <w:rsid w:val="008E64A4"/>
    <w:rsid w:val="0091025B"/>
    <w:rsid w:val="00912C62"/>
    <w:rsid w:val="00927071"/>
    <w:rsid w:val="00940CBB"/>
    <w:rsid w:val="00950B31"/>
    <w:rsid w:val="00964F63"/>
    <w:rsid w:val="00980864"/>
    <w:rsid w:val="00985A2B"/>
    <w:rsid w:val="009910FF"/>
    <w:rsid w:val="009A0DC3"/>
    <w:rsid w:val="009A60CD"/>
    <w:rsid w:val="00A04A5B"/>
    <w:rsid w:val="00A141B8"/>
    <w:rsid w:val="00A335AB"/>
    <w:rsid w:val="00A362EA"/>
    <w:rsid w:val="00A400D0"/>
    <w:rsid w:val="00A43E65"/>
    <w:rsid w:val="00A53BC2"/>
    <w:rsid w:val="00A746A1"/>
    <w:rsid w:val="00AD2AC0"/>
    <w:rsid w:val="00AF0E95"/>
    <w:rsid w:val="00B20C15"/>
    <w:rsid w:val="00B21722"/>
    <w:rsid w:val="00B24D9D"/>
    <w:rsid w:val="00B33BC9"/>
    <w:rsid w:val="00B363DC"/>
    <w:rsid w:val="00B57A42"/>
    <w:rsid w:val="00B879C0"/>
    <w:rsid w:val="00B963A8"/>
    <w:rsid w:val="00B96D62"/>
    <w:rsid w:val="00BA14F7"/>
    <w:rsid w:val="00BC5FCE"/>
    <w:rsid w:val="00C27107"/>
    <w:rsid w:val="00C27C4D"/>
    <w:rsid w:val="00C31B00"/>
    <w:rsid w:val="00C44081"/>
    <w:rsid w:val="00C51E23"/>
    <w:rsid w:val="00C53B32"/>
    <w:rsid w:val="00C738AB"/>
    <w:rsid w:val="00C94813"/>
    <w:rsid w:val="00CC3209"/>
    <w:rsid w:val="00CD0331"/>
    <w:rsid w:val="00CF6A00"/>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835FC"/>
    <w:rsid w:val="00EB295D"/>
    <w:rsid w:val="00ED0664"/>
    <w:rsid w:val="00ED509C"/>
    <w:rsid w:val="00ED7328"/>
    <w:rsid w:val="00EF4FD9"/>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6206</Words>
  <Characters>34139</Characters>
  <Application>Microsoft Office Word</Application>
  <DocSecurity>0</DocSecurity>
  <Lines>284</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2026-03-05T16:51:00Z</dcterms:created>
  <dcterms:modified xsi:type="dcterms:W3CDTF">2026-03-05T18:39:00Z</dcterms:modified>
</cp:coreProperties>
</file>