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0B04FC" w14:textId="292F0D3B" w:rsidR="004E1517" w:rsidRDefault="00A00C4D" w:rsidP="004E1517">
      <w:pPr>
        <w:jc w:val="center"/>
        <w:rPr>
          <w:rFonts w:cs="Times New Roman"/>
          <w:b/>
          <w:szCs w:val="24"/>
        </w:rPr>
      </w:pPr>
      <w:r>
        <w:rPr>
          <w:noProof/>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52D2A6F1" w14:textId="70DFC430" w:rsidR="00173AE4" w:rsidRDefault="007A7ED1" w:rsidP="00C40972">
      <w:pPr>
        <w:jc w:val="center"/>
        <w:rPr>
          <w:rFonts w:cs="Times New Roman"/>
          <w:b/>
          <w:sz w:val="28"/>
          <w:szCs w:val="28"/>
        </w:rPr>
      </w:pPr>
      <w:r>
        <w:rPr>
          <w:rFonts w:cs="Times New Roman"/>
          <w:b/>
          <w:bCs/>
        </w:rPr>
        <w:t>P</w:t>
      </w:r>
      <w:r w:rsidRPr="00314965">
        <w:rPr>
          <w:rFonts w:cs="Times New Roman"/>
          <w:b/>
          <w:bCs/>
        </w:rPr>
        <w:t>racticas formativas de desarrollo humano estratégico para sostenibilidad en consorcios viales en territorios postconflicto</w:t>
      </w:r>
      <w:r w:rsidRPr="000D2C76">
        <w:rPr>
          <w:rFonts w:cs="Times New Roman"/>
          <w:b/>
          <w:sz w:val="28"/>
          <w:szCs w:val="28"/>
        </w:rPr>
        <w:t xml:space="preserve"> </w:t>
      </w:r>
    </w:p>
    <w:p w14:paraId="76302EAA" w14:textId="77777777" w:rsidR="00884970" w:rsidRPr="000D2C76" w:rsidRDefault="00884970" w:rsidP="00C40972">
      <w:pPr>
        <w:jc w:val="center"/>
        <w:rPr>
          <w:rFonts w:cs="Times New Roman"/>
          <w:b/>
          <w:sz w:val="28"/>
          <w:szCs w:val="28"/>
        </w:rPr>
      </w:pPr>
    </w:p>
    <w:p w14:paraId="18F948A2" w14:textId="77777777" w:rsidR="007548F9" w:rsidRPr="000511AB" w:rsidRDefault="007548F9" w:rsidP="00EF3672">
      <w:pPr>
        <w:rPr>
          <w:rFonts w:cs="Times New Roman"/>
          <w:szCs w:val="24"/>
        </w:rPr>
      </w:pPr>
    </w:p>
    <w:p w14:paraId="702C65F0" w14:textId="397ADB74" w:rsidR="00173AE4" w:rsidRDefault="007A7ED1" w:rsidP="00173AE4">
      <w:pPr>
        <w:jc w:val="center"/>
        <w:rPr>
          <w:rFonts w:cs="Times New Roman"/>
          <w:szCs w:val="24"/>
        </w:rPr>
      </w:pPr>
      <w:r>
        <w:rPr>
          <w:rFonts w:cs="Times New Roman"/>
          <w:szCs w:val="24"/>
        </w:rPr>
        <w:t xml:space="preserve">Leidy Janeth Rodríguez Herrera </w:t>
      </w:r>
    </w:p>
    <w:p w14:paraId="2D54FF27" w14:textId="77777777" w:rsidR="00DD548B" w:rsidRDefault="00DD548B" w:rsidP="00173AE4">
      <w:pPr>
        <w:jc w:val="center"/>
        <w:rPr>
          <w:rFonts w:cs="Times New Roman"/>
          <w:szCs w:val="24"/>
        </w:rPr>
      </w:pPr>
    </w:p>
    <w:p w14:paraId="73D16F49" w14:textId="77777777" w:rsidR="007548F9" w:rsidRPr="003F3506" w:rsidRDefault="007548F9" w:rsidP="00173AE4">
      <w:pPr>
        <w:jc w:val="center"/>
        <w:rPr>
          <w:rFonts w:cs="Times New Roman"/>
          <w:szCs w:val="24"/>
        </w:rPr>
      </w:pPr>
    </w:p>
    <w:p w14:paraId="77112410" w14:textId="77777777" w:rsidR="00F17BF0" w:rsidRDefault="00000000"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C72608" w:rsidRPr="00DD548B">
            <w:rPr>
              <w:rStyle w:val="Estilo7"/>
              <w:sz w:val="24"/>
              <w:szCs w:val="24"/>
            </w:rPr>
            <w:t>Tipo de documento</w:t>
          </w:r>
        </w:sdtContent>
      </w:sdt>
      <w:r w:rsidR="00C72608" w:rsidRPr="00DD548B">
        <w:rPr>
          <w:rFonts w:cs="Times New Roman"/>
          <w:szCs w:val="24"/>
        </w:rPr>
        <w:t xml:space="preserve"> para optar al título de</w:t>
      </w:r>
    </w:p>
    <w:bookmarkStart w:id="0" w:name="_Hlk206691093"/>
    <w:bookmarkStart w:id="1" w:name="_Hlk206690637"/>
    <w:bookmarkStart w:id="2" w:name="_Hlk206692023"/>
    <w:p w14:paraId="66EC4AD6" w14:textId="287A1A5F" w:rsidR="009975C0" w:rsidRPr="009975C0" w:rsidRDefault="00000000" w:rsidP="009975C0">
      <w:pPr>
        <w:jc w:val="center"/>
        <w:rPr>
          <w:rFonts w:cs="Times New Roman"/>
          <w:szCs w:val="24"/>
        </w:rPr>
      </w:pPr>
      <w:sdt>
        <w:sdtPr>
          <w:rPr>
            <w:rStyle w:val="TextocomentarioCar"/>
            <w:rFonts w:cs="Times New Roman"/>
            <w:sz w:val="24"/>
            <w:szCs w:val="24"/>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7A7ED1">
            <w:rPr>
              <w:rStyle w:val="TextocomentarioCar"/>
              <w:rFonts w:cs="Times New Roman"/>
              <w:sz w:val="24"/>
              <w:szCs w:val="24"/>
            </w:rPr>
            <w:t>Magíster en Gerencia del Talento Humano</w:t>
          </w:r>
        </w:sdtContent>
      </w:sdt>
      <w:bookmarkEnd w:id="0"/>
      <w:bookmarkEnd w:id="1"/>
    </w:p>
    <w:bookmarkEnd w:id="2"/>
    <w:p w14:paraId="032839DC" w14:textId="793B7F8A" w:rsidR="0003149E" w:rsidRDefault="0003149E" w:rsidP="00173AE4">
      <w:pPr>
        <w:jc w:val="center"/>
        <w:rPr>
          <w:rFonts w:cs="Times New Roman"/>
          <w:szCs w:val="24"/>
        </w:rPr>
      </w:pPr>
    </w:p>
    <w:p w14:paraId="383ECA28" w14:textId="77777777" w:rsidR="00884970" w:rsidRDefault="00884970" w:rsidP="00173AE4">
      <w:pPr>
        <w:jc w:val="center"/>
        <w:rPr>
          <w:rFonts w:cs="Times New Roman"/>
          <w:szCs w:val="24"/>
        </w:rPr>
      </w:pPr>
    </w:p>
    <w:p w14:paraId="5EB82D0E" w14:textId="77777777" w:rsidR="007548F9" w:rsidRDefault="007548F9" w:rsidP="00173AE4">
      <w:pPr>
        <w:jc w:val="center"/>
        <w:rPr>
          <w:rFonts w:cs="Times New Roman"/>
          <w:szCs w:val="24"/>
        </w:rPr>
      </w:pPr>
    </w:p>
    <w:bookmarkStart w:id="3" w:name="_Hlk65077587"/>
    <w:p w14:paraId="0DA78F48" w14:textId="0CB0460A" w:rsidR="00173AE4" w:rsidRPr="007548F9" w:rsidRDefault="00000000" w:rsidP="007548F9">
      <w:pPr>
        <w:jc w:val="center"/>
        <w:rPr>
          <w:szCs w:val="24"/>
        </w:rPr>
      </w:pPr>
      <w:sdt>
        <w:sdtPr>
          <w:rPr>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F31C4D">
            <w:rPr>
              <w:szCs w:val="24"/>
            </w:rPr>
            <w:t>Asesor</w:t>
          </w:r>
        </w:sdtContent>
      </w:sdt>
      <w:r w:rsidR="007548F9" w:rsidRPr="007548F9">
        <w:rPr>
          <w:szCs w:val="24"/>
        </w:rPr>
        <w:br/>
      </w:r>
      <w:bookmarkEnd w:id="3"/>
      <w:r w:rsidR="007A7ED1">
        <w:rPr>
          <w:szCs w:val="24"/>
        </w:rPr>
        <w:t>Andrés Alberto Osorio</w:t>
      </w:r>
      <w:r w:rsidR="007548F9" w:rsidRPr="007548F9">
        <w:rPr>
          <w:szCs w:val="24"/>
        </w:rPr>
        <w:t xml:space="preserve">, </w:t>
      </w:r>
      <w:sdt>
        <w:sdtPr>
          <w:rPr>
            <w:rStyle w:val="Estilo8"/>
            <w:sz w:val="24"/>
            <w:szCs w:val="24"/>
          </w:rPr>
          <w:alias w:val="Título asesor"/>
          <w:tag w:val="Título asesor"/>
          <w:id w:val="-464968887"/>
          <w:placeholder>
            <w:docPart w:val="BFD63770E96D43A7B1BB999D203B6427"/>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7A7ED1">
            <w:rPr>
              <w:rStyle w:val="Estilo8"/>
              <w:sz w:val="24"/>
              <w:szCs w:val="24"/>
            </w:rPr>
            <w:t>Doctor (PhD)</w:t>
          </w:r>
        </w:sdtContent>
      </w:sdt>
      <w:r w:rsidR="007548F9" w:rsidRPr="007548F9">
        <w:rPr>
          <w:rStyle w:val="Estilo2"/>
          <w:szCs w:val="24"/>
        </w:rPr>
        <w:t xml:space="preserve"> </w:t>
      </w:r>
    </w:p>
    <w:p w14:paraId="46D25635" w14:textId="77777777" w:rsidR="006A59A8" w:rsidRDefault="006A59A8" w:rsidP="000F796B">
      <w:pPr>
        <w:rPr>
          <w:rFonts w:cs="Times New Roman"/>
          <w:szCs w:val="24"/>
        </w:rPr>
      </w:pPr>
    </w:p>
    <w:p w14:paraId="0D8EA654" w14:textId="77777777" w:rsidR="00173AE4" w:rsidRDefault="00173AE4" w:rsidP="00173AE4">
      <w:pPr>
        <w:spacing w:line="480" w:lineRule="auto"/>
        <w:jc w:val="center"/>
        <w:rPr>
          <w:rStyle w:val="Estilo3"/>
        </w:rPr>
      </w:pPr>
    </w:p>
    <w:p w14:paraId="736207DD" w14:textId="77777777" w:rsidR="00884970" w:rsidRDefault="00884970" w:rsidP="00173AE4">
      <w:pPr>
        <w:spacing w:line="480" w:lineRule="auto"/>
        <w:jc w:val="center"/>
        <w:rPr>
          <w:rStyle w:val="Estilo3"/>
        </w:rPr>
      </w:pPr>
    </w:p>
    <w:p w14:paraId="135356D2" w14:textId="601CB29E" w:rsidR="009D5192" w:rsidRDefault="00000000" w:rsidP="009975C0">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004227BD">
            <w:rPr>
              <w:rStyle w:val="Estilo3"/>
              <w:sz w:val="24"/>
              <w:szCs w:val="24"/>
            </w:rPr>
            <w:t>Universidad de Manizales</w:t>
          </w:r>
        </w:sdtContent>
      </w:sdt>
      <w:r w:rsidR="009D5192"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F31C4D">
            <w:rPr>
              <w:rStyle w:val="TextocomentarioCar"/>
              <w:sz w:val="24"/>
              <w:szCs w:val="24"/>
            </w:rPr>
            <w:t>Facultad de Ciencias Sociales y Humanas</w:t>
          </w:r>
        </w:sdtContent>
      </w:sdt>
    </w:p>
    <w:bookmarkStart w:id="4" w:name="_Hlk206691583"/>
    <w:p w14:paraId="1F873125" w14:textId="5853B773" w:rsidR="009975C0" w:rsidRPr="009975C0" w:rsidRDefault="00000000" w:rsidP="009975C0">
      <w:pPr>
        <w:jc w:val="center"/>
        <w:rPr>
          <w:rFonts w:cs="Times New Roman"/>
          <w:szCs w:val="24"/>
        </w:rPr>
      </w:pPr>
      <w:sdt>
        <w:sdtPr>
          <w:rPr>
            <w:rStyle w:val="TextocomentarioCar"/>
            <w:rFonts w:cs="Times New Roman"/>
            <w:sz w:val="24"/>
            <w:szCs w:val="24"/>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F31C4D">
            <w:rPr>
              <w:rStyle w:val="TextocomentarioCar"/>
              <w:rFonts w:cs="Times New Roman"/>
              <w:sz w:val="24"/>
              <w:szCs w:val="24"/>
            </w:rPr>
            <w:t>Maestría en Gerencia del Talento Humano</w:t>
          </w:r>
        </w:sdtContent>
      </w:sdt>
      <w:bookmarkEnd w:id="4"/>
    </w:p>
    <w:p w14:paraId="7F367D64" w14:textId="0384D317" w:rsidR="009D5192" w:rsidRPr="009D5192" w:rsidRDefault="009D5192" w:rsidP="009D5192">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Content>
          <w:r w:rsidRPr="009D5192">
            <w:rPr>
              <w:szCs w:val="24"/>
            </w:rPr>
            <w:t>Manizales, Caldas, Colombia</w:t>
          </w:r>
        </w:sdtContent>
      </w:sdt>
    </w:p>
    <w:p w14:paraId="72A92C1B" w14:textId="20196BA3" w:rsidR="005879DE" w:rsidRDefault="00000000" w:rsidP="0053465F">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F31C4D">
            <w:rPr>
              <w:szCs w:val="24"/>
            </w:rPr>
            <w:t>2026</w:t>
          </w:r>
        </w:sdtContent>
      </w:sdt>
      <w:r w:rsidR="009D5192" w:rsidRPr="009D5192">
        <w:rPr>
          <w:rFonts w:cs="Times New Roman"/>
          <w:szCs w:val="24"/>
        </w:rPr>
        <w:t xml:space="preserve"> </w:t>
      </w:r>
      <w:r w:rsidR="005879DE">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26693D" w:rsidRPr="00711795"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711795" w:rsidRDefault="0026693D" w:rsidP="00C05CD8">
            <w:pPr>
              <w:spacing w:before="60" w:after="60" w:line="240" w:lineRule="auto"/>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r w:rsidRPr="00711795">
              <w:rPr>
                <w:rFonts w:cs="Times New Roman"/>
                <w:sz w:val="20"/>
                <w:szCs w:val="20"/>
              </w:rPr>
              <w:t xml:space="preserve">How </w:t>
            </w:r>
            <w:proofErr w:type="spellStart"/>
            <w:r w:rsidRPr="00711795">
              <w:rPr>
                <w:rFonts w:cs="Times New Roman"/>
                <w:sz w:val="20"/>
                <w:szCs w:val="20"/>
              </w:rPr>
              <w:t>to</w:t>
            </w:r>
            <w:proofErr w:type="spellEnd"/>
            <w:r w:rsidRPr="00711795">
              <w:rPr>
                <w:rFonts w:cs="Times New Roman"/>
                <w:sz w:val="20"/>
                <w:szCs w:val="20"/>
              </w:rPr>
              <w:t xml:space="preserve"> cite</w:t>
            </w:r>
          </w:p>
        </w:tc>
        <w:tc>
          <w:tcPr>
            <w:tcW w:w="7153" w:type="dxa"/>
            <w:tcBorders>
              <w:top w:val="single" w:sz="12" w:space="0" w:color="70AD47" w:themeColor="accent6"/>
              <w:bottom w:val="nil"/>
            </w:tcBorders>
            <w:vAlign w:val="center"/>
          </w:tcPr>
          <w:p w14:paraId="5AFB076E" w14:textId="5B0DB1EB" w:rsidR="0026693D" w:rsidRPr="00711795" w:rsidRDefault="0026693D" w:rsidP="00C05CD8">
            <w:pPr>
              <w:rPr>
                <w:rFonts w:cs="Times New Roman"/>
                <w:sz w:val="20"/>
                <w:szCs w:val="20"/>
              </w:rPr>
            </w:pPr>
            <w:r w:rsidRPr="00711795">
              <w:rPr>
                <w:rFonts w:cs="Times New Roman"/>
                <w:sz w:val="20"/>
                <w:szCs w:val="20"/>
              </w:rPr>
              <w:t>(</w:t>
            </w:r>
            <w:r w:rsidR="00753BD6">
              <w:rPr>
                <w:rFonts w:cs="Times New Roman"/>
                <w:sz w:val="20"/>
                <w:szCs w:val="20"/>
              </w:rPr>
              <w:t>Rodríguez</w:t>
            </w:r>
            <w:r>
              <w:rPr>
                <w:rFonts w:cs="Times New Roman"/>
                <w:sz w:val="20"/>
                <w:szCs w:val="20"/>
              </w:rPr>
              <w:t>, 202</w:t>
            </w:r>
            <w:r w:rsidR="00753BD6">
              <w:rPr>
                <w:rFonts w:cs="Times New Roman"/>
                <w:sz w:val="20"/>
                <w:szCs w:val="20"/>
              </w:rPr>
              <w:t>5</w:t>
            </w:r>
            <w:r>
              <w:rPr>
                <w:rFonts w:cs="Times New Roman"/>
                <w:sz w:val="20"/>
                <w:szCs w:val="20"/>
              </w:rPr>
              <w:t>)</w:t>
            </w:r>
          </w:p>
        </w:tc>
      </w:tr>
      <w:tr w:rsidR="0026693D" w:rsidRPr="00711795"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711795" w:rsidRDefault="0026693D" w:rsidP="00C05CD8">
            <w:pPr>
              <w:spacing w:before="60" w:line="240" w:lineRule="auto"/>
              <w:jc w:val="center"/>
              <w:rPr>
                <w:rFonts w:cs="Times New Roman"/>
                <w:sz w:val="20"/>
                <w:szCs w:val="20"/>
              </w:rPr>
            </w:pPr>
            <w:r w:rsidRPr="00711795">
              <w:rPr>
                <w:rFonts w:cs="Times New Roman"/>
                <w:sz w:val="20"/>
                <w:szCs w:val="20"/>
              </w:rPr>
              <w:t>Referencia</w:t>
            </w:r>
            <w:r>
              <w:rPr>
                <w:rFonts w:cs="Times New Roman"/>
                <w:sz w:val="20"/>
                <w:szCs w:val="20"/>
              </w:rPr>
              <w:t>/</w:t>
            </w:r>
            <w:r w:rsidRPr="00711795">
              <w:rPr>
                <w:rFonts w:cs="Times New Roman"/>
                <w:sz w:val="20"/>
                <w:szCs w:val="20"/>
              </w:rPr>
              <w:t>Reference</w:t>
            </w:r>
          </w:p>
          <w:p w14:paraId="061BDEBE" w14:textId="77777777" w:rsidR="0026693D" w:rsidRPr="00711795" w:rsidRDefault="0026693D" w:rsidP="00C05CD8">
            <w:pPr>
              <w:spacing w:line="276" w:lineRule="auto"/>
              <w:jc w:val="center"/>
              <w:rPr>
                <w:rFonts w:cs="Times New Roman"/>
                <w:sz w:val="20"/>
                <w:szCs w:val="20"/>
              </w:rPr>
            </w:pPr>
          </w:p>
          <w:p w14:paraId="763CCA54" w14:textId="77777777" w:rsidR="0026693D" w:rsidRPr="00711795" w:rsidRDefault="0026693D" w:rsidP="00C05CD8">
            <w:pPr>
              <w:spacing w:line="240" w:lineRule="auto"/>
              <w:jc w:val="center"/>
              <w:rPr>
                <w:rFonts w:cs="Times New Roman"/>
                <w:sz w:val="20"/>
                <w:szCs w:val="20"/>
              </w:rPr>
            </w:pPr>
            <w:r w:rsidRPr="00711795">
              <w:rPr>
                <w:rFonts w:cs="Times New Roman"/>
                <w:sz w:val="20"/>
                <w:szCs w:val="20"/>
              </w:rPr>
              <w:t>Estilo/Style:</w:t>
            </w:r>
          </w:p>
          <w:p w14:paraId="152AF845" w14:textId="77777777" w:rsidR="0026693D" w:rsidRPr="00711795" w:rsidRDefault="0026693D" w:rsidP="00C05CD8">
            <w:pPr>
              <w:spacing w:after="120" w:line="240" w:lineRule="auto"/>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2C833D5E" w14:textId="0B56B028" w:rsidR="0026693D" w:rsidRPr="00753BD6" w:rsidRDefault="00753BD6" w:rsidP="00753BD6">
            <w:pPr>
              <w:jc w:val="center"/>
              <w:rPr>
                <w:rFonts w:cs="Times New Roman"/>
                <w:b/>
                <w:sz w:val="28"/>
                <w:szCs w:val="28"/>
              </w:rPr>
            </w:pPr>
            <w:r>
              <w:rPr>
                <w:rFonts w:cs="Times New Roman"/>
                <w:sz w:val="20"/>
                <w:szCs w:val="20"/>
              </w:rPr>
              <w:t>Rodríguez Herrera</w:t>
            </w:r>
            <w:r w:rsidR="0026693D" w:rsidRPr="00711795">
              <w:rPr>
                <w:rFonts w:cs="Times New Roman"/>
                <w:sz w:val="20"/>
                <w:szCs w:val="20"/>
              </w:rPr>
              <w:t xml:space="preserve">, </w:t>
            </w:r>
            <w:r>
              <w:rPr>
                <w:rFonts w:cs="Times New Roman"/>
                <w:sz w:val="20"/>
                <w:szCs w:val="20"/>
              </w:rPr>
              <w:t>L.</w:t>
            </w:r>
            <w:r w:rsidR="0026693D" w:rsidRPr="00711795">
              <w:rPr>
                <w:rFonts w:cs="Times New Roman"/>
                <w:sz w:val="20"/>
                <w:szCs w:val="20"/>
              </w:rPr>
              <w:t xml:space="preserve"> (20</w:t>
            </w:r>
            <w:r w:rsidR="0026693D">
              <w:rPr>
                <w:rFonts w:cs="Times New Roman"/>
                <w:sz w:val="20"/>
                <w:szCs w:val="20"/>
              </w:rPr>
              <w:t>2</w:t>
            </w:r>
            <w:r>
              <w:rPr>
                <w:rFonts w:cs="Times New Roman"/>
                <w:sz w:val="20"/>
                <w:szCs w:val="20"/>
              </w:rPr>
              <w:t>6</w:t>
            </w:r>
            <w:r w:rsidR="0026693D" w:rsidRPr="00711795">
              <w:rPr>
                <w:rFonts w:cs="Times New Roman"/>
                <w:sz w:val="20"/>
                <w:szCs w:val="20"/>
              </w:rPr>
              <w:t>).</w:t>
            </w:r>
            <w:r>
              <w:rPr>
                <w:rFonts w:cs="Times New Roman"/>
                <w:b/>
                <w:bCs/>
              </w:rPr>
              <w:t xml:space="preserve"> </w:t>
            </w:r>
            <w:r w:rsidRPr="00753BD6">
              <w:rPr>
                <w:rFonts w:cs="Times New Roman"/>
                <w:i/>
                <w:iCs/>
                <w:sz w:val="20"/>
                <w:szCs w:val="20"/>
              </w:rPr>
              <w:t>Practicas formativas de desarrollo humano estratégico para sostenibilidad en consorcios viales en territorios postconflicto</w:t>
            </w:r>
            <w:r w:rsidRPr="000D2C76">
              <w:rPr>
                <w:rFonts w:cs="Times New Roman"/>
                <w:b/>
                <w:sz w:val="28"/>
                <w:szCs w:val="28"/>
              </w:rPr>
              <w:t xml:space="preserve"> </w:t>
            </w:r>
            <w:r w:rsidR="0026693D" w:rsidRPr="000C619C">
              <w:rPr>
                <w:rFonts w:cs="Times New Roman"/>
                <w:iCs/>
                <w:sz w:val="20"/>
                <w:szCs w:val="20"/>
              </w:rPr>
              <w:t>[</w:t>
            </w:r>
            <w:sdt>
              <w:sdtPr>
                <w:rPr>
                  <w:rStyle w:val="Estilo10"/>
                  <w:szCs w:val="20"/>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Tesis de maestría</w:t>
                </w:r>
              </w:sdtContent>
            </w:sdt>
            <w:r w:rsidR="0026693D">
              <w:rPr>
                <w:rFonts w:cs="Times New Roman"/>
                <w:szCs w:val="20"/>
              </w:rPr>
              <w:t>].</w:t>
            </w:r>
            <w:r w:rsidR="007F77D7">
              <w:rPr>
                <w:rFonts w:cs="Times New Roman"/>
                <w:szCs w:val="20"/>
              </w:rPr>
              <w:t xml:space="preserve"> </w:t>
            </w:r>
            <w:r w:rsidR="007F77D7" w:rsidRPr="00D74C92">
              <w:rPr>
                <w:rFonts w:cs="Times New Roman"/>
                <w:sz w:val="20"/>
                <w:szCs w:val="20"/>
              </w:rPr>
              <w:t>Universidad de</w:t>
            </w:r>
            <w:r w:rsidR="007F77D7">
              <w:rPr>
                <w:rFonts w:cs="Times New Roman"/>
                <w:sz w:val="20"/>
                <w:szCs w:val="20"/>
              </w:rPr>
              <w:t xml:space="preserve"> Manizales. RIDUM: Repositorio Institucional Universidad de Manizales.</w:t>
            </w:r>
          </w:p>
        </w:tc>
      </w:tr>
    </w:tbl>
    <w:p w14:paraId="4C785FDE" w14:textId="77777777" w:rsidR="0026693D" w:rsidRDefault="0026693D" w:rsidP="0026693D">
      <w:pPr>
        <w:jc w:val="left"/>
        <w:rPr>
          <w:rFonts w:cs="Times New Roman"/>
          <w:b/>
          <w:noProof/>
          <w:szCs w:val="24"/>
          <w:lang w:eastAsia="es-CO"/>
        </w:rPr>
      </w:pPr>
      <w:r>
        <w:rPr>
          <w:rFonts w:cs="Times New Roman"/>
          <w:b/>
          <w:noProof/>
          <w:szCs w:val="24"/>
          <w:lang w:eastAsia="es-CO"/>
        </w:rPr>
        <w:drawing>
          <wp:inline distT="0" distB="0" distL="0" distR="0" wp14:anchorId="3D21DFFD" wp14:editId="579ACBFE">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eastAsia="es-CO"/>
        </w:rPr>
        <w:drawing>
          <wp:inline distT="0" distB="0" distL="0" distR="0" wp14:anchorId="6890BC5E" wp14:editId="49CB0702">
            <wp:extent cx="771525" cy="269938"/>
            <wp:effectExtent l="0" t="0" r="0" b="0"/>
            <wp:docPr id="19" name="Imagen 1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102A8E8" w14:textId="77777777" w:rsidR="0026693D" w:rsidRDefault="0026693D" w:rsidP="0026693D">
      <w:pPr>
        <w:jc w:val="left"/>
        <w:rPr>
          <w:rFonts w:cs="Times New Roman"/>
          <w:szCs w:val="24"/>
        </w:rPr>
      </w:pPr>
    </w:p>
    <w:bookmarkStart w:id="5" w:name="_Hlk66967260"/>
    <w:p w14:paraId="60A9DE66" w14:textId="6138594D" w:rsidR="00F03028" w:rsidRPr="00F61F5A" w:rsidRDefault="00000000" w:rsidP="0001409B">
      <w:pPr>
        <w:rPr>
          <w:rStyle w:val="Estilo4"/>
          <w:sz w:val="22"/>
        </w:rPr>
      </w:pPr>
      <w:sdt>
        <w:sdtPr>
          <w:rPr>
            <w:rStyle w:val="TextocomentarioCar"/>
            <w:rFonts w:cs="Times New Roman"/>
            <w:sz w:val="22"/>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9975C0" w:rsidRPr="00F61F5A">
            <w:rPr>
              <w:rStyle w:val="TextocomentarioCar"/>
              <w:rFonts w:cs="Times New Roman"/>
              <w:sz w:val="22"/>
            </w:rPr>
            <w:t>Seleccione posgrado UManizales (A-Z)</w:t>
          </w:r>
        </w:sdtContent>
      </w:sdt>
      <w:r w:rsidR="009975C0" w:rsidRPr="00F61F5A">
        <w:rPr>
          <w:rFonts w:cs="Times New Roman"/>
          <w:sz w:val="22"/>
        </w:rPr>
        <w:t>,</w:t>
      </w:r>
      <w:r w:rsidR="009975C0">
        <w:rPr>
          <w:rFonts w:cs="Times New Roman"/>
          <w:sz w:val="22"/>
        </w:rPr>
        <w:t xml:space="preserve"> </w:t>
      </w:r>
      <w:sdt>
        <w:sdtPr>
          <w:rPr>
            <w:rStyle w:val="Estilo3"/>
            <w:sz w:val="22"/>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691F2C">
            <w:rPr>
              <w:rStyle w:val="Estilo3"/>
              <w:sz w:val="22"/>
            </w:rPr>
            <w:t>XXV</w:t>
          </w:r>
        </w:sdtContent>
      </w:sdt>
      <w:r w:rsidR="00F03028" w:rsidRPr="00F61F5A">
        <w:rPr>
          <w:rFonts w:cs="Times New Roman"/>
          <w:sz w:val="22"/>
        </w:rPr>
        <w:t xml:space="preserve"> </w:t>
      </w:r>
    </w:p>
    <w:p w14:paraId="1A5330BB" w14:textId="37A23B0E" w:rsidR="002843F5" w:rsidRDefault="00000000" w:rsidP="0001409B">
      <w:pPr>
        <w:spacing w:before="120" w:after="120"/>
        <w:jc w:val="left"/>
        <w:rPr>
          <w:rFonts w:cs="Times New Roman"/>
          <w:sz w:val="22"/>
        </w:rPr>
      </w:pPr>
      <w:sdt>
        <w:sdtPr>
          <w:rPr>
            <w:rStyle w:val="TextocomentarioCar"/>
            <w:sz w:val="22"/>
          </w:rPr>
          <w:alias w:val="Centro de investigación"/>
          <w:tag w:val="Centro de investigación"/>
          <w:id w:val="-958727137"/>
          <w:placeholder>
            <w:docPart w:val="A5583E754E584574A7BD0BA5A404BBDA"/>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F03028" w:rsidRPr="00F61F5A">
            <w:rPr>
              <w:rStyle w:val="TextocomentarioCar"/>
              <w:sz w:val="22"/>
            </w:rPr>
            <w:t>Seleccione centro de investigación UManizales (A-Z)</w:t>
          </w:r>
        </w:sdtContent>
      </w:sdt>
      <w:r w:rsidR="00F03028" w:rsidRPr="00F61F5A">
        <w:rPr>
          <w:rFonts w:cs="Times New Roman"/>
          <w:sz w:val="22"/>
        </w:rPr>
        <w:t xml:space="preserve">. </w:t>
      </w:r>
      <w:bookmarkEnd w:id="5"/>
    </w:p>
    <w:bookmarkStart w:id="6" w:name="_Hlk66967311"/>
    <w:p w14:paraId="31BF18F4" w14:textId="77777777" w:rsidR="00FC2ACC" w:rsidRPr="00F61F5A" w:rsidRDefault="00000000" w:rsidP="00FC2ACC">
      <w:pPr>
        <w:spacing w:before="120" w:after="120"/>
        <w:rPr>
          <w:rFonts w:cs="Times New Roman"/>
          <w:sz w:val="22"/>
        </w:rPr>
      </w:pPr>
      <w:sdt>
        <w:sdtPr>
          <w:rPr>
            <w:rStyle w:val="Estilo5"/>
            <w:sz w:val="22"/>
          </w:rPr>
          <w:id w:val="1684392674"/>
          <w:placeholder>
            <w:docPart w:val="FD751A1F1D1247E686DDB3FD9EB38FC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FC2ACC">
            <w:rPr>
              <w:rStyle w:val="Estilo5"/>
              <w:sz w:val="22"/>
            </w:rPr>
            <w:t>Seleccione grupo de investigación UManizales (A-Z)</w:t>
          </w:r>
        </w:sdtContent>
      </w:sdt>
    </w:p>
    <w:bookmarkStart w:id="7" w:name="_Hlk66967298"/>
    <w:bookmarkStart w:id="8" w:name="_Hlk65187326"/>
    <w:bookmarkStart w:id="9" w:name="_Hlk66967277"/>
    <w:bookmarkEnd w:id="6"/>
    <w:p w14:paraId="19AC2594" w14:textId="71A74F1E" w:rsidR="00FC2ACC" w:rsidRPr="00FC2ACC" w:rsidRDefault="00000000" w:rsidP="00FC2ACC">
      <w:pPr>
        <w:spacing w:before="120" w:after="120"/>
        <w:rPr>
          <w:rFonts w:cs="Times New Roman"/>
          <w:sz w:val="22"/>
        </w:rPr>
      </w:pPr>
      <w:sdt>
        <w:sdtPr>
          <w:rPr>
            <w:rStyle w:val="Estilo5"/>
            <w:sz w:val="22"/>
          </w:rPr>
          <w:alias w:val="Grupo"/>
          <w:tag w:val="Grupo"/>
          <w:id w:val="1851758388"/>
          <w:placeholder>
            <w:docPart w:val="B3B3E5D1F42F4DFAB97D94F412B9B2EC"/>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FC2ACC" w:rsidRPr="00F61F5A">
            <w:rPr>
              <w:rStyle w:val="Estilo5"/>
              <w:sz w:val="22"/>
            </w:rPr>
            <w:t>Seleccione línea de investigación UManizales (A-Z)</w:t>
          </w:r>
        </w:sdtContent>
      </w:sdt>
      <w:bookmarkEnd w:id="7"/>
      <w:r w:rsidR="00FC2ACC" w:rsidRPr="00F61F5A">
        <w:rPr>
          <w:rFonts w:cs="Times New Roman"/>
          <w:sz w:val="22"/>
        </w:rPr>
        <w:t>.</w:t>
      </w:r>
      <w:bookmarkEnd w:id="8"/>
      <w:r w:rsidR="00FC2ACC" w:rsidRPr="00F61F5A">
        <w:rPr>
          <w:rFonts w:cs="Times New Roman"/>
          <w:sz w:val="22"/>
        </w:rPr>
        <w:t xml:space="preserve">  </w:t>
      </w:r>
      <w:bookmarkEnd w:id="9"/>
    </w:p>
    <w:p w14:paraId="04812F2F" w14:textId="77777777" w:rsidR="002843F5" w:rsidRDefault="002843F5" w:rsidP="002843F5">
      <w:pPr>
        <w:rPr>
          <w:rFonts w:cs="Times New Roman"/>
          <w:sz w:val="20"/>
          <w:szCs w:val="20"/>
        </w:rPr>
      </w:pPr>
    </w:p>
    <w:p w14:paraId="7B04D3CB" w14:textId="68FD261A" w:rsidR="00B44585" w:rsidRDefault="00B44585" w:rsidP="00B44585">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w:t>
      </w:r>
      <w:proofErr w:type="spellStart"/>
      <w:r w:rsidRPr="00B878CC">
        <w:rPr>
          <w:rFonts w:cs="Times New Roman"/>
          <w:sz w:val="20"/>
          <w:szCs w:val="20"/>
        </w:rPr>
        <w:t>ChatGPT</w:t>
      </w:r>
      <w:proofErr w:type="spellEnd"/>
      <w:r w:rsidRPr="00B878CC">
        <w:rPr>
          <w:rFonts w:cs="Times New Roman"/>
          <w:sz w:val="20"/>
          <w:szCs w:val="20"/>
        </w:rPr>
        <w:t xml:space="preserve">,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6AFBC8DB" w14:textId="77777777" w:rsidR="002843F5" w:rsidRPr="005A1D1B" w:rsidRDefault="002843F5" w:rsidP="002843F5">
      <w:pPr>
        <w:rPr>
          <w:rFonts w:cs="Times New Roman"/>
          <w:sz w:val="20"/>
          <w:szCs w:val="20"/>
        </w:rPr>
      </w:pPr>
    </w:p>
    <w:p w14:paraId="3ACB8BB5" w14:textId="5601DED9" w:rsidR="002843F5" w:rsidRPr="008663FA" w:rsidRDefault="002843F5" w:rsidP="002843F5">
      <w:pPr>
        <w:jc w:val="left"/>
        <w:rPr>
          <w:rFonts w:cs="Times New Roman"/>
          <w:sz w:val="20"/>
          <w:szCs w:val="20"/>
        </w:rPr>
      </w:pPr>
      <w:r>
        <w:rPr>
          <w:rFonts w:cs="Times New Roman"/>
          <w:sz w:val="20"/>
          <w:szCs w:val="20"/>
        </w:rPr>
        <w:t xml:space="preserve"> </w:t>
      </w:r>
    </w:p>
    <w:p w14:paraId="6BC0FE27" w14:textId="5DAFC71D" w:rsidR="003865B8" w:rsidRPr="00691F2C" w:rsidRDefault="008663FA" w:rsidP="0021571A">
      <w:pPr>
        <w:spacing w:before="120" w:after="120" w:line="240" w:lineRule="auto"/>
        <w:jc w:val="left"/>
        <w:rPr>
          <w:rFonts w:cs="Times New Roman"/>
          <w:sz w:val="22"/>
        </w:rPr>
      </w:pPr>
      <w:r w:rsidRPr="00691F2C">
        <w:rPr>
          <w:rFonts w:cs="Times New Roman"/>
          <w:b/>
          <w:bCs/>
          <w:sz w:val="22"/>
        </w:rPr>
        <w:t>Biblioteca y Centro de Recursos</w:t>
      </w:r>
      <w:r w:rsidRPr="00691F2C">
        <w:rPr>
          <w:rFonts w:cs="Times New Roman"/>
          <w:sz w:val="22"/>
        </w:rPr>
        <w:t>: biblioteca.umanizales.edu.co</w:t>
      </w:r>
    </w:p>
    <w:p w14:paraId="65E412C8" w14:textId="484DFFFB" w:rsidR="008663FA" w:rsidRPr="00691F2C" w:rsidRDefault="008663FA" w:rsidP="0021571A">
      <w:pPr>
        <w:spacing w:before="120" w:after="120" w:line="240" w:lineRule="auto"/>
        <w:rPr>
          <w:sz w:val="22"/>
        </w:rPr>
      </w:pPr>
      <w:r w:rsidRPr="00691F2C">
        <w:rPr>
          <w:rFonts w:cs="Times New Roman"/>
          <w:b/>
          <w:bCs/>
          <w:sz w:val="22"/>
        </w:rPr>
        <w:t>Repositorio Institucional:</w:t>
      </w:r>
      <w:r w:rsidRPr="00691F2C">
        <w:rPr>
          <w:rFonts w:cs="Times New Roman"/>
          <w:sz w:val="22"/>
        </w:rPr>
        <w:t xml:space="preserve"> ridum.umanizales.edu.co</w:t>
      </w:r>
    </w:p>
    <w:p w14:paraId="270AA538" w14:textId="2297F78E" w:rsidR="008663FA" w:rsidRPr="00691F2C" w:rsidRDefault="008663FA" w:rsidP="009B70DF">
      <w:pPr>
        <w:spacing w:after="120" w:line="240" w:lineRule="auto"/>
        <w:rPr>
          <w:rFonts w:cs="Times New Roman"/>
          <w:sz w:val="22"/>
        </w:rPr>
      </w:pPr>
      <w:r w:rsidRPr="00691F2C">
        <w:rPr>
          <w:rFonts w:cs="Times New Roman"/>
          <w:b/>
          <w:bCs/>
          <w:sz w:val="22"/>
        </w:rPr>
        <w:t>Universidad de Manizales:</w:t>
      </w:r>
      <w:r w:rsidR="001A0EB1" w:rsidRPr="00691F2C">
        <w:rPr>
          <w:rFonts w:cs="Times New Roman"/>
          <w:sz w:val="22"/>
        </w:rPr>
        <w:t xml:space="preserve"> </w:t>
      </w:r>
      <w:r w:rsidRPr="00691F2C">
        <w:rPr>
          <w:rFonts w:cs="Times New Roman"/>
          <w:sz w:val="22"/>
        </w:rPr>
        <w:t xml:space="preserve">umanizales.edu.co </w:t>
      </w:r>
    </w:p>
    <w:p w14:paraId="5E712C2F" w14:textId="7B843272" w:rsidR="008663FA" w:rsidRPr="00F61F5A" w:rsidRDefault="008663FA" w:rsidP="0021571A">
      <w:pPr>
        <w:spacing w:line="240" w:lineRule="auto"/>
        <w:jc w:val="left"/>
        <w:rPr>
          <w:rFonts w:cs="Times New Roman"/>
          <w:sz w:val="22"/>
        </w:rPr>
      </w:pPr>
      <w:r w:rsidRPr="00691F2C">
        <w:rPr>
          <w:rFonts w:cs="Times New Roman"/>
          <w:b/>
          <w:bCs/>
          <w:sz w:val="22"/>
        </w:rPr>
        <w:t>Revistas:</w:t>
      </w:r>
      <w:r w:rsidRPr="00691F2C">
        <w:rPr>
          <w:rFonts w:cs="Times New Roman"/>
          <w:sz w:val="22"/>
        </w:rPr>
        <w:t xml:space="preserve"> revistasum.umanizales.edu.co</w:t>
      </w:r>
    </w:p>
    <w:p w14:paraId="1FCFC578" w14:textId="77777777" w:rsidR="002843F5" w:rsidRDefault="002843F5" w:rsidP="008663FA">
      <w:pPr>
        <w:rPr>
          <w:rFonts w:cs="Times New Roman"/>
          <w:b/>
          <w:sz w:val="20"/>
          <w:szCs w:val="20"/>
        </w:rPr>
      </w:pPr>
    </w:p>
    <w:p w14:paraId="00D74911" w14:textId="77777777" w:rsidR="002843F5" w:rsidRPr="00A97A13" w:rsidRDefault="002843F5" w:rsidP="002843F5">
      <w:pPr>
        <w:jc w:val="center"/>
        <w:rPr>
          <w:rFonts w:cs="Times New Roman"/>
          <w:b/>
          <w:sz w:val="20"/>
          <w:szCs w:val="20"/>
        </w:rPr>
      </w:pPr>
    </w:p>
    <w:p w14:paraId="065B9C15" w14:textId="77777777" w:rsidR="00536C6C" w:rsidRDefault="00536C6C" w:rsidP="00536C6C">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0798549F" w14:textId="77777777" w:rsidR="001F154E" w:rsidRDefault="001F154E" w:rsidP="00536C6C">
      <w:pPr>
        <w:spacing w:line="276" w:lineRule="auto"/>
        <w:rPr>
          <w:rFonts w:cs="Times New Roman"/>
          <w:sz w:val="22"/>
        </w:rPr>
      </w:pPr>
    </w:p>
    <w:p w14:paraId="676DAE43" w14:textId="77777777" w:rsidR="001F154E" w:rsidRDefault="001F154E" w:rsidP="00536C6C">
      <w:pPr>
        <w:spacing w:line="276" w:lineRule="auto"/>
        <w:rPr>
          <w:rFonts w:cs="Times New Roman"/>
          <w:sz w:val="22"/>
        </w:rPr>
      </w:pPr>
    </w:p>
    <w:p w14:paraId="59B33E2A" w14:textId="77777777" w:rsidR="001F154E" w:rsidRDefault="001F154E" w:rsidP="00536C6C">
      <w:pPr>
        <w:spacing w:line="276" w:lineRule="auto"/>
        <w:rPr>
          <w:rFonts w:cs="Times New Roman"/>
          <w:sz w:val="22"/>
        </w:rPr>
      </w:pPr>
    </w:p>
    <w:p w14:paraId="4FEA4E63" w14:textId="77777777" w:rsidR="001F154E" w:rsidRPr="00F61F5A" w:rsidRDefault="001F154E" w:rsidP="00536C6C">
      <w:pPr>
        <w:spacing w:line="276" w:lineRule="auto"/>
        <w:rPr>
          <w:rFonts w:cs="Times New Roman"/>
          <w:sz w:val="22"/>
        </w:rPr>
      </w:pPr>
    </w:p>
    <w:p w14:paraId="34206020" w14:textId="414DB5A3" w:rsidR="00536C6C" w:rsidRPr="00FE5B73" w:rsidRDefault="00536C6C" w:rsidP="00FE5B73">
      <w:pPr>
        <w:jc w:val="left"/>
        <w:rPr>
          <w:rFonts w:cs="Times New Roman"/>
          <w:sz w:val="22"/>
        </w:rPr>
        <w:sectPr w:rsidR="00536C6C" w:rsidRPr="00FE5B73" w:rsidSect="00C727EA">
          <w:pgSz w:w="12240" w:h="15840"/>
          <w:pgMar w:top="1418" w:right="1418" w:bottom="1418" w:left="1418" w:header="567" w:footer="567" w:gutter="0"/>
          <w:cols w:space="708"/>
          <w:docGrid w:linePitch="360"/>
        </w:sectPr>
      </w:pPr>
    </w:p>
    <w:p w14:paraId="6EBFB582" w14:textId="365DA163" w:rsidR="007C7D78" w:rsidRDefault="007C7D78" w:rsidP="007C7D78">
      <w:pPr>
        <w:pStyle w:val="Normal1"/>
      </w:pPr>
      <w:bookmarkStart w:id="10" w:name="_Toc440985124"/>
    </w:p>
    <w:p w14:paraId="5464787E" w14:textId="5545B864" w:rsidR="00667840" w:rsidRPr="00E41C47" w:rsidRDefault="00667840" w:rsidP="003B1E14">
      <w:pPr>
        <w:pStyle w:val="Ttulo1"/>
      </w:pPr>
      <w:r w:rsidRPr="00E41C47">
        <w:lastRenderedPageBreak/>
        <w:t>Resumen</w:t>
      </w:r>
      <w:bookmarkEnd w:id="10"/>
    </w:p>
    <w:p w14:paraId="2D6F5244" w14:textId="77777777" w:rsidR="00667840" w:rsidRDefault="00667840" w:rsidP="00667840">
      <w:pPr>
        <w:ind w:firstLine="708"/>
        <w:rPr>
          <w:szCs w:val="24"/>
        </w:rPr>
      </w:pPr>
    </w:p>
    <w:p w14:paraId="1DE8E14D" w14:textId="77777777" w:rsidR="00F31C4D" w:rsidRPr="00B9633D" w:rsidRDefault="00F31C4D" w:rsidP="00F31C4D">
      <w:pPr>
        <w:ind w:firstLine="624"/>
        <w:rPr>
          <w:rFonts w:cs="Times New Roman"/>
          <w:color w:val="000000" w:themeColor="text1"/>
          <w:u w:val="single"/>
        </w:rPr>
      </w:pPr>
      <w:r w:rsidRPr="00B9633D">
        <w:rPr>
          <w:rFonts w:cs="Times New Roman"/>
          <w:color w:val="000000" w:themeColor="text1"/>
        </w:rPr>
        <w:t xml:space="preserve">Este estudio analiza cómo las prácticas formativas de desarrollo humano contribuyen al desempeño sostenible de consorcios de infraestructura vial que operan en </w:t>
      </w:r>
      <w:r>
        <w:rPr>
          <w:rFonts w:cs="Times New Roman"/>
          <w:color w:val="000000" w:themeColor="text1"/>
        </w:rPr>
        <w:t>territorios</w:t>
      </w:r>
      <w:r w:rsidRPr="00B9633D">
        <w:rPr>
          <w:rFonts w:cs="Times New Roman"/>
          <w:color w:val="000000" w:themeColor="text1"/>
        </w:rPr>
        <w:t xml:space="preserve"> de posconflicto en Colombia. </w:t>
      </w:r>
      <w:r w:rsidRPr="00493122">
        <w:rPr>
          <w:rFonts w:cs="Times New Roman"/>
          <w:color w:val="000000" w:themeColor="text1"/>
        </w:rPr>
        <w:t>Mediante un estudio de caso instrumental, se realizaron entrevistas semiestructuradas a profesionales de consorcios en Sucre, Bolívar y Valle del Cauca, complementadas con una revisión sistemática de los Pliegos de Condiciones del INVIAS, los cuales establecen criterios obligatorios de sostenibilidad ambiental, social y económica. Los hallazgos muestran que la formación trasciende la instrucción técnica y funciona como un mecanismo de Responsabilidad Social Empresarial, integrando manejo de residuos, participación comunitaria, equidad e impulso a la contratación local. No obstante, se identificaron limitaciones como la falta de programas formativos diferenciados para poblaciones en reincorporación y la ausencia de sistemas de evaluación que midan de manera rigurosa el impacto de la formación en la sostenibilidad. En conjunto, la formación se configura como un vector de desarrollo humano sostenible que fortalece la legitimidad social, genera valor compartido y contribuye a la sostenibilidad territorial.</w:t>
      </w:r>
      <w:r>
        <w:rPr>
          <w:rFonts w:cs="Times New Roman"/>
          <w:color w:val="000000" w:themeColor="text1"/>
        </w:rPr>
        <w:t xml:space="preserve"> Por último, e</w:t>
      </w:r>
      <w:r w:rsidRPr="00493122">
        <w:rPr>
          <w:rFonts w:cs="Times New Roman"/>
          <w:color w:val="000000" w:themeColor="text1"/>
        </w:rPr>
        <w:t>l estudio aporta evidencia empírica y conceptual sobre el papel estratégico de la formación en la gestión humana sostenible y propone lineamientos para institucionalizar programas diferenciados que fortalezcan la sostenibilidad organizacional y territorial.</w:t>
      </w:r>
    </w:p>
    <w:p w14:paraId="67B823F2" w14:textId="77777777" w:rsidR="00F31C4D" w:rsidRPr="00F31C4D" w:rsidRDefault="00542A64" w:rsidP="00F31C4D">
      <w:pPr>
        <w:ind w:firstLine="624"/>
        <w:rPr>
          <w:rFonts w:cs="Times New Roman"/>
          <w:color w:val="000000" w:themeColor="text1"/>
        </w:rPr>
      </w:pPr>
      <w:r w:rsidRPr="008F00A8">
        <w:rPr>
          <w:i/>
          <w:szCs w:val="24"/>
        </w:rPr>
        <w:t>Palabras clave</w:t>
      </w:r>
      <w:r w:rsidRPr="00E36FC1">
        <w:rPr>
          <w:szCs w:val="24"/>
        </w:rPr>
        <w:t>:</w:t>
      </w:r>
      <w:r>
        <w:rPr>
          <w:szCs w:val="24"/>
        </w:rPr>
        <w:t xml:space="preserve"> </w:t>
      </w:r>
      <w:r w:rsidR="00F31C4D" w:rsidRPr="00B9633D">
        <w:rPr>
          <w:rFonts w:cs="Times New Roman"/>
          <w:color w:val="000000" w:themeColor="text1"/>
        </w:rPr>
        <w:t xml:space="preserve">consorcios viales; desarrollo humano estratégico; posconflicto; sostenibilidad.  </w:t>
      </w:r>
    </w:p>
    <w:p w14:paraId="7F1A2B69" w14:textId="77777777" w:rsidR="00844611" w:rsidRDefault="00844611" w:rsidP="00C57305">
      <w:pPr>
        <w:jc w:val="center"/>
        <w:rPr>
          <w:b/>
          <w:szCs w:val="24"/>
        </w:rPr>
      </w:pPr>
    </w:p>
    <w:p w14:paraId="5C82BA8A" w14:textId="77777777" w:rsidR="00667840" w:rsidRPr="00FB1F1D" w:rsidRDefault="00667840" w:rsidP="003B1E14">
      <w:pPr>
        <w:pStyle w:val="Ttulo1"/>
      </w:pPr>
      <w:proofErr w:type="spellStart"/>
      <w:r w:rsidRPr="00FB1F1D">
        <w:t>Abstract</w:t>
      </w:r>
      <w:proofErr w:type="spellEnd"/>
    </w:p>
    <w:p w14:paraId="1E3B1D7F" w14:textId="77777777" w:rsidR="00667840" w:rsidRPr="006E6D13" w:rsidRDefault="00667840" w:rsidP="00667840">
      <w:pPr>
        <w:ind w:firstLine="708"/>
        <w:rPr>
          <w:szCs w:val="24"/>
        </w:rPr>
      </w:pPr>
    </w:p>
    <w:p w14:paraId="311D373D" w14:textId="2540F545" w:rsidR="00667840" w:rsidRPr="00802DC2" w:rsidRDefault="00BA7875" w:rsidP="00667840">
      <w:pPr>
        <w:ind w:firstLine="708"/>
        <w:rPr>
          <w:szCs w:val="24"/>
        </w:rPr>
      </w:pPr>
      <w:proofErr w:type="spellStart"/>
      <w:r w:rsidRPr="00BA7875">
        <w:rPr>
          <w:iCs/>
          <w:szCs w:val="18"/>
        </w:rPr>
        <w:t>This</w:t>
      </w:r>
      <w:proofErr w:type="spellEnd"/>
      <w:r w:rsidRPr="00BA7875">
        <w:rPr>
          <w:iCs/>
          <w:szCs w:val="18"/>
        </w:rPr>
        <w:t xml:space="preserve"> </w:t>
      </w:r>
      <w:proofErr w:type="spellStart"/>
      <w:r w:rsidRPr="00BA7875">
        <w:rPr>
          <w:iCs/>
          <w:szCs w:val="18"/>
        </w:rPr>
        <w:t>study</w:t>
      </w:r>
      <w:proofErr w:type="spellEnd"/>
      <w:r w:rsidRPr="00BA7875">
        <w:rPr>
          <w:iCs/>
          <w:szCs w:val="18"/>
        </w:rPr>
        <w:t xml:space="preserve"> </w:t>
      </w:r>
      <w:proofErr w:type="spellStart"/>
      <w:r w:rsidRPr="00BA7875">
        <w:rPr>
          <w:iCs/>
          <w:szCs w:val="18"/>
        </w:rPr>
        <w:t>analyzes</w:t>
      </w:r>
      <w:proofErr w:type="spellEnd"/>
      <w:r w:rsidRPr="00BA7875">
        <w:rPr>
          <w:iCs/>
          <w:szCs w:val="18"/>
        </w:rPr>
        <w:t xml:space="preserve"> </w:t>
      </w:r>
      <w:proofErr w:type="spellStart"/>
      <w:r w:rsidRPr="00BA7875">
        <w:rPr>
          <w:iCs/>
          <w:szCs w:val="18"/>
        </w:rPr>
        <w:t>how</w:t>
      </w:r>
      <w:proofErr w:type="spellEnd"/>
      <w:r w:rsidRPr="00BA7875">
        <w:rPr>
          <w:iCs/>
          <w:szCs w:val="18"/>
        </w:rPr>
        <w:t xml:space="preserve"> human </w:t>
      </w:r>
      <w:proofErr w:type="spellStart"/>
      <w:r w:rsidRPr="00BA7875">
        <w:rPr>
          <w:iCs/>
          <w:szCs w:val="18"/>
        </w:rPr>
        <w:t>development</w:t>
      </w:r>
      <w:proofErr w:type="spellEnd"/>
      <w:r w:rsidRPr="00BA7875">
        <w:rPr>
          <w:iCs/>
          <w:szCs w:val="18"/>
        </w:rPr>
        <w:t xml:space="preserve"> training </w:t>
      </w:r>
      <w:proofErr w:type="spellStart"/>
      <w:r w:rsidRPr="00BA7875">
        <w:rPr>
          <w:iCs/>
          <w:szCs w:val="18"/>
        </w:rPr>
        <w:t>practices</w:t>
      </w:r>
      <w:proofErr w:type="spellEnd"/>
      <w:r w:rsidRPr="00BA7875">
        <w:rPr>
          <w:iCs/>
          <w:szCs w:val="18"/>
        </w:rPr>
        <w:t xml:space="preserve"> </w:t>
      </w:r>
      <w:proofErr w:type="spellStart"/>
      <w:r w:rsidRPr="00BA7875">
        <w:rPr>
          <w:iCs/>
          <w:szCs w:val="18"/>
        </w:rPr>
        <w:t>contribute</w:t>
      </w:r>
      <w:proofErr w:type="spellEnd"/>
      <w:r w:rsidRPr="00BA7875">
        <w:rPr>
          <w:iCs/>
          <w:szCs w:val="18"/>
        </w:rPr>
        <w:t xml:space="preserve"> </w:t>
      </w:r>
      <w:proofErr w:type="spellStart"/>
      <w:r w:rsidRPr="00BA7875">
        <w:rPr>
          <w:iCs/>
          <w:szCs w:val="18"/>
        </w:rPr>
        <w:t>to</w:t>
      </w:r>
      <w:proofErr w:type="spellEnd"/>
      <w:r w:rsidRPr="00BA7875">
        <w:rPr>
          <w:iCs/>
          <w:szCs w:val="18"/>
        </w:rPr>
        <w:t xml:space="preserve"> </w:t>
      </w:r>
      <w:proofErr w:type="spellStart"/>
      <w:r w:rsidRPr="00BA7875">
        <w:rPr>
          <w:iCs/>
          <w:szCs w:val="18"/>
        </w:rPr>
        <w:t>the</w:t>
      </w:r>
      <w:proofErr w:type="spellEnd"/>
      <w:r w:rsidRPr="00BA7875">
        <w:rPr>
          <w:iCs/>
          <w:szCs w:val="18"/>
        </w:rPr>
        <w:t xml:space="preserve"> </w:t>
      </w:r>
      <w:proofErr w:type="spellStart"/>
      <w:r w:rsidRPr="00BA7875">
        <w:rPr>
          <w:iCs/>
          <w:szCs w:val="18"/>
        </w:rPr>
        <w:t>sustainable</w:t>
      </w:r>
      <w:proofErr w:type="spellEnd"/>
      <w:r w:rsidRPr="00BA7875">
        <w:rPr>
          <w:iCs/>
          <w:szCs w:val="18"/>
        </w:rPr>
        <w:t xml:space="preserve"> performance </w:t>
      </w:r>
      <w:proofErr w:type="spellStart"/>
      <w:r w:rsidRPr="00BA7875">
        <w:rPr>
          <w:iCs/>
          <w:szCs w:val="18"/>
        </w:rPr>
        <w:t>of</w:t>
      </w:r>
      <w:proofErr w:type="spellEnd"/>
      <w:r w:rsidRPr="00BA7875">
        <w:rPr>
          <w:iCs/>
          <w:szCs w:val="18"/>
        </w:rPr>
        <w:t xml:space="preserve"> </w:t>
      </w:r>
      <w:proofErr w:type="spellStart"/>
      <w:r w:rsidRPr="00BA7875">
        <w:rPr>
          <w:iCs/>
          <w:szCs w:val="18"/>
        </w:rPr>
        <w:t>road</w:t>
      </w:r>
      <w:proofErr w:type="spellEnd"/>
      <w:r w:rsidRPr="00BA7875">
        <w:rPr>
          <w:iCs/>
          <w:szCs w:val="18"/>
        </w:rPr>
        <w:t xml:space="preserve"> </w:t>
      </w:r>
      <w:proofErr w:type="spellStart"/>
      <w:r w:rsidRPr="00BA7875">
        <w:rPr>
          <w:iCs/>
          <w:szCs w:val="18"/>
        </w:rPr>
        <w:t>infrastructure</w:t>
      </w:r>
      <w:proofErr w:type="spellEnd"/>
      <w:r w:rsidRPr="00BA7875">
        <w:rPr>
          <w:iCs/>
          <w:szCs w:val="18"/>
        </w:rPr>
        <w:t xml:space="preserve"> </w:t>
      </w:r>
      <w:proofErr w:type="spellStart"/>
      <w:r w:rsidRPr="00BA7875">
        <w:rPr>
          <w:iCs/>
          <w:szCs w:val="18"/>
        </w:rPr>
        <w:t>consortia</w:t>
      </w:r>
      <w:proofErr w:type="spellEnd"/>
      <w:r w:rsidRPr="00BA7875">
        <w:rPr>
          <w:iCs/>
          <w:szCs w:val="18"/>
        </w:rPr>
        <w:t xml:space="preserve"> </w:t>
      </w:r>
      <w:proofErr w:type="spellStart"/>
      <w:r w:rsidRPr="00BA7875">
        <w:rPr>
          <w:iCs/>
          <w:szCs w:val="18"/>
        </w:rPr>
        <w:t>operating</w:t>
      </w:r>
      <w:proofErr w:type="spellEnd"/>
      <w:r w:rsidRPr="00BA7875">
        <w:rPr>
          <w:iCs/>
          <w:szCs w:val="18"/>
        </w:rPr>
        <w:t xml:space="preserve"> in </w:t>
      </w:r>
      <w:proofErr w:type="spellStart"/>
      <w:r w:rsidRPr="00BA7875">
        <w:rPr>
          <w:iCs/>
          <w:szCs w:val="18"/>
        </w:rPr>
        <w:t>post-conflict</w:t>
      </w:r>
      <w:proofErr w:type="spellEnd"/>
      <w:r w:rsidRPr="00BA7875">
        <w:rPr>
          <w:iCs/>
          <w:szCs w:val="18"/>
        </w:rPr>
        <w:t xml:space="preserve"> </w:t>
      </w:r>
      <w:proofErr w:type="spellStart"/>
      <w:r w:rsidRPr="00BA7875">
        <w:rPr>
          <w:iCs/>
          <w:szCs w:val="18"/>
        </w:rPr>
        <w:t>territories</w:t>
      </w:r>
      <w:proofErr w:type="spellEnd"/>
      <w:r w:rsidRPr="00BA7875">
        <w:rPr>
          <w:iCs/>
          <w:szCs w:val="18"/>
        </w:rPr>
        <w:t xml:space="preserve"> in Colombia. </w:t>
      </w:r>
      <w:proofErr w:type="spellStart"/>
      <w:r w:rsidRPr="00BA7875">
        <w:rPr>
          <w:iCs/>
          <w:szCs w:val="18"/>
        </w:rPr>
        <w:t>Using</w:t>
      </w:r>
      <w:proofErr w:type="spellEnd"/>
      <w:r w:rsidRPr="00BA7875">
        <w:rPr>
          <w:iCs/>
          <w:szCs w:val="18"/>
        </w:rPr>
        <w:t xml:space="preserve"> </w:t>
      </w:r>
      <w:proofErr w:type="spellStart"/>
      <w:r w:rsidRPr="00BA7875">
        <w:rPr>
          <w:iCs/>
          <w:szCs w:val="18"/>
        </w:rPr>
        <w:t>an</w:t>
      </w:r>
      <w:proofErr w:type="spellEnd"/>
      <w:r w:rsidRPr="00BA7875">
        <w:rPr>
          <w:iCs/>
          <w:szCs w:val="18"/>
        </w:rPr>
        <w:t xml:space="preserve"> instrumental case </w:t>
      </w:r>
      <w:proofErr w:type="spellStart"/>
      <w:r w:rsidRPr="00BA7875">
        <w:rPr>
          <w:iCs/>
          <w:szCs w:val="18"/>
        </w:rPr>
        <w:t>study</w:t>
      </w:r>
      <w:proofErr w:type="spellEnd"/>
      <w:r w:rsidRPr="00BA7875">
        <w:rPr>
          <w:iCs/>
          <w:szCs w:val="18"/>
        </w:rPr>
        <w:t xml:space="preserve"> </w:t>
      </w:r>
      <w:proofErr w:type="spellStart"/>
      <w:r w:rsidRPr="00BA7875">
        <w:rPr>
          <w:iCs/>
          <w:szCs w:val="18"/>
        </w:rPr>
        <w:t>approach</w:t>
      </w:r>
      <w:proofErr w:type="spellEnd"/>
      <w:r w:rsidRPr="00BA7875">
        <w:rPr>
          <w:iCs/>
          <w:szCs w:val="18"/>
        </w:rPr>
        <w:t xml:space="preserve">, </w:t>
      </w:r>
      <w:proofErr w:type="spellStart"/>
      <w:r w:rsidRPr="00BA7875">
        <w:rPr>
          <w:iCs/>
          <w:szCs w:val="18"/>
        </w:rPr>
        <w:t>semi-structured</w:t>
      </w:r>
      <w:proofErr w:type="spellEnd"/>
      <w:r w:rsidRPr="00BA7875">
        <w:rPr>
          <w:iCs/>
          <w:szCs w:val="18"/>
        </w:rPr>
        <w:t xml:space="preserve"> interviews </w:t>
      </w:r>
      <w:proofErr w:type="spellStart"/>
      <w:r w:rsidRPr="00BA7875">
        <w:rPr>
          <w:iCs/>
          <w:szCs w:val="18"/>
        </w:rPr>
        <w:t>were</w:t>
      </w:r>
      <w:proofErr w:type="spellEnd"/>
      <w:r w:rsidRPr="00BA7875">
        <w:rPr>
          <w:iCs/>
          <w:szCs w:val="18"/>
        </w:rPr>
        <w:t xml:space="preserve"> </w:t>
      </w:r>
      <w:proofErr w:type="spellStart"/>
      <w:r w:rsidRPr="00BA7875">
        <w:rPr>
          <w:iCs/>
          <w:szCs w:val="18"/>
        </w:rPr>
        <w:t>conducted</w:t>
      </w:r>
      <w:proofErr w:type="spellEnd"/>
      <w:r w:rsidRPr="00BA7875">
        <w:rPr>
          <w:iCs/>
          <w:szCs w:val="18"/>
        </w:rPr>
        <w:t xml:space="preserve"> </w:t>
      </w:r>
      <w:proofErr w:type="spellStart"/>
      <w:r w:rsidRPr="00BA7875">
        <w:rPr>
          <w:iCs/>
          <w:szCs w:val="18"/>
        </w:rPr>
        <w:t>with</w:t>
      </w:r>
      <w:proofErr w:type="spellEnd"/>
      <w:r w:rsidRPr="00BA7875">
        <w:rPr>
          <w:iCs/>
          <w:szCs w:val="18"/>
        </w:rPr>
        <w:t xml:space="preserve"> </w:t>
      </w:r>
      <w:proofErr w:type="spellStart"/>
      <w:r w:rsidRPr="00BA7875">
        <w:rPr>
          <w:iCs/>
          <w:szCs w:val="18"/>
        </w:rPr>
        <w:t>professionals</w:t>
      </w:r>
      <w:proofErr w:type="spellEnd"/>
      <w:r w:rsidRPr="00BA7875">
        <w:rPr>
          <w:iCs/>
          <w:szCs w:val="18"/>
        </w:rPr>
        <w:t xml:space="preserve"> </w:t>
      </w:r>
      <w:proofErr w:type="spellStart"/>
      <w:r w:rsidRPr="00BA7875">
        <w:rPr>
          <w:iCs/>
          <w:szCs w:val="18"/>
        </w:rPr>
        <w:t>from</w:t>
      </w:r>
      <w:proofErr w:type="spellEnd"/>
      <w:r w:rsidRPr="00BA7875">
        <w:rPr>
          <w:iCs/>
          <w:szCs w:val="18"/>
        </w:rPr>
        <w:t xml:space="preserve"> </w:t>
      </w:r>
      <w:proofErr w:type="spellStart"/>
      <w:r w:rsidRPr="00BA7875">
        <w:rPr>
          <w:iCs/>
          <w:szCs w:val="18"/>
        </w:rPr>
        <w:t>consortia</w:t>
      </w:r>
      <w:proofErr w:type="spellEnd"/>
      <w:r w:rsidRPr="00BA7875">
        <w:rPr>
          <w:iCs/>
          <w:szCs w:val="18"/>
        </w:rPr>
        <w:t xml:space="preserve"> in Sucre, Bolívar, and Valle del Cauca, </w:t>
      </w:r>
      <w:proofErr w:type="spellStart"/>
      <w:r w:rsidRPr="00BA7875">
        <w:rPr>
          <w:iCs/>
          <w:szCs w:val="18"/>
        </w:rPr>
        <w:t>complemented</w:t>
      </w:r>
      <w:proofErr w:type="spellEnd"/>
      <w:r w:rsidRPr="00BA7875">
        <w:rPr>
          <w:iCs/>
          <w:szCs w:val="18"/>
        </w:rPr>
        <w:t xml:space="preserve"> </w:t>
      </w:r>
      <w:proofErr w:type="spellStart"/>
      <w:r w:rsidRPr="00BA7875">
        <w:rPr>
          <w:iCs/>
          <w:szCs w:val="18"/>
        </w:rPr>
        <w:t>by</w:t>
      </w:r>
      <w:proofErr w:type="spellEnd"/>
      <w:r w:rsidRPr="00BA7875">
        <w:rPr>
          <w:iCs/>
          <w:szCs w:val="18"/>
        </w:rPr>
        <w:t xml:space="preserve"> a </w:t>
      </w:r>
      <w:proofErr w:type="spellStart"/>
      <w:r w:rsidRPr="00BA7875">
        <w:rPr>
          <w:iCs/>
          <w:szCs w:val="18"/>
        </w:rPr>
        <w:t>systematic</w:t>
      </w:r>
      <w:proofErr w:type="spellEnd"/>
      <w:r w:rsidRPr="00BA7875">
        <w:rPr>
          <w:iCs/>
          <w:szCs w:val="18"/>
        </w:rPr>
        <w:t xml:space="preserve"> </w:t>
      </w:r>
      <w:proofErr w:type="spellStart"/>
      <w:r w:rsidRPr="00BA7875">
        <w:rPr>
          <w:iCs/>
          <w:szCs w:val="18"/>
        </w:rPr>
        <w:t>review</w:t>
      </w:r>
      <w:proofErr w:type="spellEnd"/>
      <w:r w:rsidRPr="00BA7875">
        <w:rPr>
          <w:iCs/>
          <w:szCs w:val="18"/>
        </w:rPr>
        <w:t xml:space="preserve"> </w:t>
      </w:r>
      <w:proofErr w:type="spellStart"/>
      <w:r w:rsidRPr="00BA7875">
        <w:rPr>
          <w:iCs/>
          <w:szCs w:val="18"/>
        </w:rPr>
        <w:t>of</w:t>
      </w:r>
      <w:proofErr w:type="spellEnd"/>
      <w:r w:rsidRPr="00BA7875">
        <w:rPr>
          <w:iCs/>
          <w:szCs w:val="18"/>
        </w:rPr>
        <w:t xml:space="preserve"> INVIAS Bidding </w:t>
      </w:r>
      <w:proofErr w:type="spellStart"/>
      <w:r w:rsidRPr="00BA7875">
        <w:rPr>
          <w:iCs/>
          <w:szCs w:val="18"/>
        </w:rPr>
        <w:t>Documents</w:t>
      </w:r>
      <w:proofErr w:type="spellEnd"/>
      <w:r w:rsidRPr="00BA7875">
        <w:rPr>
          <w:iCs/>
          <w:szCs w:val="18"/>
        </w:rPr>
        <w:t xml:space="preserve">, </w:t>
      </w:r>
      <w:proofErr w:type="spellStart"/>
      <w:r w:rsidRPr="00BA7875">
        <w:rPr>
          <w:iCs/>
          <w:szCs w:val="18"/>
        </w:rPr>
        <w:t>which</w:t>
      </w:r>
      <w:proofErr w:type="spellEnd"/>
      <w:r w:rsidRPr="00BA7875">
        <w:rPr>
          <w:iCs/>
          <w:szCs w:val="18"/>
        </w:rPr>
        <w:t xml:space="preserve"> </w:t>
      </w:r>
      <w:proofErr w:type="spellStart"/>
      <w:r w:rsidRPr="00BA7875">
        <w:rPr>
          <w:iCs/>
          <w:szCs w:val="18"/>
        </w:rPr>
        <w:t>establish</w:t>
      </w:r>
      <w:proofErr w:type="spellEnd"/>
      <w:r w:rsidRPr="00BA7875">
        <w:rPr>
          <w:iCs/>
          <w:szCs w:val="18"/>
        </w:rPr>
        <w:t xml:space="preserve"> </w:t>
      </w:r>
      <w:proofErr w:type="spellStart"/>
      <w:r w:rsidRPr="00BA7875">
        <w:rPr>
          <w:iCs/>
          <w:szCs w:val="18"/>
        </w:rPr>
        <w:t>mandatory</w:t>
      </w:r>
      <w:proofErr w:type="spellEnd"/>
      <w:r w:rsidRPr="00BA7875">
        <w:rPr>
          <w:iCs/>
          <w:szCs w:val="18"/>
        </w:rPr>
        <w:t xml:space="preserve"> </w:t>
      </w:r>
      <w:proofErr w:type="spellStart"/>
      <w:r w:rsidRPr="00BA7875">
        <w:rPr>
          <w:iCs/>
          <w:szCs w:val="18"/>
        </w:rPr>
        <w:t>environmental</w:t>
      </w:r>
      <w:proofErr w:type="spellEnd"/>
      <w:r w:rsidRPr="00BA7875">
        <w:rPr>
          <w:iCs/>
          <w:szCs w:val="18"/>
        </w:rPr>
        <w:t xml:space="preserve">, social, and </w:t>
      </w:r>
      <w:proofErr w:type="spellStart"/>
      <w:r w:rsidRPr="00BA7875">
        <w:rPr>
          <w:iCs/>
          <w:szCs w:val="18"/>
        </w:rPr>
        <w:t>economic</w:t>
      </w:r>
      <w:proofErr w:type="spellEnd"/>
      <w:r w:rsidRPr="00BA7875">
        <w:rPr>
          <w:iCs/>
          <w:szCs w:val="18"/>
        </w:rPr>
        <w:t xml:space="preserve"> </w:t>
      </w:r>
      <w:proofErr w:type="spellStart"/>
      <w:r w:rsidRPr="00BA7875">
        <w:rPr>
          <w:iCs/>
          <w:szCs w:val="18"/>
        </w:rPr>
        <w:t>sustainability</w:t>
      </w:r>
      <w:proofErr w:type="spellEnd"/>
      <w:r w:rsidRPr="00BA7875">
        <w:rPr>
          <w:iCs/>
          <w:szCs w:val="18"/>
        </w:rPr>
        <w:t xml:space="preserve"> </w:t>
      </w:r>
      <w:proofErr w:type="spellStart"/>
      <w:r w:rsidRPr="00BA7875">
        <w:rPr>
          <w:iCs/>
          <w:szCs w:val="18"/>
        </w:rPr>
        <w:t>criteria</w:t>
      </w:r>
      <w:proofErr w:type="spellEnd"/>
      <w:r w:rsidRPr="00BA7875">
        <w:rPr>
          <w:iCs/>
          <w:szCs w:val="18"/>
        </w:rPr>
        <w:t xml:space="preserve">. The </w:t>
      </w:r>
      <w:proofErr w:type="spellStart"/>
      <w:r w:rsidRPr="00BA7875">
        <w:rPr>
          <w:iCs/>
          <w:szCs w:val="18"/>
        </w:rPr>
        <w:t>findings</w:t>
      </w:r>
      <w:proofErr w:type="spellEnd"/>
      <w:r w:rsidRPr="00BA7875">
        <w:rPr>
          <w:iCs/>
          <w:szCs w:val="18"/>
        </w:rPr>
        <w:t xml:space="preserve"> </w:t>
      </w:r>
      <w:proofErr w:type="spellStart"/>
      <w:r w:rsidRPr="00BA7875">
        <w:rPr>
          <w:iCs/>
          <w:szCs w:val="18"/>
        </w:rPr>
        <w:t>demonstrate</w:t>
      </w:r>
      <w:proofErr w:type="spellEnd"/>
      <w:r w:rsidRPr="00BA7875">
        <w:rPr>
          <w:iCs/>
          <w:szCs w:val="18"/>
        </w:rPr>
        <w:t xml:space="preserve"> </w:t>
      </w:r>
      <w:proofErr w:type="spellStart"/>
      <w:r w:rsidRPr="00BA7875">
        <w:rPr>
          <w:iCs/>
          <w:szCs w:val="18"/>
        </w:rPr>
        <w:t>that</w:t>
      </w:r>
      <w:proofErr w:type="spellEnd"/>
      <w:r w:rsidRPr="00BA7875">
        <w:rPr>
          <w:iCs/>
          <w:szCs w:val="18"/>
        </w:rPr>
        <w:t xml:space="preserve"> training </w:t>
      </w:r>
      <w:proofErr w:type="spellStart"/>
      <w:r w:rsidRPr="00BA7875">
        <w:rPr>
          <w:iCs/>
          <w:szCs w:val="18"/>
        </w:rPr>
        <w:t>transcends</w:t>
      </w:r>
      <w:proofErr w:type="spellEnd"/>
      <w:r w:rsidRPr="00BA7875">
        <w:rPr>
          <w:iCs/>
          <w:szCs w:val="18"/>
        </w:rPr>
        <w:t xml:space="preserve"> </w:t>
      </w:r>
      <w:proofErr w:type="spellStart"/>
      <w:r w:rsidRPr="00BA7875">
        <w:rPr>
          <w:iCs/>
          <w:szCs w:val="18"/>
        </w:rPr>
        <w:t>technical</w:t>
      </w:r>
      <w:proofErr w:type="spellEnd"/>
      <w:r w:rsidRPr="00BA7875">
        <w:rPr>
          <w:iCs/>
          <w:szCs w:val="18"/>
        </w:rPr>
        <w:t xml:space="preserve"> </w:t>
      </w:r>
      <w:proofErr w:type="spellStart"/>
      <w:r w:rsidRPr="00BA7875">
        <w:rPr>
          <w:iCs/>
          <w:szCs w:val="18"/>
        </w:rPr>
        <w:t>instruction</w:t>
      </w:r>
      <w:proofErr w:type="spellEnd"/>
      <w:r w:rsidRPr="00BA7875">
        <w:rPr>
          <w:iCs/>
          <w:szCs w:val="18"/>
        </w:rPr>
        <w:t xml:space="preserve"> and </w:t>
      </w:r>
      <w:proofErr w:type="spellStart"/>
      <w:r w:rsidRPr="00BA7875">
        <w:rPr>
          <w:iCs/>
          <w:szCs w:val="18"/>
        </w:rPr>
        <w:t>functions</w:t>
      </w:r>
      <w:proofErr w:type="spellEnd"/>
      <w:r w:rsidRPr="00BA7875">
        <w:rPr>
          <w:iCs/>
          <w:szCs w:val="18"/>
        </w:rPr>
        <w:t xml:space="preserve"> as a </w:t>
      </w:r>
      <w:proofErr w:type="spellStart"/>
      <w:r w:rsidRPr="00BA7875">
        <w:rPr>
          <w:iCs/>
          <w:szCs w:val="18"/>
        </w:rPr>
        <w:t>Corporate</w:t>
      </w:r>
      <w:proofErr w:type="spellEnd"/>
      <w:r w:rsidRPr="00BA7875">
        <w:rPr>
          <w:iCs/>
          <w:szCs w:val="18"/>
        </w:rPr>
        <w:t xml:space="preserve"> Social </w:t>
      </w:r>
      <w:proofErr w:type="spellStart"/>
      <w:r w:rsidRPr="00BA7875">
        <w:rPr>
          <w:iCs/>
          <w:szCs w:val="18"/>
        </w:rPr>
        <w:t>Responsibility</w:t>
      </w:r>
      <w:proofErr w:type="spellEnd"/>
      <w:r w:rsidRPr="00BA7875">
        <w:rPr>
          <w:iCs/>
          <w:szCs w:val="18"/>
        </w:rPr>
        <w:t xml:space="preserve"> </w:t>
      </w:r>
      <w:proofErr w:type="spellStart"/>
      <w:r w:rsidRPr="00BA7875">
        <w:rPr>
          <w:iCs/>
          <w:szCs w:val="18"/>
        </w:rPr>
        <w:t>mechanism</w:t>
      </w:r>
      <w:proofErr w:type="spellEnd"/>
      <w:r w:rsidRPr="00BA7875">
        <w:rPr>
          <w:iCs/>
          <w:szCs w:val="18"/>
        </w:rPr>
        <w:t xml:space="preserve">, </w:t>
      </w:r>
      <w:proofErr w:type="spellStart"/>
      <w:r w:rsidRPr="00BA7875">
        <w:rPr>
          <w:iCs/>
          <w:szCs w:val="18"/>
        </w:rPr>
        <w:t>integrating</w:t>
      </w:r>
      <w:proofErr w:type="spellEnd"/>
      <w:r w:rsidRPr="00BA7875">
        <w:rPr>
          <w:iCs/>
          <w:szCs w:val="18"/>
        </w:rPr>
        <w:t xml:space="preserve"> </w:t>
      </w:r>
      <w:proofErr w:type="spellStart"/>
      <w:r w:rsidRPr="00BA7875">
        <w:rPr>
          <w:iCs/>
          <w:szCs w:val="18"/>
        </w:rPr>
        <w:t>waste</w:t>
      </w:r>
      <w:proofErr w:type="spellEnd"/>
      <w:r w:rsidRPr="00BA7875">
        <w:rPr>
          <w:iCs/>
          <w:szCs w:val="18"/>
        </w:rPr>
        <w:t xml:space="preserve"> </w:t>
      </w:r>
      <w:proofErr w:type="spellStart"/>
      <w:r w:rsidRPr="00BA7875">
        <w:rPr>
          <w:iCs/>
          <w:szCs w:val="18"/>
        </w:rPr>
        <w:t>management</w:t>
      </w:r>
      <w:proofErr w:type="spellEnd"/>
      <w:r w:rsidRPr="00BA7875">
        <w:rPr>
          <w:iCs/>
          <w:szCs w:val="18"/>
        </w:rPr>
        <w:t xml:space="preserve">, </w:t>
      </w:r>
      <w:proofErr w:type="spellStart"/>
      <w:r w:rsidRPr="00BA7875">
        <w:rPr>
          <w:iCs/>
          <w:szCs w:val="18"/>
        </w:rPr>
        <w:t>community</w:t>
      </w:r>
      <w:proofErr w:type="spellEnd"/>
      <w:r w:rsidRPr="00BA7875">
        <w:rPr>
          <w:iCs/>
          <w:szCs w:val="18"/>
        </w:rPr>
        <w:t xml:space="preserve"> </w:t>
      </w:r>
      <w:proofErr w:type="spellStart"/>
      <w:r w:rsidRPr="00BA7875">
        <w:rPr>
          <w:iCs/>
          <w:szCs w:val="18"/>
        </w:rPr>
        <w:t>participation</w:t>
      </w:r>
      <w:proofErr w:type="spellEnd"/>
      <w:r w:rsidRPr="00BA7875">
        <w:rPr>
          <w:iCs/>
          <w:szCs w:val="18"/>
        </w:rPr>
        <w:t xml:space="preserve">, </w:t>
      </w:r>
      <w:proofErr w:type="spellStart"/>
      <w:r w:rsidRPr="00BA7875">
        <w:rPr>
          <w:iCs/>
          <w:szCs w:val="18"/>
        </w:rPr>
        <w:t>equity</w:t>
      </w:r>
      <w:proofErr w:type="spellEnd"/>
      <w:r w:rsidRPr="00BA7875">
        <w:rPr>
          <w:iCs/>
          <w:szCs w:val="18"/>
        </w:rPr>
        <w:t xml:space="preserve">, and </w:t>
      </w:r>
      <w:proofErr w:type="spellStart"/>
      <w:r w:rsidRPr="00BA7875">
        <w:rPr>
          <w:iCs/>
          <w:szCs w:val="18"/>
        </w:rPr>
        <w:t>the</w:t>
      </w:r>
      <w:proofErr w:type="spellEnd"/>
      <w:r w:rsidRPr="00BA7875">
        <w:rPr>
          <w:iCs/>
          <w:szCs w:val="18"/>
        </w:rPr>
        <w:t xml:space="preserve"> </w:t>
      </w:r>
      <w:proofErr w:type="spellStart"/>
      <w:r w:rsidRPr="00BA7875">
        <w:rPr>
          <w:iCs/>
          <w:szCs w:val="18"/>
        </w:rPr>
        <w:t>promotion</w:t>
      </w:r>
      <w:proofErr w:type="spellEnd"/>
      <w:r w:rsidRPr="00BA7875">
        <w:rPr>
          <w:iCs/>
          <w:szCs w:val="18"/>
        </w:rPr>
        <w:t xml:space="preserve"> </w:t>
      </w:r>
      <w:proofErr w:type="spellStart"/>
      <w:r w:rsidRPr="00BA7875">
        <w:rPr>
          <w:iCs/>
          <w:szCs w:val="18"/>
        </w:rPr>
        <w:t>of</w:t>
      </w:r>
      <w:proofErr w:type="spellEnd"/>
      <w:r w:rsidRPr="00BA7875">
        <w:rPr>
          <w:iCs/>
          <w:szCs w:val="18"/>
        </w:rPr>
        <w:t xml:space="preserve"> local </w:t>
      </w:r>
      <w:proofErr w:type="spellStart"/>
      <w:r w:rsidRPr="00BA7875">
        <w:rPr>
          <w:iCs/>
          <w:szCs w:val="18"/>
        </w:rPr>
        <w:t>hiring</w:t>
      </w:r>
      <w:proofErr w:type="spellEnd"/>
      <w:r w:rsidRPr="00BA7875">
        <w:rPr>
          <w:iCs/>
          <w:szCs w:val="18"/>
        </w:rPr>
        <w:t xml:space="preserve">. </w:t>
      </w:r>
      <w:proofErr w:type="spellStart"/>
      <w:r w:rsidRPr="00BA7875">
        <w:rPr>
          <w:iCs/>
          <w:szCs w:val="18"/>
        </w:rPr>
        <w:t>However</w:t>
      </w:r>
      <w:proofErr w:type="spellEnd"/>
      <w:r w:rsidRPr="00BA7875">
        <w:rPr>
          <w:iCs/>
          <w:szCs w:val="18"/>
        </w:rPr>
        <w:t xml:space="preserve">, </w:t>
      </w:r>
      <w:proofErr w:type="spellStart"/>
      <w:r w:rsidRPr="00BA7875">
        <w:rPr>
          <w:iCs/>
          <w:szCs w:val="18"/>
        </w:rPr>
        <w:t>limitations</w:t>
      </w:r>
      <w:proofErr w:type="spellEnd"/>
      <w:r w:rsidRPr="00BA7875">
        <w:rPr>
          <w:iCs/>
          <w:szCs w:val="18"/>
        </w:rPr>
        <w:t xml:space="preserve"> </w:t>
      </w:r>
      <w:proofErr w:type="spellStart"/>
      <w:r w:rsidRPr="00BA7875">
        <w:rPr>
          <w:iCs/>
          <w:szCs w:val="18"/>
        </w:rPr>
        <w:t>were</w:t>
      </w:r>
      <w:proofErr w:type="spellEnd"/>
      <w:r w:rsidRPr="00BA7875">
        <w:rPr>
          <w:iCs/>
          <w:szCs w:val="18"/>
        </w:rPr>
        <w:t xml:space="preserve"> </w:t>
      </w:r>
      <w:proofErr w:type="spellStart"/>
      <w:r w:rsidRPr="00BA7875">
        <w:rPr>
          <w:iCs/>
          <w:szCs w:val="18"/>
        </w:rPr>
        <w:t>identified</w:t>
      </w:r>
      <w:proofErr w:type="spellEnd"/>
      <w:r w:rsidRPr="00BA7875">
        <w:rPr>
          <w:iCs/>
          <w:szCs w:val="18"/>
        </w:rPr>
        <w:t xml:space="preserve">, </w:t>
      </w:r>
      <w:proofErr w:type="spellStart"/>
      <w:r w:rsidRPr="00BA7875">
        <w:rPr>
          <w:iCs/>
          <w:szCs w:val="18"/>
        </w:rPr>
        <w:t>such</w:t>
      </w:r>
      <w:proofErr w:type="spellEnd"/>
      <w:r w:rsidRPr="00BA7875">
        <w:rPr>
          <w:iCs/>
          <w:szCs w:val="18"/>
        </w:rPr>
        <w:t xml:space="preserve"> as </w:t>
      </w:r>
      <w:proofErr w:type="spellStart"/>
      <w:r w:rsidRPr="00BA7875">
        <w:rPr>
          <w:iCs/>
          <w:szCs w:val="18"/>
        </w:rPr>
        <w:t>the</w:t>
      </w:r>
      <w:proofErr w:type="spellEnd"/>
      <w:r w:rsidRPr="00BA7875">
        <w:rPr>
          <w:iCs/>
          <w:szCs w:val="18"/>
        </w:rPr>
        <w:t xml:space="preserve"> </w:t>
      </w:r>
      <w:proofErr w:type="spellStart"/>
      <w:r w:rsidRPr="00BA7875">
        <w:rPr>
          <w:iCs/>
          <w:szCs w:val="18"/>
        </w:rPr>
        <w:t>lack</w:t>
      </w:r>
      <w:proofErr w:type="spellEnd"/>
      <w:r w:rsidRPr="00BA7875">
        <w:rPr>
          <w:iCs/>
          <w:szCs w:val="18"/>
        </w:rPr>
        <w:t xml:space="preserve"> </w:t>
      </w:r>
      <w:proofErr w:type="spellStart"/>
      <w:r w:rsidRPr="00BA7875">
        <w:rPr>
          <w:iCs/>
          <w:szCs w:val="18"/>
        </w:rPr>
        <w:t>of</w:t>
      </w:r>
      <w:proofErr w:type="spellEnd"/>
      <w:r w:rsidRPr="00BA7875">
        <w:rPr>
          <w:iCs/>
          <w:szCs w:val="18"/>
        </w:rPr>
        <w:t xml:space="preserve"> </w:t>
      </w:r>
      <w:proofErr w:type="spellStart"/>
      <w:r w:rsidRPr="00BA7875">
        <w:rPr>
          <w:iCs/>
          <w:szCs w:val="18"/>
        </w:rPr>
        <w:t>differentiated</w:t>
      </w:r>
      <w:proofErr w:type="spellEnd"/>
      <w:r w:rsidRPr="00BA7875">
        <w:rPr>
          <w:iCs/>
          <w:szCs w:val="18"/>
        </w:rPr>
        <w:t xml:space="preserve"> training </w:t>
      </w:r>
      <w:proofErr w:type="spellStart"/>
      <w:r w:rsidRPr="00BA7875">
        <w:rPr>
          <w:iCs/>
          <w:szCs w:val="18"/>
        </w:rPr>
        <w:t>programs</w:t>
      </w:r>
      <w:proofErr w:type="spellEnd"/>
      <w:r w:rsidRPr="00BA7875">
        <w:rPr>
          <w:iCs/>
          <w:szCs w:val="18"/>
        </w:rPr>
        <w:t xml:space="preserve"> </w:t>
      </w:r>
      <w:proofErr w:type="spellStart"/>
      <w:r w:rsidRPr="00BA7875">
        <w:rPr>
          <w:iCs/>
          <w:szCs w:val="18"/>
        </w:rPr>
        <w:t>for</w:t>
      </w:r>
      <w:proofErr w:type="spellEnd"/>
      <w:r w:rsidRPr="00BA7875">
        <w:rPr>
          <w:iCs/>
          <w:szCs w:val="18"/>
        </w:rPr>
        <w:t xml:space="preserve"> </w:t>
      </w:r>
      <w:proofErr w:type="spellStart"/>
      <w:r w:rsidRPr="00BA7875">
        <w:rPr>
          <w:iCs/>
          <w:szCs w:val="18"/>
        </w:rPr>
        <w:t>populations</w:t>
      </w:r>
      <w:proofErr w:type="spellEnd"/>
      <w:r w:rsidRPr="00BA7875">
        <w:rPr>
          <w:iCs/>
          <w:szCs w:val="18"/>
        </w:rPr>
        <w:t xml:space="preserve"> in </w:t>
      </w:r>
      <w:proofErr w:type="spellStart"/>
      <w:r w:rsidRPr="00BA7875">
        <w:rPr>
          <w:iCs/>
          <w:szCs w:val="18"/>
        </w:rPr>
        <w:lastRenderedPageBreak/>
        <w:t>the</w:t>
      </w:r>
      <w:proofErr w:type="spellEnd"/>
      <w:r w:rsidRPr="00BA7875">
        <w:rPr>
          <w:iCs/>
          <w:szCs w:val="18"/>
        </w:rPr>
        <w:t xml:space="preserve"> </w:t>
      </w:r>
      <w:proofErr w:type="spellStart"/>
      <w:r w:rsidRPr="00BA7875">
        <w:rPr>
          <w:iCs/>
          <w:szCs w:val="18"/>
        </w:rPr>
        <w:t>process</w:t>
      </w:r>
      <w:proofErr w:type="spellEnd"/>
      <w:r w:rsidRPr="00BA7875">
        <w:rPr>
          <w:iCs/>
          <w:szCs w:val="18"/>
        </w:rPr>
        <w:t xml:space="preserve"> </w:t>
      </w:r>
      <w:proofErr w:type="spellStart"/>
      <w:r w:rsidRPr="00BA7875">
        <w:rPr>
          <w:iCs/>
          <w:szCs w:val="18"/>
        </w:rPr>
        <w:t>of</w:t>
      </w:r>
      <w:proofErr w:type="spellEnd"/>
      <w:r w:rsidRPr="00BA7875">
        <w:rPr>
          <w:iCs/>
          <w:szCs w:val="18"/>
        </w:rPr>
        <w:t xml:space="preserve"> </w:t>
      </w:r>
      <w:proofErr w:type="spellStart"/>
      <w:r w:rsidRPr="00BA7875">
        <w:rPr>
          <w:iCs/>
          <w:szCs w:val="18"/>
        </w:rPr>
        <w:t>reincorporation</w:t>
      </w:r>
      <w:proofErr w:type="spellEnd"/>
      <w:r w:rsidRPr="00BA7875">
        <w:rPr>
          <w:iCs/>
          <w:szCs w:val="18"/>
        </w:rPr>
        <w:t xml:space="preserve"> and </w:t>
      </w:r>
      <w:proofErr w:type="spellStart"/>
      <w:r w:rsidRPr="00BA7875">
        <w:rPr>
          <w:iCs/>
          <w:szCs w:val="18"/>
        </w:rPr>
        <w:t>the</w:t>
      </w:r>
      <w:proofErr w:type="spellEnd"/>
      <w:r w:rsidRPr="00BA7875">
        <w:rPr>
          <w:iCs/>
          <w:szCs w:val="18"/>
        </w:rPr>
        <w:t xml:space="preserve"> </w:t>
      </w:r>
      <w:proofErr w:type="spellStart"/>
      <w:r w:rsidRPr="00BA7875">
        <w:rPr>
          <w:iCs/>
          <w:szCs w:val="18"/>
        </w:rPr>
        <w:t>absence</w:t>
      </w:r>
      <w:proofErr w:type="spellEnd"/>
      <w:r w:rsidRPr="00BA7875">
        <w:rPr>
          <w:iCs/>
          <w:szCs w:val="18"/>
        </w:rPr>
        <w:t xml:space="preserve"> </w:t>
      </w:r>
      <w:proofErr w:type="spellStart"/>
      <w:r w:rsidRPr="00BA7875">
        <w:rPr>
          <w:iCs/>
          <w:szCs w:val="18"/>
        </w:rPr>
        <w:t>of</w:t>
      </w:r>
      <w:proofErr w:type="spellEnd"/>
      <w:r w:rsidRPr="00BA7875">
        <w:rPr>
          <w:iCs/>
          <w:szCs w:val="18"/>
        </w:rPr>
        <w:t xml:space="preserve"> </w:t>
      </w:r>
      <w:proofErr w:type="spellStart"/>
      <w:r w:rsidRPr="00BA7875">
        <w:rPr>
          <w:iCs/>
          <w:szCs w:val="18"/>
        </w:rPr>
        <w:t>evaluation</w:t>
      </w:r>
      <w:proofErr w:type="spellEnd"/>
      <w:r w:rsidRPr="00BA7875">
        <w:rPr>
          <w:iCs/>
          <w:szCs w:val="18"/>
        </w:rPr>
        <w:t xml:space="preserve"> </w:t>
      </w:r>
      <w:proofErr w:type="spellStart"/>
      <w:r w:rsidRPr="00BA7875">
        <w:rPr>
          <w:iCs/>
          <w:szCs w:val="18"/>
        </w:rPr>
        <w:t>systems</w:t>
      </w:r>
      <w:proofErr w:type="spellEnd"/>
      <w:r w:rsidRPr="00BA7875">
        <w:rPr>
          <w:iCs/>
          <w:szCs w:val="18"/>
        </w:rPr>
        <w:t xml:space="preserve"> </w:t>
      </w:r>
      <w:proofErr w:type="spellStart"/>
      <w:r w:rsidRPr="00BA7875">
        <w:rPr>
          <w:iCs/>
          <w:szCs w:val="18"/>
        </w:rPr>
        <w:t>to</w:t>
      </w:r>
      <w:proofErr w:type="spellEnd"/>
      <w:r w:rsidRPr="00BA7875">
        <w:rPr>
          <w:iCs/>
          <w:szCs w:val="18"/>
        </w:rPr>
        <w:t xml:space="preserve"> </w:t>
      </w:r>
      <w:proofErr w:type="spellStart"/>
      <w:r w:rsidRPr="00BA7875">
        <w:rPr>
          <w:iCs/>
          <w:szCs w:val="18"/>
        </w:rPr>
        <w:t>rigorously</w:t>
      </w:r>
      <w:proofErr w:type="spellEnd"/>
      <w:r w:rsidRPr="00BA7875">
        <w:rPr>
          <w:iCs/>
          <w:szCs w:val="18"/>
        </w:rPr>
        <w:t xml:space="preserve"> </w:t>
      </w:r>
      <w:proofErr w:type="spellStart"/>
      <w:r w:rsidRPr="00BA7875">
        <w:rPr>
          <w:iCs/>
          <w:szCs w:val="18"/>
        </w:rPr>
        <w:t>measure</w:t>
      </w:r>
      <w:proofErr w:type="spellEnd"/>
      <w:r w:rsidRPr="00BA7875">
        <w:rPr>
          <w:iCs/>
          <w:szCs w:val="18"/>
        </w:rPr>
        <w:t xml:space="preserve"> </w:t>
      </w:r>
      <w:proofErr w:type="spellStart"/>
      <w:r w:rsidRPr="00BA7875">
        <w:rPr>
          <w:iCs/>
          <w:szCs w:val="18"/>
        </w:rPr>
        <w:t>the</w:t>
      </w:r>
      <w:proofErr w:type="spellEnd"/>
      <w:r w:rsidRPr="00BA7875">
        <w:rPr>
          <w:iCs/>
          <w:szCs w:val="18"/>
        </w:rPr>
        <w:t xml:space="preserve"> </w:t>
      </w:r>
      <w:proofErr w:type="spellStart"/>
      <w:r w:rsidRPr="00BA7875">
        <w:rPr>
          <w:iCs/>
          <w:szCs w:val="18"/>
        </w:rPr>
        <w:t>impact</w:t>
      </w:r>
      <w:proofErr w:type="spellEnd"/>
      <w:r w:rsidRPr="00BA7875">
        <w:rPr>
          <w:iCs/>
          <w:szCs w:val="18"/>
        </w:rPr>
        <w:t xml:space="preserve"> </w:t>
      </w:r>
      <w:proofErr w:type="spellStart"/>
      <w:r w:rsidRPr="00BA7875">
        <w:rPr>
          <w:iCs/>
          <w:szCs w:val="18"/>
        </w:rPr>
        <w:t>of</w:t>
      </w:r>
      <w:proofErr w:type="spellEnd"/>
      <w:r w:rsidRPr="00BA7875">
        <w:rPr>
          <w:iCs/>
          <w:szCs w:val="18"/>
        </w:rPr>
        <w:t xml:space="preserve"> training </w:t>
      </w:r>
      <w:proofErr w:type="spellStart"/>
      <w:r w:rsidRPr="00BA7875">
        <w:rPr>
          <w:iCs/>
          <w:szCs w:val="18"/>
        </w:rPr>
        <w:t>on</w:t>
      </w:r>
      <w:proofErr w:type="spellEnd"/>
      <w:r w:rsidRPr="00BA7875">
        <w:rPr>
          <w:iCs/>
          <w:szCs w:val="18"/>
        </w:rPr>
        <w:t xml:space="preserve"> </w:t>
      </w:r>
      <w:proofErr w:type="spellStart"/>
      <w:r w:rsidRPr="00BA7875">
        <w:rPr>
          <w:iCs/>
          <w:szCs w:val="18"/>
        </w:rPr>
        <w:t>sustainability</w:t>
      </w:r>
      <w:proofErr w:type="spellEnd"/>
      <w:r w:rsidRPr="00BA7875">
        <w:rPr>
          <w:iCs/>
          <w:szCs w:val="18"/>
        </w:rPr>
        <w:t xml:space="preserve">. </w:t>
      </w:r>
      <w:proofErr w:type="spellStart"/>
      <w:r w:rsidRPr="00BA7875">
        <w:rPr>
          <w:iCs/>
          <w:szCs w:val="18"/>
        </w:rPr>
        <w:t>Collectively</w:t>
      </w:r>
      <w:proofErr w:type="spellEnd"/>
      <w:r w:rsidRPr="00BA7875">
        <w:rPr>
          <w:iCs/>
          <w:szCs w:val="18"/>
        </w:rPr>
        <w:t xml:space="preserve">, training </w:t>
      </w:r>
      <w:proofErr w:type="spellStart"/>
      <w:r w:rsidRPr="00BA7875">
        <w:rPr>
          <w:iCs/>
          <w:szCs w:val="18"/>
        </w:rPr>
        <w:t>is</w:t>
      </w:r>
      <w:proofErr w:type="spellEnd"/>
      <w:r w:rsidRPr="00BA7875">
        <w:rPr>
          <w:iCs/>
          <w:szCs w:val="18"/>
        </w:rPr>
        <w:t xml:space="preserve"> </w:t>
      </w:r>
      <w:proofErr w:type="spellStart"/>
      <w:r w:rsidRPr="00BA7875">
        <w:rPr>
          <w:iCs/>
          <w:szCs w:val="18"/>
        </w:rPr>
        <w:t>configured</w:t>
      </w:r>
      <w:proofErr w:type="spellEnd"/>
      <w:r w:rsidRPr="00BA7875">
        <w:rPr>
          <w:iCs/>
          <w:szCs w:val="18"/>
        </w:rPr>
        <w:t xml:space="preserve"> as a vector </w:t>
      </w:r>
      <w:proofErr w:type="spellStart"/>
      <w:r w:rsidRPr="00BA7875">
        <w:rPr>
          <w:iCs/>
          <w:szCs w:val="18"/>
        </w:rPr>
        <w:t>for</w:t>
      </w:r>
      <w:proofErr w:type="spellEnd"/>
      <w:r w:rsidRPr="00BA7875">
        <w:rPr>
          <w:iCs/>
          <w:szCs w:val="18"/>
        </w:rPr>
        <w:t xml:space="preserve"> </w:t>
      </w:r>
      <w:proofErr w:type="spellStart"/>
      <w:r w:rsidRPr="00BA7875">
        <w:rPr>
          <w:iCs/>
          <w:szCs w:val="18"/>
        </w:rPr>
        <w:t>sustainable</w:t>
      </w:r>
      <w:proofErr w:type="spellEnd"/>
      <w:r w:rsidRPr="00BA7875">
        <w:rPr>
          <w:iCs/>
          <w:szCs w:val="18"/>
        </w:rPr>
        <w:t xml:space="preserve"> human </w:t>
      </w:r>
      <w:proofErr w:type="spellStart"/>
      <w:r w:rsidRPr="00BA7875">
        <w:rPr>
          <w:iCs/>
          <w:szCs w:val="18"/>
        </w:rPr>
        <w:t>development</w:t>
      </w:r>
      <w:proofErr w:type="spellEnd"/>
      <w:r w:rsidRPr="00BA7875">
        <w:rPr>
          <w:iCs/>
          <w:szCs w:val="18"/>
        </w:rPr>
        <w:t xml:space="preserve"> </w:t>
      </w:r>
      <w:proofErr w:type="spellStart"/>
      <w:r w:rsidRPr="00BA7875">
        <w:rPr>
          <w:iCs/>
          <w:szCs w:val="18"/>
        </w:rPr>
        <w:t>that</w:t>
      </w:r>
      <w:proofErr w:type="spellEnd"/>
      <w:r w:rsidRPr="00BA7875">
        <w:rPr>
          <w:iCs/>
          <w:szCs w:val="18"/>
        </w:rPr>
        <w:t xml:space="preserve"> </w:t>
      </w:r>
      <w:proofErr w:type="spellStart"/>
      <w:r w:rsidRPr="00BA7875">
        <w:rPr>
          <w:iCs/>
          <w:szCs w:val="18"/>
        </w:rPr>
        <w:t>strengthens</w:t>
      </w:r>
      <w:proofErr w:type="spellEnd"/>
      <w:r w:rsidRPr="00BA7875">
        <w:rPr>
          <w:iCs/>
          <w:szCs w:val="18"/>
        </w:rPr>
        <w:t xml:space="preserve"> social </w:t>
      </w:r>
      <w:proofErr w:type="spellStart"/>
      <w:r w:rsidRPr="00BA7875">
        <w:rPr>
          <w:iCs/>
          <w:szCs w:val="18"/>
        </w:rPr>
        <w:t>legitimacy</w:t>
      </w:r>
      <w:proofErr w:type="spellEnd"/>
      <w:r w:rsidRPr="00BA7875">
        <w:rPr>
          <w:iCs/>
          <w:szCs w:val="18"/>
        </w:rPr>
        <w:t xml:space="preserve">, </w:t>
      </w:r>
      <w:proofErr w:type="spellStart"/>
      <w:r w:rsidRPr="00BA7875">
        <w:rPr>
          <w:iCs/>
          <w:szCs w:val="18"/>
        </w:rPr>
        <w:t>generates</w:t>
      </w:r>
      <w:proofErr w:type="spellEnd"/>
      <w:r w:rsidRPr="00BA7875">
        <w:rPr>
          <w:iCs/>
          <w:szCs w:val="18"/>
        </w:rPr>
        <w:t xml:space="preserve"> </w:t>
      </w:r>
      <w:proofErr w:type="spellStart"/>
      <w:r w:rsidRPr="00BA7875">
        <w:rPr>
          <w:iCs/>
          <w:szCs w:val="18"/>
        </w:rPr>
        <w:t>shared</w:t>
      </w:r>
      <w:proofErr w:type="spellEnd"/>
      <w:r w:rsidRPr="00BA7875">
        <w:rPr>
          <w:iCs/>
          <w:szCs w:val="18"/>
        </w:rPr>
        <w:t xml:space="preserve"> </w:t>
      </w:r>
      <w:proofErr w:type="spellStart"/>
      <w:r w:rsidRPr="00BA7875">
        <w:rPr>
          <w:iCs/>
          <w:szCs w:val="18"/>
        </w:rPr>
        <w:t>value</w:t>
      </w:r>
      <w:proofErr w:type="spellEnd"/>
      <w:r w:rsidRPr="00BA7875">
        <w:rPr>
          <w:iCs/>
          <w:szCs w:val="18"/>
        </w:rPr>
        <w:t xml:space="preserve">, and </w:t>
      </w:r>
      <w:proofErr w:type="spellStart"/>
      <w:r w:rsidRPr="00BA7875">
        <w:rPr>
          <w:iCs/>
          <w:szCs w:val="18"/>
        </w:rPr>
        <w:t>contributes</w:t>
      </w:r>
      <w:proofErr w:type="spellEnd"/>
      <w:r w:rsidRPr="00BA7875">
        <w:rPr>
          <w:iCs/>
          <w:szCs w:val="18"/>
        </w:rPr>
        <w:t xml:space="preserve"> to territorial </w:t>
      </w:r>
      <w:proofErr w:type="spellStart"/>
      <w:r w:rsidRPr="00BA7875">
        <w:rPr>
          <w:iCs/>
          <w:szCs w:val="18"/>
        </w:rPr>
        <w:t>sustainability</w:t>
      </w:r>
      <w:proofErr w:type="spellEnd"/>
      <w:r w:rsidRPr="00BA7875">
        <w:rPr>
          <w:iCs/>
          <w:szCs w:val="18"/>
        </w:rPr>
        <w:t xml:space="preserve">. </w:t>
      </w:r>
      <w:proofErr w:type="spellStart"/>
      <w:r w:rsidRPr="00BA7875">
        <w:rPr>
          <w:iCs/>
          <w:szCs w:val="18"/>
        </w:rPr>
        <w:t>Finally</w:t>
      </w:r>
      <w:proofErr w:type="spellEnd"/>
      <w:r w:rsidRPr="00BA7875">
        <w:rPr>
          <w:iCs/>
          <w:szCs w:val="18"/>
        </w:rPr>
        <w:t xml:space="preserve">, </w:t>
      </w:r>
      <w:proofErr w:type="spellStart"/>
      <w:r w:rsidRPr="00BA7875">
        <w:rPr>
          <w:iCs/>
          <w:szCs w:val="18"/>
        </w:rPr>
        <w:t>the</w:t>
      </w:r>
      <w:proofErr w:type="spellEnd"/>
      <w:r w:rsidRPr="00BA7875">
        <w:rPr>
          <w:iCs/>
          <w:szCs w:val="18"/>
        </w:rPr>
        <w:t xml:space="preserve"> </w:t>
      </w:r>
      <w:proofErr w:type="spellStart"/>
      <w:r w:rsidRPr="00BA7875">
        <w:rPr>
          <w:iCs/>
          <w:szCs w:val="18"/>
        </w:rPr>
        <w:t>study</w:t>
      </w:r>
      <w:proofErr w:type="spellEnd"/>
      <w:r w:rsidRPr="00BA7875">
        <w:rPr>
          <w:iCs/>
          <w:szCs w:val="18"/>
        </w:rPr>
        <w:t xml:space="preserve"> </w:t>
      </w:r>
      <w:proofErr w:type="spellStart"/>
      <w:r w:rsidRPr="00BA7875">
        <w:rPr>
          <w:iCs/>
          <w:szCs w:val="18"/>
        </w:rPr>
        <w:t>provides</w:t>
      </w:r>
      <w:proofErr w:type="spellEnd"/>
      <w:r w:rsidRPr="00BA7875">
        <w:rPr>
          <w:iCs/>
          <w:szCs w:val="18"/>
        </w:rPr>
        <w:t xml:space="preserve"> </w:t>
      </w:r>
      <w:proofErr w:type="spellStart"/>
      <w:r w:rsidRPr="00BA7875">
        <w:rPr>
          <w:iCs/>
          <w:szCs w:val="18"/>
        </w:rPr>
        <w:t>empirical</w:t>
      </w:r>
      <w:proofErr w:type="spellEnd"/>
      <w:r w:rsidRPr="00BA7875">
        <w:rPr>
          <w:iCs/>
          <w:szCs w:val="18"/>
        </w:rPr>
        <w:t xml:space="preserve"> and conceptual </w:t>
      </w:r>
      <w:proofErr w:type="spellStart"/>
      <w:r w:rsidRPr="00BA7875">
        <w:rPr>
          <w:iCs/>
          <w:szCs w:val="18"/>
        </w:rPr>
        <w:t>evidence</w:t>
      </w:r>
      <w:proofErr w:type="spellEnd"/>
      <w:r w:rsidRPr="00BA7875">
        <w:rPr>
          <w:iCs/>
          <w:szCs w:val="18"/>
        </w:rPr>
        <w:t xml:space="preserve"> </w:t>
      </w:r>
      <w:proofErr w:type="spellStart"/>
      <w:r w:rsidRPr="00BA7875">
        <w:rPr>
          <w:iCs/>
          <w:szCs w:val="18"/>
        </w:rPr>
        <w:t>on</w:t>
      </w:r>
      <w:proofErr w:type="spellEnd"/>
      <w:r w:rsidRPr="00BA7875">
        <w:rPr>
          <w:iCs/>
          <w:szCs w:val="18"/>
        </w:rPr>
        <w:t xml:space="preserve"> </w:t>
      </w:r>
      <w:proofErr w:type="spellStart"/>
      <w:r w:rsidRPr="00BA7875">
        <w:rPr>
          <w:iCs/>
          <w:szCs w:val="18"/>
        </w:rPr>
        <w:t>the</w:t>
      </w:r>
      <w:proofErr w:type="spellEnd"/>
      <w:r w:rsidRPr="00BA7875">
        <w:rPr>
          <w:iCs/>
          <w:szCs w:val="18"/>
        </w:rPr>
        <w:t xml:space="preserve"> </w:t>
      </w:r>
      <w:proofErr w:type="spellStart"/>
      <w:r w:rsidRPr="00BA7875">
        <w:rPr>
          <w:iCs/>
          <w:szCs w:val="18"/>
        </w:rPr>
        <w:t>strategic</w:t>
      </w:r>
      <w:proofErr w:type="spellEnd"/>
      <w:r w:rsidRPr="00BA7875">
        <w:rPr>
          <w:iCs/>
          <w:szCs w:val="18"/>
        </w:rPr>
        <w:t xml:space="preserve"> role </w:t>
      </w:r>
      <w:proofErr w:type="spellStart"/>
      <w:r w:rsidRPr="00BA7875">
        <w:rPr>
          <w:iCs/>
          <w:szCs w:val="18"/>
        </w:rPr>
        <w:t>of</w:t>
      </w:r>
      <w:proofErr w:type="spellEnd"/>
      <w:r w:rsidRPr="00BA7875">
        <w:rPr>
          <w:iCs/>
          <w:szCs w:val="18"/>
        </w:rPr>
        <w:t xml:space="preserve"> training in </w:t>
      </w:r>
      <w:proofErr w:type="spellStart"/>
      <w:r w:rsidRPr="00BA7875">
        <w:rPr>
          <w:iCs/>
          <w:szCs w:val="18"/>
        </w:rPr>
        <w:t>sustainable</w:t>
      </w:r>
      <w:proofErr w:type="spellEnd"/>
      <w:r w:rsidRPr="00BA7875">
        <w:rPr>
          <w:iCs/>
          <w:szCs w:val="18"/>
        </w:rPr>
        <w:t xml:space="preserve"> human </w:t>
      </w:r>
      <w:proofErr w:type="spellStart"/>
      <w:r w:rsidRPr="00BA7875">
        <w:rPr>
          <w:iCs/>
          <w:szCs w:val="18"/>
        </w:rPr>
        <w:t>resource</w:t>
      </w:r>
      <w:proofErr w:type="spellEnd"/>
      <w:r w:rsidRPr="00BA7875">
        <w:rPr>
          <w:iCs/>
          <w:szCs w:val="18"/>
        </w:rPr>
        <w:t xml:space="preserve"> </w:t>
      </w:r>
      <w:proofErr w:type="spellStart"/>
      <w:r w:rsidRPr="00BA7875">
        <w:rPr>
          <w:iCs/>
          <w:szCs w:val="18"/>
        </w:rPr>
        <w:t>management</w:t>
      </w:r>
      <w:proofErr w:type="spellEnd"/>
      <w:r w:rsidRPr="00BA7875">
        <w:rPr>
          <w:iCs/>
          <w:szCs w:val="18"/>
        </w:rPr>
        <w:t xml:space="preserve"> and </w:t>
      </w:r>
      <w:proofErr w:type="spellStart"/>
      <w:r w:rsidRPr="00BA7875">
        <w:rPr>
          <w:iCs/>
          <w:szCs w:val="18"/>
        </w:rPr>
        <w:t>proposes</w:t>
      </w:r>
      <w:proofErr w:type="spellEnd"/>
      <w:r w:rsidRPr="00BA7875">
        <w:rPr>
          <w:iCs/>
          <w:szCs w:val="18"/>
        </w:rPr>
        <w:t xml:space="preserve"> </w:t>
      </w:r>
      <w:proofErr w:type="spellStart"/>
      <w:r w:rsidRPr="00BA7875">
        <w:rPr>
          <w:iCs/>
          <w:szCs w:val="18"/>
        </w:rPr>
        <w:t>guidelines</w:t>
      </w:r>
      <w:proofErr w:type="spellEnd"/>
      <w:r w:rsidRPr="00BA7875">
        <w:rPr>
          <w:iCs/>
          <w:szCs w:val="18"/>
        </w:rPr>
        <w:t xml:space="preserve"> </w:t>
      </w:r>
      <w:proofErr w:type="spellStart"/>
      <w:r w:rsidRPr="00BA7875">
        <w:rPr>
          <w:iCs/>
          <w:szCs w:val="18"/>
        </w:rPr>
        <w:t>for</w:t>
      </w:r>
      <w:proofErr w:type="spellEnd"/>
      <w:r w:rsidRPr="00BA7875">
        <w:rPr>
          <w:iCs/>
          <w:szCs w:val="18"/>
        </w:rPr>
        <w:t xml:space="preserve"> </w:t>
      </w:r>
      <w:proofErr w:type="spellStart"/>
      <w:r w:rsidRPr="00BA7875">
        <w:rPr>
          <w:iCs/>
          <w:szCs w:val="18"/>
        </w:rPr>
        <w:t>institutionalizing</w:t>
      </w:r>
      <w:proofErr w:type="spellEnd"/>
      <w:r w:rsidRPr="00BA7875">
        <w:rPr>
          <w:iCs/>
          <w:szCs w:val="18"/>
        </w:rPr>
        <w:t xml:space="preserve"> </w:t>
      </w:r>
      <w:proofErr w:type="spellStart"/>
      <w:r w:rsidRPr="00BA7875">
        <w:rPr>
          <w:iCs/>
          <w:szCs w:val="18"/>
        </w:rPr>
        <w:t>differentiated</w:t>
      </w:r>
      <w:proofErr w:type="spellEnd"/>
      <w:r w:rsidRPr="00BA7875">
        <w:rPr>
          <w:iCs/>
          <w:szCs w:val="18"/>
        </w:rPr>
        <w:t xml:space="preserve"> </w:t>
      </w:r>
      <w:proofErr w:type="spellStart"/>
      <w:r w:rsidRPr="00BA7875">
        <w:rPr>
          <w:iCs/>
          <w:szCs w:val="18"/>
        </w:rPr>
        <w:t>programs</w:t>
      </w:r>
      <w:proofErr w:type="spellEnd"/>
      <w:r w:rsidRPr="00BA7875">
        <w:rPr>
          <w:iCs/>
          <w:szCs w:val="18"/>
        </w:rPr>
        <w:t xml:space="preserve"> </w:t>
      </w:r>
      <w:proofErr w:type="spellStart"/>
      <w:r w:rsidRPr="00BA7875">
        <w:rPr>
          <w:iCs/>
          <w:szCs w:val="18"/>
        </w:rPr>
        <w:t>to</w:t>
      </w:r>
      <w:proofErr w:type="spellEnd"/>
      <w:r w:rsidRPr="00BA7875">
        <w:rPr>
          <w:iCs/>
          <w:szCs w:val="18"/>
        </w:rPr>
        <w:t xml:space="preserve"> </w:t>
      </w:r>
      <w:proofErr w:type="spellStart"/>
      <w:r w:rsidRPr="00BA7875">
        <w:rPr>
          <w:iCs/>
          <w:szCs w:val="18"/>
        </w:rPr>
        <w:t>strengthen</w:t>
      </w:r>
      <w:proofErr w:type="spellEnd"/>
      <w:r w:rsidRPr="00BA7875">
        <w:rPr>
          <w:iCs/>
          <w:szCs w:val="18"/>
        </w:rPr>
        <w:t xml:space="preserve"> </w:t>
      </w:r>
      <w:proofErr w:type="spellStart"/>
      <w:r w:rsidRPr="00BA7875">
        <w:rPr>
          <w:iCs/>
          <w:szCs w:val="18"/>
        </w:rPr>
        <w:t>organizational</w:t>
      </w:r>
      <w:proofErr w:type="spellEnd"/>
      <w:r w:rsidRPr="00BA7875">
        <w:rPr>
          <w:iCs/>
          <w:szCs w:val="18"/>
        </w:rPr>
        <w:t xml:space="preserve"> and territorial </w:t>
      </w:r>
      <w:proofErr w:type="spellStart"/>
      <w:r w:rsidRPr="00BA7875">
        <w:rPr>
          <w:iCs/>
          <w:szCs w:val="18"/>
        </w:rPr>
        <w:t>sustainability</w:t>
      </w:r>
      <w:proofErr w:type="spellEnd"/>
      <w:r w:rsidRPr="00BA7875">
        <w:rPr>
          <w:iCs/>
          <w:szCs w:val="18"/>
        </w:rPr>
        <w:t>.</w:t>
      </w:r>
    </w:p>
    <w:p w14:paraId="08726F07" w14:textId="1CEC3DD7" w:rsidR="008F6939" w:rsidRPr="002D7A73" w:rsidRDefault="008F6939" w:rsidP="008F6939">
      <w:pPr>
        <w:ind w:left="624"/>
        <w:rPr>
          <w:szCs w:val="24"/>
          <w:lang w:val="en-US"/>
        </w:rPr>
      </w:pPr>
      <w:r w:rsidRPr="008876CF">
        <w:rPr>
          <w:i/>
          <w:szCs w:val="24"/>
          <w:lang w:val="en-US"/>
        </w:rPr>
        <w:t>Keywords</w:t>
      </w:r>
      <w:r w:rsidRPr="002D7A73">
        <w:rPr>
          <w:b/>
          <w:szCs w:val="24"/>
          <w:lang w:val="en-US"/>
        </w:rPr>
        <w:t>:</w:t>
      </w:r>
      <w:r w:rsidRPr="002D7A73">
        <w:rPr>
          <w:szCs w:val="24"/>
          <w:lang w:val="en-US"/>
        </w:rPr>
        <w:t xml:space="preserve"> </w:t>
      </w:r>
      <w:r w:rsidR="00BA7875" w:rsidRPr="00BA7875">
        <w:rPr>
          <w:szCs w:val="24"/>
        </w:rPr>
        <w:t xml:space="preserve">Road </w:t>
      </w:r>
      <w:proofErr w:type="spellStart"/>
      <w:r w:rsidR="00BA7875" w:rsidRPr="00BA7875">
        <w:rPr>
          <w:szCs w:val="24"/>
        </w:rPr>
        <w:t>infrastructure</w:t>
      </w:r>
      <w:proofErr w:type="spellEnd"/>
      <w:r w:rsidR="00BA7875" w:rsidRPr="00BA7875">
        <w:rPr>
          <w:szCs w:val="24"/>
        </w:rPr>
        <w:t xml:space="preserve"> </w:t>
      </w:r>
      <w:proofErr w:type="spellStart"/>
      <w:r w:rsidR="00BA7875" w:rsidRPr="00BA7875">
        <w:rPr>
          <w:szCs w:val="24"/>
        </w:rPr>
        <w:t>consortia</w:t>
      </w:r>
      <w:proofErr w:type="spellEnd"/>
      <w:r w:rsidR="00BA7875">
        <w:rPr>
          <w:szCs w:val="24"/>
        </w:rPr>
        <w:t xml:space="preserve">; </w:t>
      </w:r>
      <w:proofErr w:type="spellStart"/>
      <w:r w:rsidR="00BA7875" w:rsidRPr="00BA7875">
        <w:rPr>
          <w:szCs w:val="24"/>
        </w:rPr>
        <w:t>Strategic</w:t>
      </w:r>
      <w:proofErr w:type="spellEnd"/>
      <w:r w:rsidR="00BA7875" w:rsidRPr="00BA7875">
        <w:rPr>
          <w:szCs w:val="24"/>
        </w:rPr>
        <w:t xml:space="preserve"> human </w:t>
      </w:r>
      <w:proofErr w:type="spellStart"/>
      <w:r w:rsidR="00BA7875" w:rsidRPr="00BA7875">
        <w:rPr>
          <w:szCs w:val="24"/>
        </w:rPr>
        <w:t>development</w:t>
      </w:r>
      <w:proofErr w:type="spellEnd"/>
      <w:r w:rsidR="00BA7875">
        <w:rPr>
          <w:szCs w:val="24"/>
        </w:rPr>
        <w:t xml:space="preserve">; </w:t>
      </w:r>
      <w:proofErr w:type="spellStart"/>
      <w:proofErr w:type="gramStart"/>
      <w:r w:rsidR="00BA7875" w:rsidRPr="00BA7875">
        <w:rPr>
          <w:szCs w:val="24"/>
        </w:rPr>
        <w:t>Post-conflict</w:t>
      </w:r>
      <w:proofErr w:type="spellEnd"/>
      <w:proofErr w:type="gramEnd"/>
      <w:r w:rsidR="00BA7875" w:rsidRPr="00BA7875">
        <w:rPr>
          <w:szCs w:val="24"/>
        </w:rPr>
        <w:t xml:space="preserve"> </w:t>
      </w:r>
      <w:proofErr w:type="spellStart"/>
      <w:r w:rsidR="00BA7875" w:rsidRPr="00BA7875">
        <w:rPr>
          <w:szCs w:val="24"/>
        </w:rPr>
        <w:t>settings</w:t>
      </w:r>
      <w:proofErr w:type="spellEnd"/>
      <w:r w:rsidR="00BA7875">
        <w:rPr>
          <w:szCs w:val="24"/>
        </w:rPr>
        <w:t xml:space="preserve">; </w:t>
      </w:r>
      <w:proofErr w:type="spellStart"/>
      <w:r w:rsidR="00BA7875" w:rsidRPr="00BA7875">
        <w:rPr>
          <w:szCs w:val="24"/>
        </w:rPr>
        <w:t>Sustainable</w:t>
      </w:r>
      <w:proofErr w:type="spellEnd"/>
      <w:r w:rsidR="00BA7875" w:rsidRPr="00BA7875">
        <w:rPr>
          <w:szCs w:val="24"/>
        </w:rPr>
        <w:t xml:space="preserve"> performance</w:t>
      </w:r>
      <w:r w:rsidR="00BA7875">
        <w:rPr>
          <w:szCs w:val="24"/>
        </w:rPr>
        <w:t xml:space="preserve">; </w:t>
      </w:r>
      <w:proofErr w:type="spellStart"/>
      <w:r w:rsidR="00BA7875" w:rsidRPr="00BA7875">
        <w:rPr>
          <w:szCs w:val="24"/>
        </w:rPr>
        <w:t>Corporate</w:t>
      </w:r>
      <w:proofErr w:type="spellEnd"/>
      <w:r w:rsidR="00BA7875" w:rsidRPr="00BA7875">
        <w:rPr>
          <w:szCs w:val="24"/>
        </w:rPr>
        <w:t xml:space="preserve"> Social </w:t>
      </w:r>
      <w:proofErr w:type="spellStart"/>
      <w:r w:rsidR="00BA7875" w:rsidRPr="00BA7875">
        <w:rPr>
          <w:szCs w:val="24"/>
        </w:rPr>
        <w:t>Responsibility</w:t>
      </w:r>
      <w:proofErr w:type="spellEnd"/>
      <w:r w:rsidR="00BA7875" w:rsidRPr="00BA7875">
        <w:rPr>
          <w:szCs w:val="24"/>
        </w:rPr>
        <w:t xml:space="preserve"> (CSR)</w:t>
      </w:r>
      <w:r w:rsidR="00BA7875">
        <w:rPr>
          <w:szCs w:val="24"/>
        </w:rPr>
        <w:t xml:space="preserve">. </w:t>
      </w:r>
    </w:p>
    <w:p w14:paraId="75A7A0A9" w14:textId="77777777" w:rsidR="00C57305" w:rsidRPr="006E6D13" w:rsidRDefault="00C57305" w:rsidP="00714638">
      <w:pPr>
        <w:jc w:val="center"/>
        <w:rPr>
          <w:b/>
          <w:szCs w:val="24"/>
          <w:lang w:val="en-US"/>
        </w:rPr>
      </w:pPr>
    </w:p>
    <w:p w14:paraId="09DD2215" w14:textId="6BB63404" w:rsidR="00667840" w:rsidRPr="00285913" w:rsidRDefault="00A85C31" w:rsidP="00A85C31">
      <w:pPr>
        <w:pStyle w:val="Ttulo1"/>
      </w:pPr>
      <w:bookmarkStart w:id="11" w:name="_Toc437858002"/>
      <w:bookmarkStart w:id="12" w:name="_Toc437858423"/>
      <w:bookmarkStart w:id="13" w:name="_Toc440985125"/>
      <w:r>
        <w:t xml:space="preserve"> </w:t>
      </w:r>
      <w:r w:rsidR="00667840" w:rsidRPr="00285913">
        <w:t>Introducción</w:t>
      </w:r>
      <w:bookmarkEnd w:id="11"/>
      <w:bookmarkEnd w:id="12"/>
      <w:bookmarkEnd w:id="13"/>
    </w:p>
    <w:p w14:paraId="03713894" w14:textId="77777777" w:rsidR="00667840" w:rsidRDefault="00667840" w:rsidP="00667840">
      <w:pPr>
        <w:ind w:firstLine="708"/>
        <w:rPr>
          <w:rFonts w:cs="Times New Roman"/>
          <w:szCs w:val="24"/>
        </w:rPr>
      </w:pPr>
    </w:p>
    <w:p w14:paraId="5FDDAA0A"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Las organizaciones contemporáneas se enfrentan al desafío de alinear la gestión del talento humano con los objetivos de sostenibilidad que integran las dimensiones ambiental, social y económica (</w:t>
      </w:r>
      <w:bookmarkStart w:id="14" w:name="_Hlk214743181"/>
      <w:r w:rsidRPr="00B9633D">
        <w:rPr>
          <w:rFonts w:cs="Times New Roman"/>
          <w:color w:val="000000" w:themeColor="text1"/>
        </w:rPr>
        <w:t>Álvarez M, et al., 202</w:t>
      </w:r>
      <w:bookmarkEnd w:id="14"/>
      <w:r w:rsidRPr="00B9633D">
        <w:rPr>
          <w:rFonts w:cs="Times New Roman"/>
          <w:color w:val="000000" w:themeColor="text1"/>
        </w:rPr>
        <w:t>4). Esta exigencia responde a transformaciones estructurales asociadas a la sociedad del conocimiento, donde el desarrollo humano sostenible se convierte en un eje fundamental para equilibrar bienestar, productividad y responsabilidad ética (</w:t>
      </w:r>
      <w:r w:rsidRPr="00B9633D">
        <w:rPr>
          <w:rFonts w:cs="Times New Roman"/>
          <w:color w:val="222222"/>
          <w:shd w:val="clear" w:color="auto" w:fill="FFFFFF"/>
        </w:rPr>
        <w:t>Arredondo</w:t>
      </w:r>
      <w:r w:rsidRPr="00B9633D">
        <w:rPr>
          <w:rFonts w:cs="Times New Roman"/>
          <w:color w:val="000000" w:themeColor="text1"/>
        </w:rPr>
        <w:t xml:space="preserve">, 2023). De acuerdo con el Programa de las Naciones Unidas para el Desarrollo (PNUD, 2023), el desarrollo humano requiere ampliar capacidades y generar oportunidades equitativas sin distinción territorial o social, reafirmando la centralidad de las personas en los procesos de transformación organizacional. En esta misma línea, la literatura evidencia que el crecimiento económico solo contribuye al desarrollo cuando se fundamenta en la mejora de la calidad de vida y en la integración de criterios de equidad, sostenibilidad ambiental y justicia social (Fuertes Grávalos, 2018). Este enfoque sostiene el capital humano como recurso estratégico valioso, raro e inimitable constituye </w:t>
      </w:r>
      <w:r w:rsidRPr="00790B54">
        <w:rPr>
          <w:rFonts w:cs="Times New Roman"/>
          <w:color w:val="000000" w:themeColor="text1"/>
        </w:rPr>
        <w:t>un determinante clave de la sostenibilidad organizacional en entornos complejos (Wright &amp; McMahan, 2011</w:t>
      </w:r>
      <w:r w:rsidRPr="00B9633D">
        <w:rPr>
          <w:rFonts w:cs="Times New Roman"/>
          <w:color w:val="000000" w:themeColor="text1"/>
        </w:rPr>
        <w:t>). No obstante, pese al avance conceptual, diversos autores señalan que las prácticas de gestión humana relacionadas con la sostenibilidad continúan siendo mayoritariamente instrumentales y operativas, con escasa articulación entre la formación, la responsabilidad social interna y los resultados sostenibles (Dávila, 2021).</w:t>
      </w:r>
    </w:p>
    <w:p w14:paraId="55D12A9B"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 xml:space="preserve">A nivel internacional y latinoamericano, las discusiones recientes han subrayado la necesidad de integrar la Responsabilidad Social Empresarial (RSE) como un marco estratégico que vincula ética, participación comunitaria, impacto ambiental, inclusión social y gobernanza (Portney, 2015). En el ámbito colombiano, este debate adquiere particular relevancia en territorios </w:t>
      </w:r>
      <w:r w:rsidRPr="00B9633D">
        <w:rPr>
          <w:rFonts w:cs="Times New Roman"/>
          <w:color w:val="000000" w:themeColor="text1"/>
        </w:rPr>
        <w:lastRenderedPageBreak/>
        <w:t xml:space="preserve">históricamente afectados por el conflicto armado, donde los proyectos de infraestructura vial representan oportunidades para generar empleo, fortalecer el tejido social y consolidar procesos de desarrollo territorial (PNUD, 2023). Estos escenarios exigen modelos de gestión del talento </w:t>
      </w:r>
      <w:r w:rsidRPr="00B9633D">
        <w:rPr>
          <w:rFonts w:cs="Times New Roman"/>
        </w:rPr>
        <w:t xml:space="preserve">humano que trasciendan la formación técnica y adopten un enfoque de desarrollo humano orientado al fortalecimiento de capacidades, la inclusión productiva y la cohesión comunitaria (Escobar, 2015) Sin embargo, la literatura muestra vacíos. En este sentido, existen pocos estudios empíricos que analicen cómo las prácticas de desarrollo humano se articulan con los objetivos de sostenibilidad en sectores tradicionalmente técnicos como la infraestructura vial (Gutiérrez Rúa, 2019). Asimismo, se identifica una brecha en la comprensión </w:t>
      </w:r>
      <w:r w:rsidRPr="00B9633D">
        <w:rPr>
          <w:rFonts w:cs="Times New Roman"/>
          <w:color w:val="000000" w:themeColor="text1"/>
        </w:rPr>
        <w:t>de cómo estas prácticas pueden operar como mecanismos de legitimidad social y creación de valor compartido en territorios de posconflicto (Sachs, 2015). Finalmente, persisten interrogantes sobre la capacidad de los consorcios viales para institucionalizar programas de formación diferenciados que integren dimensiones ambientales, sociales y económicas desde una perspectiva de desarrollo humano sostenible (</w:t>
      </w:r>
      <w:r w:rsidRPr="00B9633D">
        <w:rPr>
          <w:rFonts w:cs="Times New Roman"/>
          <w:color w:val="222222"/>
          <w:shd w:val="clear" w:color="auto" w:fill="FFFFFF"/>
        </w:rPr>
        <w:t>Rincón, 2024)</w:t>
      </w:r>
      <w:r w:rsidRPr="00B9633D">
        <w:rPr>
          <w:rFonts w:cs="Times New Roman"/>
          <w:color w:val="000000" w:themeColor="text1"/>
        </w:rPr>
        <w:t xml:space="preserve">. </w:t>
      </w:r>
    </w:p>
    <w:p w14:paraId="545C6881"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Po</w:t>
      </w:r>
      <w:r w:rsidRPr="008D7A62">
        <w:rPr>
          <w:rFonts w:cs="Times New Roman"/>
        </w:rPr>
        <w:t xml:space="preserve">r ende, este estudio tiene como objetivo </w:t>
      </w:r>
      <w:bookmarkStart w:id="15" w:name="_Hlk214957594"/>
      <w:r w:rsidRPr="008D7A62">
        <w:rPr>
          <w:rFonts w:cs="Times New Roman"/>
        </w:rPr>
        <w:t>analizar las prácticas formativas de desarrollo humano estratégico para sostenibilidad en consorcios viales en territorios posconflicto en Colombia.</w:t>
      </w:r>
      <w:bookmarkEnd w:id="15"/>
      <w:r w:rsidRPr="008D7A62">
        <w:rPr>
          <w:rFonts w:cs="Times New Roman"/>
        </w:rPr>
        <w:t xml:space="preserve"> </w:t>
      </w:r>
      <w:r w:rsidRPr="00B9633D">
        <w:rPr>
          <w:rFonts w:cs="Times New Roman"/>
          <w:color w:val="000000" w:themeColor="text1"/>
        </w:rPr>
        <w:t>Para ello, se adopta una perspectiva integradora basada en la Visión de la Firma Basada en Recursos (Barney, 1991), el Desarrollo de Recursos Humanos (Noe, 2020), la Responsabilidad Social Empresarial (Calderón et al., 2011) y los enfoques de sostenibilidad organizacional (</w:t>
      </w:r>
      <w:r w:rsidRPr="00B9633D">
        <w:rPr>
          <w:rFonts w:cs="Times New Roman"/>
          <w:color w:val="222222"/>
          <w:shd w:val="clear" w:color="auto" w:fill="FFFFFF"/>
        </w:rPr>
        <w:t>Rosa Leal, 2021</w:t>
      </w:r>
      <w:r w:rsidRPr="00B9633D">
        <w:rPr>
          <w:rFonts w:cs="Times New Roman"/>
          <w:color w:val="000000" w:themeColor="text1"/>
        </w:rPr>
        <w:t>). En el contexto latinoamericano, la RSE presenta dinámicas particulares asociados a desigualdades estructurales, marcos institucionales débiles y una fuerte expectativa comunitaria hacia las empresas, lo cual demanda enfoques adaptados y culturalmente situados (</w:t>
      </w:r>
      <w:proofErr w:type="spellStart"/>
      <w:r w:rsidRPr="00B9633D">
        <w:rPr>
          <w:rFonts w:cs="Times New Roman"/>
          <w:color w:val="000000" w:themeColor="text1"/>
        </w:rPr>
        <w:t>Chumaceiro</w:t>
      </w:r>
      <w:proofErr w:type="spellEnd"/>
      <w:r w:rsidRPr="00B9633D">
        <w:rPr>
          <w:rFonts w:cs="Times New Roman"/>
          <w:color w:val="000000" w:themeColor="text1"/>
        </w:rPr>
        <w:t xml:space="preserve"> &amp; Hernández, 2016).</w:t>
      </w:r>
    </w:p>
    <w:p w14:paraId="782201CA"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 xml:space="preserve">Este estudio presenta tres contribuciones principales. Primero, amplía la literatura sobre desarrollo humano y sostenibilidad al explorar un sector poco investigado pese a su relevancia estratégica para la cohesión territorial: los consorcios viales en </w:t>
      </w:r>
      <w:r>
        <w:rPr>
          <w:rFonts w:cs="Times New Roman"/>
          <w:color w:val="000000" w:themeColor="text1"/>
        </w:rPr>
        <w:t>territorios</w:t>
      </w:r>
      <w:r w:rsidRPr="00B9633D">
        <w:rPr>
          <w:rFonts w:cs="Times New Roman"/>
          <w:color w:val="000000" w:themeColor="text1"/>
        </w:rPr>
        <w:t xml:space="preserve"> de posconflicto. Segundo, aporta evidencia empírica sobre el papel de la formación como mecanismo articulador entre RSE, inclusión social y desempeño ambiental, integrando elementos de la gestión humana verde y creación de valor compartido. Tercero, ofrece lineamientos prácticos para fortalecer la gestión estratégica del </w:t>
      </w:r>
      <w:r>
        <w:rPr>
          <w:rFonts w:cs="Times New Roman"/>
          <w:color w:val="000000" w:themeColor="text1"/>
        </w:rPr>
        <w:t>desarrollo</w:t>
      </w:r>
      <w:r w:rsidRPr="00B9633D">
        <w:rPr>
          <w:rFonts w:cs="Times New Roman"/>
          <w:color w:val="000000" w:themeColor="text1"/>
        </w:rPr>
        <w:t xml:space="preserve"> humano mediante programas formativos diferenciados, evaluación sistemática y estrategias de legitimidad social, aspectos críticos para la sostenibilidad </w:t>
      </w:r>
      <w:r w:rsidRPr="00B9633D">
        <w:rPr>
          <w:rFonts w:cs="Times New Roman"/>
          <w:color w:val="000000" w:themeColor="text1"/>
        </w:rPr>
        <w:lastRenderedPageBreak/>
        <w:t>organizacional y territorial. En conjunto, esta investigación busca contribuir al entendimiento de la formación como un eje de desarrollo humano sostenible capaz de transformar organizaciones y territorios en escenarios de alta complejidad social, institucional y ambiental.</w:t>
      </w:r>
    </w:p>
    <w:p w14:paraId="73E0B280" w14:textId="3EC6F303" w:rsidR="4388483D" w:rsidRDefault="4388483D" w:rsidP="4388483D">
      <w:pPr>
        <w:rPr>
          <w:rFonts w:cs="Times New Roman"/>
        </w:rPr>
      </w:pPr>
    </w:p>
    <w:p w14:paraId="5D6BB84E" w14:textId="47F67723" w:rsidR="0069209A" w:rsidRDefault="00F646D2" w:rsidP="008B5848">
      <w:pPr>
        <w:pStyle w:val="Ttulo1"/>
      </w:pPr>
      <w:r>
        <w:t xml:space="preserve"> </w:t>
      </w:r>
      <w:r w:rsidR="00A85C31">
        <w:t>Metodología</w:t>
      </w:r>
      <w:r w:rsidR="00130F60">
        <w:t xml:space="preserve"> </w:t>
      </w:r>
    </w:p>
    <w:p w14:paraId="0776454D" w14:textId="77777777" w:rsidR="00E170DA" w:rsidRDefault="00E170DA" w:rsidP="00714638">
      <w:pPr>
        <w:ind w:firstLine="708"/>
        <w:jc w:val="center"/>
        <w:rPr>
          <w:rFonts w:cs="Times New Roman"/>
          <w:b/>
          <w:szCs w:val="24"/>
        </w:rPr>
      </w:pPr>
    </w:p>
    <w:p w14:paraId="1E564FA8"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Este estudio</w:t>
      </w:r>
      <w:r w:rsidRPr="00B9633D">
        <w:rPr>
          <w:rFonts w:cs="Times New Roman"/>
          <w:color w:val="000000" w:themeColor="text1"/>
          <w:u w:val="single"/>
        </w:rPr>
        <w:t xml:space="preserve"> </w:t>
      </w:r>
      <w:r w:rsidRPr="00B9633D">
        <w:rPr>
          <w:rFonts w:cs="Times New Roman"/>
          <w:color w:val="000000" w:themeColor="text1"/>
        </w:rPr>
        <w:t xml:space="preserve">analizó cómo las prácticas formativas de desarrollo humano contribuyen al desempeño sostenible de consorcios de infraestructura vial en </w:t>
      </w:r>
      <w:r>
        <w:rPr>
          <w:rFonts w:cs="Times New Roman"/>
          <w:color w:val="000000" w:themeColor="text1"/>
        </w:rPr>
        <w:t>territorios</w:t>
      </w:r>
      <w:r w:rsidRPr="00B9633D">
        <w:rPr>
          <w:rFonts w:cs="Times New Roman"/>
          <w:color w:val="000000" w:themeColor="text1"/>
        </w:rPr>
        <w:t xml:space="preserve"> de posconflicto en Colombia. Estos hacen parte de los municipios priorizados para la consolidación territorial, en el marco de las políticas de desarrollo y posconflicto promovidas por el Gobierno nacional. En este contexto, la conectividad vial se consideró un factor estructural para el fortalecimiento de la inclusión productiva, la cohesión social y el acceso a bienes y servicios básicos (DNP, 2023). Dichos proyectos representan no solo inversiones en infraestructura física, sino también oportunidades para generar empleo local, desarrollo de capacidades y confianza comunitaria. Por consiguiente, los casos analizados correspondieron a contratos de construcción, mantenimiento, rehabilitación y mejoramiento de vías pertenecientes a la red primaria y secundaria. Esta selección permitió ampliar el debate académico al mostrar cómo, incluso en el nivel operativo de la gestión vial, las prácticas</w:t>
      </w:r>
      <w:r>
        <w:rPr>
          <w:rFonts w:cs="Times New Roman"/>
          <w:color w:val="000000" w:themeColor="text1"/>
        </w:rPr>
        <w:t xml:space="preserve"> formativas</w:t>
      </w:r>
      <w:r w:rsidRPr="00B9633D">
        <w:rPr>
          <w:rFonts w:cs="Times New Roman"/>
          <w:color w:val="000000" w:themeColor="text1"/>
        </w:rPr>
        <w:t xml:space="preserve"> de desarrollo humano pueden contribuir de manera tangible a los objetivos de sostenibilidad organizacional y territorial. </w:t>
      </w:r>
    </w:p>
    <w:p w14:paraId="2CB607C3" w14:textId="3A00789F" w:rsidR="00F646D2" w:rsidRDefault="00F646D2" w:rsidP="00D77588">
      <w:pPr>
        <w:rPr>
          <w:rFonts w:cs="Times New Roman"/>
          <w:szCs w:val="24"/>
        </w:rPr>
      </w:pPr>
    </w:p>
    <w:p w14:paraId="631BB600" w14:textId="22B1AE3E" w:rsidR="00691F2C" w:rsidRPr="00B9633D" w:rsidRDefault="00F646D2" w:rsidP="00691F2C">
      <w:pPr>
        <w:rPr>
          <w:rFonts w:cs="Times New Roman"/>
          <w:b/>
          <w:bCs/>
          <w:color w:val="000000" w:themeColor="text1"/>
        </w:rPr>
      </w:pPr>
      <w:bookmarkStart w:id="16" w:name="_Toc440985133"/>
      <w:r w:rsidRPr="00E170DA">
        <w:rPr>
          <w:b/>
        </w:rPr>
        <w:t xml:space="preserve"> </w:t>
      </w:r>
      <w:bookmarkEnd w:id="16"/>
      <w:r w:rsidR="00691F2C" w:rsidRPr="00B9633D">
        <w:rPr>
          <w:rFonts w:cs="Times New Roman"/>
          <w:b/>
          <w:bCs/>
          <w:color w:val="000000" w:themeColor="text1"/>
        </w:rPr>
        <w:t>Enfoque epistemológico de estudio</w:t>
      </w:r>
    </w:p>
    <w:p w14:paraId="39221776" w14:textId="77777777" w:rsidR="00691F2C" w:rsidRDefault="00691F2C" w:rsidP="00884970">
      <w:pPr>
        <w:ind w:firstLine="708"/>
        <w:rPr>
          <w:rFonts w:cs="Times New Roman"/>
          <w:color w:val="000000" w:themeColor="text1"/>
        </w:rPr>
      </w:pPr>
      <w:r w:rsidRPr="00B9633D">
        <w:rPr>
          <w:rFonts w:cs="Times New Roman"/>
          <w:color w:val="000000" w:themeColor="text1"/>
        </w:rPr>
        <w:t xml:space="preserve">Este estudio se desarrolló desde un paradigma interpretativo, en el cual el interés no residió en la generalización estadística, sino en la comprensión situada de fenómenos sociales complejos (Denzin &amp; Lincoln, 2018). Desde esta perspectiva, se indagó cómo los </w:t>
      </w:r>
      <w:r>
        <w:rPr>
          <w:rFonts w:cs="Times New Roman"/>
          <w:color w:val="000000" w:themeColor="text1"/>
        </w:rPr>
        <w:t>expertos</w:t>
      </w:r>
      <w:r w:rsidRPr="00B9633D">
        <w:rPr>
          <w:rFonts w:cs="Times New Roman"/>
          <w:color w:val="000000" w:themeColor="text1"/>
        </w:rPr>
        <w:t xml:space="preserve"> implicados interpretaron las prácticas de formación y desarrollo humano en escenarios de reconstrucción territorial a nivel social, ambiental y económica. </w:t>
      </w:r>
    </w:p>
    <w:p w14:paraId="416C499E" w14:textId="77777777" w:rsidR="00D25611" w:rsidRPr="00B9633D" w:rsidRDefault="00D25611" w:rsidP="00884970">
      <w:pPr>
        <w:ind w:firstLine="708"/>
        <w:rPr>
          <w:rFonts w:cs="Times New Roman"/>
          <w:color w:val="000000" w:themeColor="text1"/>
        </w:rPr>
      </w:pPr>
    </w:p>
    <w:p w14:paraId="6BEACE33" w14:textId="15764BC1" w:rsidR="00691F2C" w:rsidRPr="00B9633D" w:rsidRDefault="00691F2C" w:rsidP="00691F2C">
      <w:pPr>
        <w:rPr>
          <w:rFonts w:cs="Times New Roman"/>
          <w:b/>
          <w:bCs/>
          <w:color w:val="000000" w:themeColor="text1"/>
        </w:rPr>
      </w:pPr>
      <w:r w:rsidRPr="00B9633D">
        <w:rPr>
          <w:rFonts w:cs="Times New Roman"/>
          <w:b/>
          <w:bCs/>
          <w:color w:val="000000" w:themeColor="text1"/>
        </w:rPr>
        <w:t xml:space="preserve">Diseño de investigación </w:t>
      </w:r>
    </w:p>
    <w:p w14:paraId="29F56D8B" w14:textId="77777777" w:rsidR="00691F2C" w:rsidRDefault="00691F2C" w:rsidP="00884970">
      <w:pPr>
        <w:ind w:firstLine="708"/>
        <w:rPr>
          <w:rFonts w:cs="Times New Roman"/>
          <w:color w:val="000000" w:themeColor="text1"/>
        </w:rPr>
      </w:pPr>
      <w:r w:rsidRPr="00B9633D">
        <w:rPr>
          <w:rFonts w:cs="Times New Roman"/>
          <w:color w:val="000000" w:themeColor="text1"/>
        </w:rPr>
        <w:t xml:space="preserve">Esta investigación adoptó un enfoque cualitativo con alcance descriptivo, adecuado para indagar en profundidad las prácticas DRH y su relación con la sostenibilidad en consorcios de infraestructura vial. Se trabajó bajo la modalidad de estudio de caso instrumental según Creswell </w:t>
      </w:r>
      <w:r w:rsidRPr="00B9633D">
        <w:rPr>
          <w:rFonts w:cs="Times New Roman"/>
          <w:color w:val="000000" w:themeColor="text1"/>
        </w:rPr>
        <w:lastRenderedPageBreak/>
        <w:t xml:space="preserve">(2013), donde los casos seleccionados no solo se analizaron en su especificidad, sino también como fuente de lecciones transferibles a otros </w:t>
      </w:r>
      <w:r>
        <w:rPr>
          <w:rFonts w:cs="Times New Roman"/>
          <w:color w:val="000000" w:themeColor="text1"/>
        </w:rPr>
        <w:t>territorios</w:t>
      </w:r>
      <w:r w:rsidRPr="00B9633D">
        <w:rPr>
          <w:rFonts w:cs="Times New Roman"/>
          <w:color w:val="000000" w:themeColor="text1"/>
        </w:rPr>
        <w:t xml:space="preserve"> de ejecución vial.</w:t>
      </w:r>
    </w:p>
    <w:p w14:paraId="762DBED2" w14:textId="77777777" w:rsidR="0032340C" w:rsidRPr="00B9633D" w:rsidRDefault="0032340C" w:rsidP="00884970">
      <w:pPr>
        <w:ind w:firstLine="708"/>
        <w:rPr>
          <w:rFonts w:cs="Times New Roman"/>
          <w:color w:val="000000" w:themeColor="text1"/>
        </w:rPr>
      </w:pPr>
    </w:p>
    <w:p w14:paraId="47784071" w14:textId="7644ECAC" w:rsidR="00691F2C" w:rsidRPr="00B9633D" w:rsidRDefault="00691F2C" w:rsidP="00691F2C">
      <w:pPr>
        <w:rPr>
          <w:rFonts w:cs="Times New Roman"/>
          <w:b/>
          <w:bCs/>
          <w:color w:val="000000" w:themeColor="text1"/>
        </w:rPr>
      </w:pPr>
      <w:r w:rsidRPr="00B9633D">
        <w:rPr>
          <w:rFonts w:cs="Times New Roman"/>
          <w:b/>
          <w:bCs/>
          <w:color w:val="000000" w:themeColor="text1"/>
        </w:rPr>
        <w:t xml:space="preserve">Técnicas para la obtención de la información </w:t>
      </w:r>
    </w:p>
    <w:p w14:paraId="6B4D0BCF" w14:textId="77777777" w:rsidR="00691F2C" w:rsidRPr="00B9633D" w:rsidRDefault="00691F2C" w:rsidP="00884970">
      <w:pPr>
        <w:ind w:firstLine="708"/>
        <w:rPr>
          <w:rFonts w:cs="Times New Roman"/>
          <w:color w:val="000000" w:themeColor="text1"/>
        </w:rPr>
      </w:pPr>
      <w:r w:rsidRPr="00B9633D">
        <w:rPr>
          <w:rFonts w:cs="Times New Roman"/>
          <w:color w:val="000000" w:themeColor="text1"/>
        </w:rPr>
        <w:t xml:space="preserve">Para la recolección de información se empleó la entrevista semiestructurada, una técnica que ofreció la flexibilidad necesaria para profundizar en las experiencias, percepciones y significados construidos por los </w:t>
      </w:r>
      <w:r>
        <w:rPr>
          <w:rFonts w:cs="Times New Roman"/>
          <w:color w:val="000000" w:themeColor="text1"/>
        </w:rPr>
        <w:t>trabajadores</w:t>
      </w:r>
      <w:r w:rsidRPr="00B9633D">
        <w:rPr>
          <w:rFonts w:cs="Times New Roman"/>
          <w:color w:val="000000" w:themeColor="text1"/>
        </w:rPr>
        <w:t xml:space="preserve"> vinculados a los consorcios viales (Galletta, 2013). Este método permitió equilibrar la estructura del guion con la libertad del diálogo, favoreciendo la emergencia de narrativas auténticas y contextualizadas sobre los procesos formativos. De este modo, la entrevista posibilitó captar no solo opiniones acerca de los programas de formación, sino también identificar elementos clave para el diseño de estrategias de desarrollo humano orientadas al fortalecimiento de capacidades individuales y colectivas que contribuyeran al desempeño sostenible (Swanson &amp; Holton, 2001).</w:t>
      </w:r>
    </w:p>
    <w:p w14:paraId="05CAFF76"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Las preguntas se centraron en comprender cómo los consorcios integraban prácticas de formación vinculadas con la sostenibilidad, abarcando las tres dimensiones de la RSE: económica, social y ambiental (Amrutha &amp; Geetha, 2020). Por lo tanto, se indagó por la incorporación transversal de contenidos de sostenibilidad y responsabilidad social</w:t>
      </w:r>
      <w:r>
        <w:rPr>
          <w:rFonts w:cs="Times New Roman"/>
          <w:color w:val="000000" w:themeColor="text1"/>
        </w:rPr>
        <w:t>.</w:t>
      </w:r>
      <w:r w:rsidRPr="00B9633D">
        <w:rPr>
          <w:rFonts w:cs="Times New Roman"/>
          <w:color w:val="000000" w:themeColor="text1"/>
        </w:rPr>
        <w:t xml:space="preserve"> En coherencia con el propósito del estudio, este enfoque permitió vincular el desarrollo humano con la formación de los trabajadores y con la generación de valor compartido en los territorios intervenidos (Sachs, 2015). </w:t>
      </w:r>
    </w:p>
    <w:p w14:paraId="57B6FDB3" w14:textId="77777777" w:rsidR="00691F2C" w:rsidRPr="00B9633D" w:rsidRDefault="00691F2C" w:rsidP="00691F2C">
      <w:pPr>
        <w:rPr>
          <w:rFonts w:cs="Times New Roman"/>
          <w:color w:val="000000" w:themeColor="text1"/>
        </w:rPr>
      </w:pPr>
      <w:r w:rsidRPr="00B9633D">
        <w:rPr>
          <w:rFonts w:cs="Times New Roman"/>
          <w:color w:val="000000" w:themeColor="text1"/>
        </w:rPr>
        <w:t xml:space="preserve">Las entrevistas se realizaron de manera virtual entre los meses de </w:t>
      </w:r>
      <w:r w:rsidRPr="00B9633D">
        <w:rPr>
          <w:rFonts w:cs="Times New Roman"/>
        </w:rPr>
        <w:t>agosto y septiembre de 2025</w:t>
      </w:r>
      <w:r w:rsidRPr="00B9633D">
        <w:rPr>
          <w:rFonts w:cs="Times New Roman"/>
          <w:color w:val="000000" w:themeColor="text1"/>
        </w:rPr>
        <w:t>, atendiendo a la disponibilidad de los participantes. Cada encuentro tuvo una duración promedio de cuarenta minutos y fue registrado con autorización expresa de los entrevistados. Se garantizó en todo momento la confidencialidad de la información, el consentimiento informado y el cumplimiento de los principios éticos de la investigación cualitativa (Denzin &amp; Lincoln, 2018).</w:t>
      </w:r>
    </w:p>
    <w:p w14:paraId="222F9FD5" w14:textId="77777777" w:rsidR="00691F2C" w:rsidRDefault="00691F2C" w:rsidP="00691F2C">
      <w:pPr>
        <w:ind w:firstLine="708"/>
        <w:rPr>
          <w:rFonts w:cs="Times New Roman"/>
          <w:color w:val="000000" w:themeColor="text1"/>
        </w:rPr>
      </w:pPr>
      <w:r w:rsidRPr="00B9633D">
        <w:rPr>
          <w:rFonts w:cs="Times New Roman"/>
          <w:color w:val="000000" w:themeColor="text1"/>
        </w:rPr>
        <w:t>La guía de entrevista fue diseñada a partir de las categorías teóricas del estudio y se presenta en el Apéndice 1, donde se evidencian los ejes temáticos sobre desarrollo humano, sostenibilidad y responsabilidad social empresarial.</w:t>
      </w:r>
    </w:p>
    <w:p w14:paraId="6564383A" w14:textId="77777777" w:rsidR="0032340C" w:rsidRPr="00B9633D" w:rsidRDefault="0032340C" w:rsidP="00691F2C">
      <w:pPr>
        <w:ind w:firstLine="708"/>
        <w:rPr>
          <w:rFonts w:cs="Times New Roman"/>
          <w:color w:val="000000" w:themeColor="text1"/>
        </w:rPr>
      </w:pPr>
    </w:p>
    <w:p w14:paraId="1813861F" w14:textId="4D388037" w:rsidR="00691F2C" w:rsidRPr="00B9633D" w:rsidRDefault="00691F2C" w:rsidP="00691F2C">
      <w:pPr>
        <w:rPr>
          <w:rFonts w:cs="Times New Roman"/>
          <w:b/>
          <w:bCs/>
          <w:color w:val="000000" w:themeColor="text1"/>
        </w:rPr>
      </w:pPr>
      <w:r w:rsidRPr="00B9633D">
        <w:rPr>
          <w:rFonts w:cs="Times New Roman"/>
          <w:b/>
          <w:bCs/>
          <w:color w:val="000000" w:themeColor="text1"/>
        </w:rPr>
        <w:t>Muestra</w:t>
      </w:r>
    </w:p>
    <w:p w14:paraId="400D21A3" w14:textId="77777777" w:rsidR="00691F2C" w:rsidRDefault="00691F2C" w:rsidP="00884970">
      <w:pPr>
        <w:ind w:firstLine="708"/>
        <w:rPr>
          <w:rFonts w:cs="Times New Roman"/>
          <w:color w:val="000000" w:themeColor="text1"/>
        </w:rPr>
      </w:pPr>
      <w:r w:rsidRPr="00B9633D">
        <w:rPr>
          <w:rFonts w:cs="Times New Roman"/>
          <w:color w:val="000000" w:themeColor="text1"/>
        </w:rPr>
        <w:t xml:space="preserve">La muestra se delimitó a cuatro consorcios responsables de proyectos de infraestructura vial, ubicados en los departamentos de Sucre, Bolívar y Valle del Cauca. Se empleó un muestreo </w:t>
      </w:r>
      <w:r w:rsidRPr="00B9633D">
        <w:rPr>
          <w:rFonts w:cs="Times New Roman"/>
          <w:color w:val="000000" w:themeColor="text1"/>
        </w:rPr>
        <w:lastRenderedPageBreak/>
        <w:t>no probabilístico por criterio, también denominado muestreo intencional (Palinkas et al., 2015), que permitió seleccionar consorcios viales que priorizan el desarrollo humano y cumplimiento normativo respecto a objetivos de sostenibilidad. En la Tabla 1 se presenta la caracterización de los consorcios que participaron en este estudio. Estos se identifican por articular empresas con trayectoria nacional, lo que favorece la integración de capacidades técnicas con compromiso social y ambiental en territorios posconflicto.</w:t>
      </w:r>
    </w:p>
    <w:p w14:paraId="0613AFFC" w14:textId="77777777" w:rsidR="0032340C" w:rsidRPr="00B9633D" w:rsidRDefault="0032340C" w:rsidP="00884970">
      <w:pPr>
        <w:ind w:firstLine="708"/>
        <w:rPr>
          <w:rFonts w:cs="Times New Roman"/>
          <w:color w:val="000000" w:themeColor="text1"/>
        </w:rPr>
      </w:pPr>
    </w:p>
    <w:p w14:paraId="477F30BB" w14:textId="77777777" w:rsidR="009A2AB1" w:rsidRDefault="00691F2C" w:rsidP="00691F2C">
      <w:pPr>
        <w:rPr>
          <w:rFonts w:cs="Times New Roman"/>
          <w:b/>
          <w:bCs/>
          <w:color w:val="000000" w:themeColor="text1"/>
        </w:rPr>
      </w:pPr>
      <w:r w:rsidRPr="00B9633D">
        <w:rPr>
          <w:rFonts w:cs="Times New Roman"/>
          <w:b/>
          <w:bCs/>
          <w:color w:val="000000" w:themeColor="text1"/>
        </w:rPr>
        <w:t xml:space="preserve">Tabla 1. </w:t>
      </w:r>
    </w:p>
    <w:p w14:paraId="52D043E7" w14:textId="3E90BB86" w:rsidR="00691F2C" w:rsidRPr="00B9633D" w:rsidRDefault="00691F2C" w:rsidP="00691F2C">
      <w:pPr>
        <w:rPr>
          <w:rFonts w:cs="Times New Roman"/>
          <w:b/>
          <w:bCs/>
          <w:color w:val="000000" w:themeColor="text1"/>
        </w:rPr>
      </w:pPr>
      <w:r w:rsidRPr="00B9633D">
        <w:rPr>
          <w:rFonts w:cs="Times New Roman"/>
          <w:i/>
          <w:iCs/>
          <w:color w:val="000000" w:themeColor="text1"/>
        </w:rPr>
        <w:t>Caracterización sociodemográfica y profesional de los entrevistados</w:t>
      </w:r>
    </w:p>
    <w:tbl>
      <w:tblPr>
        <w:tblStyle w:val="Tablanormal2"/>
        <w:tblW w:w="0" w:type="auto"/>
        <w:tblLayout w:type="fixed"/>
        <w:tblLook w:val="04A0" w:firstRow="1" w:lastRow="0" w:firstColumn="1" w:lastColumn="0" w:noHBand="0" w:noVBand="1"/>
      </w:tblPr>
      <w:tblGrid>
        <w:gridCol w:w="1555"/>
        <w:gridCol w:w="1275"/>
        <w:gridCol w:w="1380"/>
        <w:gridCol w:w="1314"/>
        <w:gridCol w:w="3870"/>
      </w:tblGrid>
      <w:tr w:rsidR="00691F2C" w:rsidRPr="00B9633D" w14:paraId="06918D4F" w14:textId="77777777" w:rsidTr="008849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14:paraId="1AC9DF05" w14:textId="77777777" w:rsidR="00691F2C" w:rsidRPr="00B9633D" w:rsidRDefault="00691F2C" w:rsidP="004E1DDC">
            <w:pPr>
              <w:jc w:val="center"/>
              <w:rPr>
                <w:rFonts w:cs="Times New Roman"/>
                <w:b w:val="0"/>
                <w:bCs w:val="0"/>
                <w:color w:val="000000" w:themeColor="text1"/>
              </w:rPr>
            </w:pPr>
            <w:r w:rsidRPr="00B9633D">
              <w:rPr>
                <w:rFonts w:cs="Times New Roman"/>
                <w:color w:val="000000" w:themeColor="text1"/>
              </w:rPr>
              <w:t>No de consorcio</w:t>
            </w:r>
          </w:p>
        </w:tc>
        <w:tc>
          <w:tcPr>
            <w:tcW w:w="1275" w:type="dxa"/>
            <w:hideMark/>
          </w:tcPr>
          <w:p w14:paraId="4D7D7E16" w14:textId="77777777" w:rsidR="00691F2C" w:rsidRPr="00B9633D" w:rsidRDefault="00691F2C" w:rsidP="004E1DDC">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rPr>
            </w:pPr>
            <w:r w:rsidRPr="00B9633D">
              <w:rPr>
                <w:rFonts w:cs="Times New Roman"/>
                <w:color w:val="000000" w:themeColor="text1"/>
              </w:rPr>
              <w:t>Zona de ejecución</w:t>
            </w:r>
          </w:p>
        </w:tc>
        <w:tc>
          <w:tcPr>
            <w:tcW w:w="1380" w:type="dxa"/>
          </w:tcPr>
          <w:p w14:paraId="625ADF77" w14:textId="77777777" w:rsidR="00691F2C" w:rsidRPr="00B9633D" w:rsidRDefault="00691F2C" w:rsidP="004E1DDC">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rPr>
            </w:pPr>
            <w:r w:rsidRPr="00B9633D">
              <w:rPr>
                <w:rFonts w:cs="Times New Roman"/>
                <w:color w:val="000000" w:themeColor="text1"/>
              </w:rPr>
              <w:t xml:space="preserve">Experto </w:t>
            </w:r>
          </w:p>
        </w:tc>
        <w:tc>
          <w:tcPr>
            <w:tcW w:w="1314" w:type="dxa"/>
            <w:hideMark/>
          </w:tcPr>
          <w:p w14:paraId="533BD163" w14:textId="77777777" w:rsidR="00691F2C" w:rsidRPr="00B9633D" w:rsidRDefault="00691F2C" w:rsidP="004E1DDC">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rPr>
            </w:pPr>
            <w:r w:rsidRPr="00B9633D">
              <w:rPr>
                <w:rFonts w:cs="Times New Roman"/>
                <w:color w:val="000000" w:themeColor="text1"/>
              </w:rPr>
              <w:t>Rol</w:t>
            </w:r>
          </w:p>
        </w:tc>
        <w:tc>
          <w:tcPr>
            <w:tcW w:w="3870" w:type="dxa"/>
            <w:hideMark/>
          </w:tcPr>
          <w:p w14:paraId="38DCB827" w14:textId="77777777" w:rsidR="00691F2C" w:rsidRPr="00B9633D" w:rsidRDefault="00691F2C" w:rsidP="004E1DDC">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rPr>
            </w:pPr>
            <w:r w:rsidRPr="00B9633D">
              <w:rPr>
                <w:rFonts w:cs="Times New Roman"/>
                <w:color w:val="000000" w:themeColor="text1"/>
              </w:rPr>
              <w:t>Tema clave en formación y sostenibilidad</w:t>
            </w:r>
          </w:p>
        </w:tc>
      </w:tr>
      <w:tr w:rsidR="00691F2C" w:rsidRPr="00B9633D" w14:paraId="0728D631" w14:textId="77777777" w:rsidTr="008849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14:paraId="18E6BAB6" w14:textId="77777777" w:rsidR="00691F2C" w:rsidRPr="00B9633D" w:rsidRDefault="00691F2C" w:rsidP="004E1DDC">
            <w:pPr>
              <w:rPr>
                <w:rFonts w:cs="Times New Roman"/>
                <w:color w:val="000000" w:themeColor="text1"/>
              </w:rPr>
            </w:pPr>
            <w:r w:rsidRPr="00B9633D">
              <w:rPr>
                <w:rFonts w:cs="Times New Roman"/>
                <w:color w:val="000000" w:themeColor="text1"/>
              </w:rPr>
              <w:t>Consorcio 1</w:t>
            </w:r>
          </w:p>
        </w:tc>
        <w:tc>
          <w:tcPr>
            <w:tcW w:w="1275" w:type="dxa"/>
            <w:hideMark/>
          </w:tcPr>
          <w:p w14:paraId="669595A2"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Sucre</w:t>
            </w:r>
          </w:p>
        </w:tc>
        <w:tc>
          <w:tcPr>
            <w:tcW w:w="1380" w:type="dxa"/>
          </w:tcPr>
          <w:p w14:paraId="139A4690"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Experto 1</w:t>
            </w:r>
          </w:p>
          <w:p w14:paraId="2091CC92"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(E1)</w:t>
            </w:r>
          </w:p>
        </w:tc>
        <w:tc>
          <w:tcPr>
            <w:tcW w:w="1314" w:type="dxa"/>
            <w:hideMark/>
          </w:tcPr>
          <w:p w14:paraId="1461B0BE"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Profesional social</w:t>
            </w:r>
          </w:p>
        </w:tc>
        <w:tc>
          <w:tcPr>
            <w:tcW w:w="3870" w:type="dxa"/>
            <w:hideMark/>
          </w:tcPr>
          <w:p w14:paraId="02C6293E"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Preservación ambiental, estudios socioeconómicos y participación comunitaria</w:t>
            </w:r>
          </w:p>
        </w:tc>
      </w:tr>
      <w:tr w:rsidR="00691F2C" w:rsidRPr="00B9633D" w14:paraId="71F86DC7" w14:textId="77777777" w:rsidTr="00884970">
        <w:tc>
          <w:tcPr>
            <w:cnfStyle w:val="001000000000" w:firstRow="0" w:lastRow="0" w:firstColumn="1" w:lastColumn="0" w:oddVBand="0" w:evenVBand="0" w:oddHBand="0" w:evenHBand="0" w:firstRowFirstColumn="0" w:firstRowLastColumn="0" w:lastRowFirstColumn="0" w:lastRowLastColumn="0"/>
            <w:tcW w:w="1555" w:type="dxa"/>
            <w:hideMark/>
          </w:tcPr>
          <w:p w14:paraId="44ADBECA" w14:textId="77777777" w:rsidR="00691F2C" w:rsidRPr="00B9633D" w:rsidRDefault="00691F2C" w:rsidP="004E1DDC">
            <w:pPr>
              <w:rPr>
                <w:rFonts w:cs="Times New Roman"/>
                <w:color w:val="000000" w:themeColor="text1"/>
              </w:rPr>
            </w:pPr>
            <w:r w:rsidRPr="00B9633D">
              <w:rPr>
                <w:rFonts w:cs="Times New Roman"/>
                <w:color w:val="000000" w:themeColor="text1"/>
              </w:rPr>
              <w:t>Consorcio 2</w:t>
            </w:r>
          </w:p>
        </w:tc>
        <w:tc>
          <w:tcPr>
            <w:tcW w:w="1275" w:type="dxa"/>
            <w:hideMark/>
          </w:tcPr>
          <w:p w14:paraId="587D2390"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Sucre</w:t>
            </w:r>
          </w:p>
        </w:tc>
        <w:tc>
          <w:tcPr>
            <w:tcW w:w="1380" w:type="dxa"/>
          </w:tcPr>
          <w:p w14:paraId="53CA3436"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Experto 2</w:t>
            </w:r>
          </w:p>
          <w:p w14:paraId="0F41E0D9"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(E2)</w:t>
            </w:r>
          </w:p>
        </w:tc>
        <w:tc>
          <w:tcPr>
            <w:tcW w:w="1314" w:type="dxa"/>
            <w:hideMark/>
          </w:tcPr>
          <w:p w14:paraId="6D5BA784"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Profesional SST</w:t>
            </w:r>
          </w:p>
        </w:tc>
        <w:tc>
          <w:tcPr>
            <w:tcW w:w="3870" w:type="dxa"/>
            <w:hideMark/>
          </w:tcPr>
          <w:p w14:paraId="7036661E"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Manejo ambiental, responsabilidad social y apoyo a la economía local</w:t>
            </w:r>
          </w:p>
        </w:tc>
      </w:tr>
      <w:tr w:rsidR="00691F2C" w:rsidRPr="00B9633D" w14:paraId="51C72F7C" w14:textId="77777777" w:rsidTr="008849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14:paraId="62986640" w14:textId="77777777" w:rsidR="00691F2C" w:rsidRPr="00B9633D" w:rsidRDefault="00691F2C" w:rsidP="004E1DDC">
            <w:pPr>
              <w:rPr>
                <w:rFonts w:cs="Times New Roman"/>
                <w:color w:val="000000" w:themeColor="text1"/>
              </w:rPr>
            </w:pPr>
            <w:r w:rsidRPr="00B9633D">
              <w:rPr>
                <w:rFonts w:cs="Times New Roman"/>
                <w:color w:val="000000" w:themeColor="text1"/>
              </w:rPr>
              <w:t>Consorcio 2</w:t>
            </w:r>
          </w:p>
        </w:tc>
        <w:tc>
          <w:tcPr>
            <w:tcW w:w="1275" w:type="dxa"/>
            <w:hideMark/>
          </w:tcPr>
          <w:p w14:paraId="0B9781F1"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Sucre</w:t>
            </w:r>
          </w:p>
        </w:tc>
        <w:tc>
          <w:tcPr>
            <w:tcW w:w="1380" w:type="dxa"/>
          </w:tcPr>
          <w:p w14:paraId="4E60A21D"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Experto 3</w:t>
            </w:r>
          </w:p>
          <w:p w14:paraId="6C3808C6"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(E3)</w:t>
            </w:r>
          </w:p>
        </w:tc>
        <w:tc>
          <w:tcPr>
            <w:tcW w:w="1314" w:type="dxa"/>
            <w:hideMark/>
          </w:tcPr>
          <w:p w14:paraId="3CB596C1"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Ingeniero Civil</w:t>
            </w:r>
          </w:p>
        </w:tc>
        <w:tc>
          <w:tcPr>
            <w:tcW w:w="3870" w:type="dxa"/>
            <w:hideMark/>
          </w:tcPr>
          <w:p w14:paraId="1D6549A6"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Seguridad vial y comunicación asertiva para la interacción con comunidades</w:t>
            </w:r>
          </w:p>
        </w:tc>
      </w:tr>
      <w:tr w:rsidR="00691F2C" w:rsidRPr="00B9633D" w14:paraId="46C4E9B7" w14:textId="77777777" w:rsidTr="00884970">
        <w:tc>
          <w:tcPr>
            <w:cnfStyle w:val="001000000000" w:firstRow="0" w:lastRow="0" w:firstColumn="1" w:lastColumn="0" w:oddVBand="0" w:evenVBand="0" w:oddHBand="0" w:evenHBand="0" w:firstRowFirstColumn="0" w:firstRowLastColumn="0" w:lastRowFirstColumn="0" w:lastRowLastColumn="0"/>
            <w:tcW w:w="1555" w:type="dxa"/>
            <w:hideMark/>
          </w:tcPr>
          <w:p w14:paraId="61757B24" w14:textId="77777777" w:rsidR="00691F2C" w:rsidRPr="00B9633D" w:rsidRDefault="00691F2C" w:rsidP="004E1DDC">
            <w:pPr>
              <w:rPr>
                <w:rFonts w:cs="Times New Roman"/>
                <w:color w:val="000000" w:themeColor="text1"/>
              </w:rPr>
            </w:pPr>
            <w:r w:rsidRPr="00B9633D">
              <w:rPr>
                <w:rFonts w:cs="Times New Roman"/>
                <w:color w:val="000000" w:themeColor="text1"/>
              </w:rPr>
              <w:t>Consorcio 3</w:t>
            </w:r>
          </w:p>
        </w:tc>
        <w:tc>
          <w:tcPr>
            <w:tcW w:w="1275" w:type="dxa"/>
            <w:hideMark/>
          </w:tcPr>
          <w:p w14:paraId="7301FEC6"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Bolívar</w:t>
            </w:r>
          </w:p>
        </w:tc>
        <w:tc>
          <w:tcPr>
            <w:tcW w:w="1380" w:type="dxa"/>
          </w:tcPr>
          <w:p w14:paraId="2E97E4F2"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Experto 4</w:t>
            </w:r>
          </w:p>
          <w:p w14:paraId="1436EADD"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(E4)</w:t>
            </w:r>
          </w:p>
        </w:tc>
        <w:tc>
          <w:tcPr>
            <w:tcW w:w="1314" w:type="dxa"/>
            <w:hideMark/>
          </w:tcPr>
          <w:p w14:paraId="19DCD6B0"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Profesional ambiental</w:t>
            </w:r>
          </w:p>
        </w:tc>
        <w:tc>
          <w:tcPr>
            <w:tcW w:w="3870" w:type="dxa"/>
            <w:hideMark/>
          </w:tcPr>
          <w:p w14:paraId="4824CC78"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Manejo de residuos, afectaciones a la economía local y relacionamiento con comunidades indígenas</w:t>
            </w:r>
          </w:p>
        </w:tc>
      </w:tr>
      <w:tr w:rsidR="00691F2C" w:rsidRPr="00B9633D" w14:paraId="39CAA96F" w14:textId="77777777" w:rsidTr="008849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14:paraId="0B46EE52" w14:textId="77777777" w:rsidR="00691F2C" w:rsidRPr="00B9633D" w:rsidRDefault="00691F2C" w:rsidP="004E1DDC">
            <w:pPr>
              <w:rPr>
                <w:rFonts w:cs="Times New Roman"/>
                <w:color w:val="000000" w:themeColor="text1"/>
              </w:rPr>
            </w:pPr>
            <w:r w:rsidRPr="00B9633D">
              <w:rPr>
                <w:rFonts w:cs="Times New Roman"/>
                <w:color w:val="000000" w:themeColor="text1"/>
              </w:rPr>
              <w:t>Consorcio 4</w:t>
            </w:r>
          </w:p>
        </w:tc>
        <w:tc>
          <w:tcPr>
            <w:tcW w:w="1275" w:type="dxa"/>
            <w:hideMark/>
          </w:tcPr>
          <w:p w14:paraId="3B31754A"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Valle del Cauca</w:t>
            </w:r>
          </w:p>
        </w:tc>
        <w:tc>
          <w:tcPr>
            <w:tcW w:w="1380" w:type="dxa"/>
          </w:tcPr>
          <w:p w14:paraId="736D65E1"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Experto 5</w:t>
            </w:r>
          </w:p>
          <w:p w14:paraId="46EA6C50"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(E5)</w:t>
            </w:r>
          </w:p>
        </w:tc>
        <w:tc>
          <w:tcPr>
            <w:tcW w:w="1314" w:type="dxa"/>
            <w:hideMark/>
          </w:tcPr>
          <w:p w14:paraId="2A4A1168"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Profesional social</w:t>
            </w:r>
          </w:p>
        </w:tc>
        <w:tc>
          <w:tcPr>
            <w:tcW w:w="3870" w:type="dxa"/>
            <w:hideMark/>
          </w:tcPr>
          <w:p w14:paraId="768A7C2C" w14:textId="77777777" w:rsidR="00691F2C" w:rsidRPr="00B9633D" w:rsidRDefault="00691F2C" w:rsidP="004E1DDC">
            <w:pPr>
              <w:cnfStyle w:val="000000100000" w:firstRow="0" w:lastRow="0" w:firstColumn="0" w:lastColumn="0" w:oddVBand="0" w:evenVBand="0" w:oddHBand="1" w:evenHBand="0" w:firstRowFirstColumn="0" w:firstRowLastColumn="0" w:lastRowFirstColumn="0" w:lastRowLastColumn="0"/>
              <w:rPr>
                <w:rFonts w:cs="Times New Roman"/>
                <w:color w:val="000000" w:themeColor="text1"/>
              </w:rPr>
            </w:pPr>
            <w:r w:rsidRPr="00B9633D">
              <w:rPr>
                <w:rFonts w:cs="Times New Roman"/>
                <w:color w:val="000000" w:themeColor="text1"/>
              </w:rPr>
              <w:t>Equidad de género y concientización sobre valores familiares</w:t>
            </w:r>
          </w:p>
        </w:tc>
      </w:tr>
      <w:tr w:rsidR="00691F2C" w:rsidRPr="00B9633D" w14:paraId="69987E1D" w14:textId="77777777" w:rsidTr="00884970">
        <w:tc>
          <w:tcPr>
            <w:cnfStyle w:val="001000000000" w:firstRow="0" w:lastRow="0" w:firstColumn="1" w:lastColumn="0" w:oddVBand="0" w:evenVBand="0" w:oddHBand="0" w:evenHBand="0" w:firstRowFirstColumn="0" w:firstRowLastColumn="0" w:lastRowFirstColumn="0" w:lastRowLastColumn="0"/>
            <w:tcW w:w="1555" w:type="dxa"/>
            <w:hideMark/>
          </w:tcPr>
          <w:p w14:paraId="2ED2CE22" w14:textId="77777777" w:rsidR="00691F2C" w:rsidRPr="00B9633D" w:rsidRDefault="00691F2C" w:rsidP="004E1DDC">
            <w:pPr>
              <w:rPr>
                <w:rFonts w:cs="Times New Roman"/>
                <w:color w:val="000000" w:themeColor="text1"/>
              </w:rPr>
            </w:pPr>
            <w:r w:rsidRPr="00B9633D">
              <w:rPr>
                <w:rFonts w:cs="Times New Roman"/>
                <w:color w:val="000000" w:themeColor="text1"/>
              </w:rPr>
              <w:t>Consorcio 4</w:t>
            </w:r>
          </w:p>
        </w:tc>
        <w:tc>
          <w:tcPr>
            <w:tcW w:w="1275" w:type="dxa"/>
            <w:hideMark/>
          </w:tcPr>
          <w:p w14:paraId="683ABAC7"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Valle del Cauca</w:t>
            </w:r>
          </w:p>
        </w:tc>
        <w:tc>
          <w:tcPr>
            <w:tcW w:w="1380" w:type="dxa"/>
          </w:tcPr>
          <w:p w14:paraId="301C48A0"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Experto 6</w:t>
            </w:r>
          </w:p>
          <w:p w14:paraId="481ADDEB"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(E6)</w:t>
            </w:r>
          </w:p>
        </w:tc>
        <w:tc>
          <w:tcPr>
            <w:tcW w:w="1314" w:type="dxa"/>
            <w:hideMark/>
          </w:tcPr>
          <w:p w14:paraId="49C05843"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Profesional SST</w:t>
            </w:r>
          </w:p>
        </w:tc>
        <w:tc>
          <w:tcPr>
            <w:tcW w:w="3870" w:type="dxa"/>
            <w:hideMark/>
          </w:tcPr>
          <w:p w14:paraId="7306DEA6" w14:textId="77777777" w:rsidR="00691F2C" w:rsidRPr="00B9633D" w:rsidRDefault="00691F2C" w:rsidP="004E1DDC">
            <w:pPr>
              <w:cnfStyle w:val="000000000000" w:firstRow="0" w:lastRow="0" w:firstColumn="0" w:lastColumn="0" w:oddVBand="0" w:evenVBand="0" w:oddHBand="0" w:evenHBand="0" w:firstRowFirstColumn="0" w:firstRowLastColumn="0" w:lastRowFirstColumn="0" w:lastRowLastColumn="0"/>
              <w:rPr>
                <w:rFonts w:cs="Times New Roman"/>
                <w:color w:val="000000" w:themeColor="text1"/>
              </w:rPr>
            </w:pPr>
            <w:r w:rsidRPr="00B9633D">
              <w:rPr>
                <w:rFonts w:cs="Times New Roman"/>
                <w:color w:val="000000" w:themeColor="text1"/>
              </w:rPr>
              <w:t>Cuidado ambiental en reserva forestal y participación comunitaria</w:t>
            </w:r>
          </w:p>
        </w:tc>
      </w:tr>
    </w:tbl>
    <w:p w14:paraId="757D5730" w14:textId="609F0F9E" w:rsidR="009A2AB1" w:rsidRPr="002C7088" w:rsidRDefault="009A2AB1" w:rsidP="009A2AB1">
      <w:pPr>
        <w:pStyle w:val="Sinespaciado"/>
        <w:spacing w:before="120"/>
        <w:rPr>
          <w:szCs w:val="20"/>
        </w:rPr>
      </w:pPr>
      <w:r w:rsidRPr="002C7088">
        <w:rPr>
          <w:i/>
          <w:iCs/>
          <w:szCs w:val="20"/>
        </w:rPr>
        <w:t>Fuente.</w:t>
      </w:r>
      <w:r w:rsidRPr="002C7088">
        <w:rPr>
          <w:szCs w:val="20"/>
        </w:rPr>
        <w:t xml:space="preserve"> (</w:t>
      </w:r>
      <w:r>
        <w:rPr>
          <w:szCs w:val="20"/>
        </w:rPr>
        <w:t>Rodríguez</w:t>
      </w:r>
      <w:r w:rsidRPr="002C7088">
        <w:rPr>
          <w:szCs w:val="20"/>
        </w:rPr>
        <w:t>, 20</w:t>
      </w:r>
      <w:r>
        <w:rPr>
          <w:szCs w:val="20"/>
        </w:rPr>
        <w:t>26</w:t>
      </w:r>
      <w:r w:rsidRPr="002C7088">
        <w:rPr>
          <w:szCs w:val="20"/>
        </w:rPr>
        <w:t xml:space="preserve">). </w:t>
      </w:r>
    </w:p>
    <w:p w14:paraId="0016AF11"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t xml:space="preserve">Dentro de los consorcios se entrevistaron seis profesionales con roles estratégicos y conocimiento directo sobre las prácticas de desarrollo humano y su relación con la sostenibilidad: dos profesionales en el área social, dos profesionales en Seguridad y Salud en el Trabajo, un ingeniero civil y un profesional ambiental. Esta diversidad de perfiles permitió obtener una visión </w:t>
      </w:r>
      <w:r w:rsidRPr="00B9633D">
        <w:rPr>
          <w:rFonts w:cs="Times New Roman"/>
          <w:color w:val="000000" w:themeColor="text1"/>
        </w:rPr>
        <w:lastRenderedPageBreak/>
        <w:t>multidimensional de los procesos formativos y de su impacto en el desempeño sostenible de los proyectos.</w:t>
      </w:r>
    </w:p>
    <w:p w14:paraId="0146BF53" w14:textId="77777777" w:rsidR="00691F2C" w:rsidRPr="006A72FD" w:rsidRDefault="00691F2C" w:rsidP="00691F2C">
      <w:pPr>
        <w:ind w:firstLine="708"/>
        <w:rPr>
          <w:rFonts w:cs="Times New Roman"/>
          <w:color w:val="000000" w:themeColor="text1"/>
        </w:rPr>
      </w:pPr>
      <w:r w:rsidRPr="006A72FD">
        <w:rPr>
          <w:rFonts w:cs="Times New Roman"/>
          <w:color w:val="000000" w:themeColor="text1"/>
        </w:rPr>
        <w:t>Asimismo, se realizó una revisión sistemática de los Pliegos de Condiciones y sus anexos, estipulados por el Instituto Nacional de Vías, con el propósito de identificar los requisitos de sostenibilidad que enmarcan las prácticas de formación y desarrollo humano en los proyectos viales. Esta revisión permitió contrastar los hallazgos empíricos con los lineamientos contractuales y verificar el grado en que las prácticas formativas observadas en campo cumplen lo estipulado por la entidad contratante. Los pliegos establecen criterios ambientales como el uso obligatorio de papel reciclado, la presentación de entregables a doble cara, la existencia de políticas internas de reciclaje y la entrega de la ficha técnica del papel utilizado incluidos en el Factor de Sostenibilidad</w:t>
      </w:r>
      <w:r>
        <w:rPr>
          <w:rFonts w:cs="Times New Roman"/>
          <w:color w:val="000000" w:themeColor="text1"/>
        </w:rPr>
        <w:t>.</w:t>
      </w:r>
    </w:p>
    <w:p w14:paraId="122683B6" w14:textId="77777777" w:rsidR="00691F2C" w:rsidRPr="006A72FD" w:rsidRDefault="00691F2C" w:rsidP="00691F2C">
      <w:pPr>
        <w:ind w:firstLine="708"/>
        <w:rPr>
          <w:rFonts w:cs="Times New Roman"/>
          <w:color w:val="000000" w:themeColor="text1"/>
        </w:rPr>
      </w:pPr>
      <w:r w:rsidRPr="006A72FD">
        <w:rPr>
          <w:rFonts w:cs="Times New Roman"/>
          <w:color w:val="000000" w:themeColor="text1"/>
        </w:rPr>
        <w:t>En la dimensión social, el pliego exige acciones vinculadas con responsabilidad social empresarial y empleo digno, entre ellas la vinculación de personas con discapacidad conforme al Decreto 1082 de 2015 y la verificación de la formación del personal clave requerida para la interventoría</w:t>
      </w:r>
      <w:r>
        <w:rPr>
          <w:rFonts w:cs="Times New Roman"/>
          <w:color w:val="000000" w:themeColor="text1"/>
        </w:rPr>
        <w:t xml:space="preserve">. </w:t>
      </w:r>
      <w:r w:rsidRPr="006A72FD">
        <w:rPr>
          <w:rFonts w:cs="Times New Roman"/>
          <w:color w:val="000000" w:themeColor="text1"/>
        </w:rPr>
        <w:t xml:space="preserve">Asimismo, la normativa incorpora criterios económicos, como la promoción de bienes y servicios de origen nacional y la exigencia de capacidades financieras y organizacionales que requieren procesos internos de formación técnica y administrativa </w:t>
      </w:r>
    </w:p>
    <w:p w14:paraId="6A9792DB" w14:textId="77777777" w:rsidR="00691F2C" w:rsidRDefault="00691F2C" w:rsidP="00691F2C">
      <w:pPr>
        <w:ind w:firstLine="708"/>
        <w:rPr>
          <w:rFonts w:cs="Times New Roman"/>
          <w:color w:val="000000" w:themeColor="text1"/>
        </w:rPr>
      </w:pPr>
      <w:r w:rsidRPr="006A72FD">
        <w:rPr>
          <w:rFonts w:cs="Times New Roman"/>
          <w:color w:val="000000" w:themeColor="text1"/>
        </w:rPr>
        <w:t>En conjunto, estos elementos fueron utilizados como marco normativo para triangular la información empírica, lo que permitió verificar que las prácticas formativas desarrolladas por los consorcios se articulan con los estándares de sostenibilidad ambiental, social y económica</w:t>
      </w:r>
      <w:r>
        <w:rPr>
          <w:rFonts w:cs="Times New Roman"/>
          <w:color w:val="000000" w:themeColor="text1"/>
        </w:rPr>
        <w:t xml:space="preserve"> </w:t>
      </w:r>
      <w:r w:rsidRPr="006A72FD">
        <w:rPr>
          <w:rFonts w:cs="Times New Roman"/>
          <w:color w:val="000000" w:themeColor="text1"/>
        </w:rPr>
        <w:t>exigidos contractualmente por el Estado colombiano.</w:t>
      </w:r>
    </w:p>
    <w:p w14:paraId="571F0C16" w14:textId="77777777" w:rsidR="0032340C" w:rsidRPr="00B9633D" w:rsidRDefault="0032340C" w:rsidP="00691F2C">
      <w:pPr>
        <w:ind w:firstLine="708"/>
        <w:rPr>
          <w:rFonts w:cs="Times New Roman"/>
          <w:color w:val="000000" w:themeColor="text1"/>
        </w:rPr>
      </w:pPr>
    </w:p>
    <w:p w14:paraId="53E9D17A" w14:textId="0B9B9008" w:rsidR="00691F2C" w:rsidRPr="00B9633D" w:rsidRDefault="00691F2C" w:rsidP="00691F2C">
      <w:pPr>
        <w:rPr>
          <w:rFonts w:cs="Times New Roman"/>
          <w:b/>
          <w:bCs/>
          <w:color w:val="000000" w:themeColor="text1"/>
        </w:rPr>
      </w:pPr>
      <w:r w:rsidRPr="00B9633D">
        <w:rPr>
          <w:rFonts w:cs="Times New Roman"/>
          <w:b/>
          <w:bCs/>
          <w:color w:val="000000" w:themeColor="text1"/>
        </w:rPr>
        <w:t xml:space="preserve">Procedimiento de análisis de datos </w:t>
      </w:r>
    </w:p>
    <w:p w14:paraId="4C161348" w14:textId="77777777" w:rsidR="00691F2C" w:rsidRPr="00B9633D" w:rsidRDefault="00691F2C" w:rsidP="00884970">
      <w:pPr>
        <w:ind w:firstLine="708"/>
        <w:rPr>
          <w:rFonts w:cs="Times New Roman"/>
          <w:color w:val="000000" w:themeColor="text1"/>
        </w:rPr>
      </w:pPr>
      <w:r w:rsidRPr="00B9633D">
        <w:rPr>
          <w:rFonts w:cs="Times New Roman"/>
          <w:color w:val="000000" w:themeColor="text1"/>
        </w:rPr>
        <w:t>El análisis de datos se desarrolló mediante una codificación temática por patrones, siguiendo los lineamientos del enfoque cualitativo de Miles et al. (2014).  En primera instancia, las entrevistas semiestructuradas fueron transcritas y segmentadas para facilitar su interpretación. Posteriormente, se aplicó una codificación basada en categorías deductivas derivadas de las dimensiones teóricas que orientaron el diseño de la entrevista, lo que permitió organizar el material en torno a patrones recurrentes, relaciones conceptuales y divergencias significativas entre los participantes. Este procedimiento aseguró la coherencia analítica entre los datos recolectados y los objetivos del estudio, y facilitó la comparación transversal de las respuestas.</w:t>
      </w:r>
    </w:p>
    <w:p w14:paraId="05EE8275" w14:textId="77777777" w:rsidR="00691F2C" w:rsidRPr="00B9633D" w:rsidRDefault="00691F2C" w:rsidP="00691F2C">
      <w:pPr>
        <w:ind w:firstLine="708"/>
        <w:rPr>
          <w:rFonts w:cs="Times New Roman"/>
          <w:color w:val="000000" w:themeColor="text1"/>
        </w:rPr>
      </w:pPr>
      <w:r w:rsidRPr="00B9633D">
        <w:rPr>
          <w:rFonts w:cs="Times New Roman"/>
          <w:color w:val="000000" w:themeColor="text1"/>
        </w:rPr>
        <w:lastRenderedPageBreak/>
        <w:t xml:space="preserve">Paralelamente, se realizó un análisis documental mediante una lectura sistemática de los pliegos de condiciones, así como de documentos institucionales relacionados con planes de formación, prácticas ambientales y lineamientos de responsabilidad social. La revisión de este material permitió identificar criterios normativos, requerimientos contractuales y directrices internas relevantes para contextualizar e interpretar la información obtenida a través de las entrevistas. El proceso analítico se efectuó de manera manual, integrando la información proveniente de las distintas fuentes mediante un proceso de triangulación metodológica. Esta triangulación permitió contrastar los hallazgos de las entrevistas con los documentos institucionales y los anexos de cada proyecto, fortaleciendo la validez del análisis y garantizando una interpretación más completa y rigurosa del fenómeno estudiado. </w:t>
      </w:r>
    </w:p>
    <w:p w14:paraId="73218D0E" w14:textId="77777777" w:rsidR="00594CB8" w:rsidRPr="00594CB8" w:rsidRDefault="00594CB8" w:rsidP="00594CB8">
      <w:pPr>
        <w:rPr>
          <w:rFonts w:cs="Times New Roman"/>
          <w:szCs w:val="24"/>
        </w:rPr>
      </w:pPr>
    </w:p>
    <w:p w14:paraId="088A835F" w14:textId="69F13269" w:rsidR="006859D0" w:rsidRDefault="00594CB8" w:rsidP="00594CB8">
      <w:pPr>
        <w:pStyle w:val="Ttulo1"/>
      </w:pPr>
      <w:r>
        <w:t>Marco teórico</w:t>
      </w:r>
    </w:p>
    <w:p w14:paraId="39F26193" w14:textId="77777777" w:rsidR="00594CB8" w:rsidRPr="00594CB8" w:rsidRDefault="00594CB8" w:rsidP="00594CB8"/>
    <w:p w14:paraId="25E38CFC"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Teoría de enlace del estudio: Visión de la Firma basada en Recursos</w:t>
      </w:r>
    </w:p>
    <w:p w14:paraId="25A46349"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 xml:space="preserve">La Visión de la Firma Basada en Recursos (RBV) constituye uno de los marcos conceptuales más influyentes para analizar cómo las organizaciones construyen ventajas competitivas sostenibles a partir de recursos valiosos, raros, inimitables y organizados (Barney, 1991). Dentro de esta perspectiva, el capital humano ocupa un lugar central, pues las capacidades cognitivas, técnicas y socioemocionales de los trabajadores determinan la capacidad organizacional para adaptarse, innovar y generar valor en entornos dinámicos (Wright &amp; McMahan, 2011). La consolidación de ventaja competitiva depende crecientemente de capacidades basadas en conocimiento, aprendizaje, liderazgo y resiliencia, las cuales difícilmente pueden ser imitadas por otras organizaciones (Becker &amp; Gerhart, 1996). En continuidad con esta perspectiva, la diferenciación estratégica de la fuerza laboral implica asignar recursos y procesos de gestión del talento según el impacto relativo de los roles en los resultados organizacionales, lo cual fortalece la alineación entre capacidades críticas y desempeño (Becker et al., 2011). Investigaciones recientes han ampliado el alcance de la RBV hacia contextos complejos, destacando cómo las capacidades humanas sostienen procesos de sostenibilidad y legitimidad social (Lu et al., 2023). </w:t>
      </w:r>
    </w:p>
    <w:p w14:paraId="2E81A2CA" w14:textId="77777777" w:rsidR="009A2AB1" w:rsidRDefault="009A2AB1" w:rsidP="009A2AB1">
      <w:pPr>
        <w:ind w:firstLine="708"/>
        <w:rPr>
          <w:rFonts w:cs="Times New Roman"/>
          <w:color w:val="000000" w:themeColor="text1"/>
        </w:rPr>
      </w:pPr>
      <w:r w:rsidRPr="00B9633D">
        <w:rPr>
          <w:rFonts w:cs="Times New Roman"/>
          <w:color w:val="000000" w:themeColor="text1"/>
        </w:rPr>
        <w:t xml:space="preserve">Desde esta perspectiva, la formación y el desarrollo de talento se conciben como mecanismos que fortalecen capacidades organizacionales, particularmente en sectores donde las operaciones están sujetas a escrutinio social y ambiental (Renwick et al., 2013). Autores recientes han enfatizado que el desarrollo humano contribuye a ecosistemas organizacionales sostenibles, </w:t>
      </w:r>
      <w:r w:rsidRPr="00B9633D">
        <w:rPr>
          <w:rFonts w:cs="Times New Roman"/>
          <w:color w:val="000000" w:themeColor="text1"/>
        </w:rPr>
        <w:lastRenderedPageBreak/>
        <w:t>integrando capacidades individuales, legitimidad social y resiliencia económica (Lu et al., 2023). En consecuencia, la RBV ofrece el fundamento teórico para analizar cómo las prácticas formativas mejoran los resultados de sostenibilidad en organizaciones que operan en entornos complejos, como los territorios de posconflicto (Renwick et al., 2013).</w:t>
      </w:r>
    </w:p>
    <w:p w14:paraId="1D8AF121" w14:textId="77777777" w:rsidR="0032340C" w:rsidRPr="00B9633D" w:rsidRDefault="0032340C" w:rsidP="009A2AB1">
      <w:pPr>
        <w:ind w:firstLine="708"/>
        <w:rPr>
          <w:rFonts w:cs="Times New Roman"/>
          <w:color w:val="000000" w:themeColor="text1"/>
        </w:rPr>
      </w:pPr>
    </w:p>
    <w:p w14:paraId="3E4EECDC"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Desarrollo de los Recursos Humanos </w:t>
      </w:r>
    </w:p>
    <w:p w14:paraId="74E186B7"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 xml:space="preserve">El desarrollo de los recursos humanos (DRH) comprende un conjunto de procesos planificados para fortalecer las competencias, actitudes y conocimientos de los </w:t>
      </w:r>
      <w:r>
        <w:rPr>
          <w:rFonts w:cs="Times New Roman"/>
          <w:color w:val="000000" w:themeColor="text1"/>
        </w:rPr>
        <w:t>trabajadores</w:t>
      </w:r>
      <w:r w:rsidRPr="00B9633D">
        <w:rPr>
          <w:rFonts w:cs="Times New Roman"/>
          <w:color w:val="000000" w:themeColor="text1"/>
        </w:rPr>
        <w:t>, con el fin de mejorar su desempeño y contribuir a los objetivos organizacionales (Noe, 2020). Asimismo, el DRH implica promover el aprendizaje continuo y la construcción de significado en el trabajo, donde el individuo se concibe como sujeto activo de crecimiento y transformación (Holton, 1996).</w:t>
      </w:r>
    </w:p>
    <w:p w14:paraId="0AFA0FAC" w14:textId="77777777" w:rsidR="009A2AB1" w:rsidRDefault="009A2AB1" w:rsidP="009A2AB1">
      <w:pPr>
        <w:ind w:firstLine="708"/>
        <w:rPr>
          <w:rFonts w:cs="Times New Roman"/>
          <w:color w:val="000000" w:themeColor="text1"/>
        </w:rPr>
      </w:pPr>
      <w:r w:rsidRPr="00B9633D">
        <w:rPr>
          <w:rFonts w:cs="Times New Roman"/>
          <w:color w:val="000000" w:themeColor="text1"/>
        </w:rPr>
        <w:t xml:space="preserve">En esta línea, Holton (1996) amplió este enfoque, proponiendo un modelo multidimensional que incluye aprendizaje, desempeño individual y resultados organizacionales. Este planteamiento integrador posiciona al DRH como una función estratégica clave, alineada con los objetivos organizacionales (Swanson &amp; Holton, 2001). De manera complementaria, </w:t>
      </w:r>
      <w:proofErr w:type="spellStart"/>
      <w:r w:rsidRPr="00B9633D">
        <w:rPr>
          <w:rFonts w:cs="Times New Roman"/>
          <w:color w:val="000000" w:themeColor="text1"/>
        </w:rPr>
        <w:t>Garavan</w:t>
      </w:r>
      <w:proofErr w:type="spellEnd"/>
      <w:r w:rsidRPr="00B9633D">
        <w:rPr>
          <w:rFonts w:cs="Times New Roman"/>
          <w:color w:val="000000" w:themeColor="text1"/>
        </w:rPr>
        <w:t xml:space="preserve"> et al. (1995) proponen un enfoque holístico del DRH que integra las dimensiones individual, grupal y organizacional, destacando la importancia de las culturas de aprendizaje y el empoderamiento, además de la influencia de los contextos socioculturales. Desde esta perspectiva, Salas et al. (2012) abordan el DRH desde la psicología aplicada, enfocándose en el diseño y la transferencia de la formación organizacional. De acuerdo con </w:t>
      </w:r>
      <w:proofErr w:type="spellStart"/>
      <w:r w:rsidRPr="00B9633D">
        <w:rPr>
          <w:rFonts w:cs="Times New Roman"/>
          <w:color w:val="000000" w:themeColor="text1"/>
        </w:rPr>
        <w:t>Garavan</w:t>
      </w:r>
      <w:proofErr w:type="spellEnd"/>
      <w:r w:rsidRPr="00B9633D">
        <w:rPr>
          <w:rFonts w:cs="Times New Roman"/>
          <w:color w:val="000000" w:themeColor="text1"/>
        </w:rPr>
        <w:t xml:space="preserve"> y McGuire (2010), el desarrollo de los recursos humanos trasciende la formación técnica, integrando dimensiones éticas y sociales que fortalecen la responsabilidad corporativa. En conjunto, estos autores subrayan la relevancia de la efectividad de la formación, el clima de transferencia y el liderazgo como facilitadores del aprendizaje, insistiendo en la necesidad de intervenciones basadas en evidencia (Salas et al., 2012). </w:t>
      </w:r>
    </w:p>
    <w:p w14:paraId="2759CAC1" w14:textId="77777777" w:rsidR="0032340C" w:rsidRPr="00B9633D" w:rsidRDefault="0032340C" w:rsidP="009A2AB1">
      <w:pPr>
        <w:ind w:firstLine="708"/>
        <w:rPr>
          <w:rFonts w:cs="Times New Roman"/>
          <w:color w:val="000000" w:themeColor="text1"/>
        </w:rPr>
      </w:pPr>
    </w:p>
    <w:p w14:paraId="3637F042"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Desarrollo estratégico de los recursos humanos </w:t>
      </w:r>
    </w:p>
    <w:p w14:paraId="1B08E55A" w14:textId="77777777" w:rsidR="009A2AB1" w:rsidRDefault="009A2AB1" w:rsidP="00884970">
      <w:pPr>
        <w:ind w:firstLine="708"/>
        <w:rPr>
          <w:rFonts w:cs="Times New Roman"/>
          <w:color w:val="000000" w:themeColor="text1"/>
        </w:rPr>
      </w:pPr>
      <w:r w:rsidRPr="00B9633D">
        <w:rPr>
          <w:rFonts w:cs="Times New Roman"/>
          <w:color w:val="000000" w:themeColor="text1"/>
        </w:rPr>
        <w:t xml:space="preserve">El desarrollo estratégico de los recursos humanos (DERH) se sustenta en la alineación entre las prácticas de formación, los objetivos corporativos y la creación de ventajas competitivas sostenibles (Delery &amp; </w:t>
      </w:r>
      <w:proofErr w:type="spellStart"/>
      <w:r w:rsidRPr="00B9633D">
        <w:rPr>
          <w:rFonts w:cs="Times New Roman"/>
          <w:color w:val="000000" w:themeColor="text1"/>
        </w:rPr>
        <w:t>Roumpi</w:t>
      </w:r>
      <w:proofErr w:type="spellEnd"/>
      <w:r w:rsidRPr="00B9633D">
        <w:rPr>
          <w:rFonts w:cs="Times New Roman"/>
          <w:color w:val="000000" w:themeColor="text1"/>
        </w:rPr>
        <w:t xml:space="preserve">, 2017). En este sentido, el desarrollo del talento, la agilidad de aprendizaje y la gestión del conocimiento son claves para el éxito estratégico (Grant, 1996). Así, </w:t>
      </w:r>
      <w:r w:rsidRPr="00B9633D">
        <w:rPr>
          <w:rFonts w:cs="Times New Roman"/>
          <w:color w:val="000000" w:themeColor="text1"/>
        </w:rPr>
        <w:lastRenderedPageBreak/>
        <w:t>el DERH se convierte en un componente esencial del desarrollo organizacional, pues integra la gestión del conocimiento, el liderazgo transformacional y la cultura de aprendizaje (Becker et al., 2011).  De forma integrada, la RBV con el desarrollo de recursos humanos implica que las organizaciones pueden pasar de modelos reactivos a enfoques estratégicos proactivos, permitiendo anticiparse a las necesidades de talento y generar valor a largo plazo (Osorio Londoño et al., 2020).</w:t>
      </w:r>
    </w:p>
    <w:p w14:paraId="0E387B9D" w14:textId="77777777" w:rsidR="0032340C" w:rsidRPr="00B9633D" w:rsidRDefault="0032340C" w:rsidP="00884970">
      <w:pPr>
        <w:ind w:firstLine="708"/>
        <w:rPr>
          <w:rFonts w:cs="Times New Roman"/>
          <w:color w:val="000000" w:themeColor="text1"/>
        </w:rPr>
      </w:pPr>
    </w:p>
    <w:p w14:paraId="3F536B36"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Green Human </w:t>
      </w:r>
      <w:proofErr w:type="spellStart"/>
      <w:r w:rsidRPr="00B9633D">
        <w:rPr>
          <w:rFonts w:cs="Times New Roman"/>
          <w:b/>
          <w:bCs/>
          <w:color w:val="000000" w:themeColor="text1"/>
        </w:rPr>
        <w:t>Resource</w:t>
      </w:r>
      <w:proofErr w:type="spellEnd"/>
      <w:r w:rsidRPr="00B9633D">
        <w:rPr>
          <w:rFonts w:cs="Times New Roman"/>
          <w:b/>
          <w:bCs/>
          <w:color w:val="000000" w:themeColor="text1"/>
        </w:rPr>
        <w:t xml:space="preserve"> Management (Practicas de Gestión Humana Verde – Green HRM)</w:t>
      </w:r>
    </w:p>
    <w:p w14:paraId="7E44D553" w14:textId="77777777" w:rsidR="009A2AB1" w:rsidRDefault="009A2AB1" w:rsidP="00884970">
      <w:pPr>
        <w:ind w:firstLine="708"/>
        <w:rPr>
          <w:rFonts w:cs="Times New Roman"/>
          <w:color w:val="000000" w:themeColor="text1"/>
        </w:rPr>
      </w:pPr>
      <w:r w:rsidRPr="00B9633D">
        <w:rPr>
          <w:rFonts w:cs="Times New Roman"/>
          <w:color w:val="000000" w:themeColor="text1"/>
        </w:rPr>
        <w:t xml:space="preserve">El Green HRM emerge como un enfoque que integra prácticas de gestión humana orientadas a promover comportamientos ambientalmente responsables. Dichas prácticas incluyen reclutamiento verde, formación en sostenibilidad, evaluación del desempeño con criterios ambientales, incentivos ecológicos y fortalecimiento de la cultura ambiental corporativa (Renwick et al., 2013). La literatura reciente ha demostrado que el Green HRM fortalece el compromiso organizacional y promueve actitudes proambientales sostenibles (Amrutha &amp; Geetha, 2020). En sectores como la infraestructura vial, donde las obras generan impactos significativos sobre los ecosistemas, la formación ambiental se convierte en un elemento crítico para el cumplimiento normativo, la mitigación de riesgos y la consolidación de la licencia social para operar (Ren et al., 2023). Por lo tanto, las practicas DRH pueden asumir un rol verde al mejorar las competencias ambientales y responsables de los trabajadores. </w:t>
      </w:r>
    </w:p>
    <w:p w14:paraId="7C9C7AC6" w14:textId="77777777" w:rsidR="0032340C" w:rsidRPr="00B9633D" w:rsidRDefault="0032340C" w:rsidP="00884970">
      <w:pPr>
        <w:ind w:firstLine="708"/>
        <w:rPr>
          <w:rFonts w:cs="Times New Roman"/>
          <w:color w:val="000000" w:themeColor="text1"/>
        </w:rPr>
      </w:pPr>
    </w:p>
    <w:p w14:paraId="31B8C1C5"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Sostenibilidad Organizacional </w:t>
      </w:r>
    </w:p>
    <w:p w14:paraId="17EE7CB5"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La sostenibilidad ha evolucionado hacia un marco estratégico que articula las dimensiones económica, social y ambiental del desarrollo organizacional (Alaña Castillo et al., 2017). El Informe Brundtland (WCED, 1987) y el Triple Bottom Line personas, planeta y beneficios (Elkington, 1997) consolidaron una visión integral del desarrollo sostenible. Posteriormente, el autor amplió este enfoque integrador incorporando nuevas dimensiones asociadas al gobierno corporativo, la ciudadanía empresarial y la ética organizacional, reforzando la importancia de la sostenibilidad como un sistema interdependiente (Elkington, 2006).</w:t>
      </w:r>
    </w:p>
    <w:p w14:paraId="3332F2F0"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 xml:space="preserve"> Desde el enfoque empresarial, el concepto de valor compartido (Porter &amp; Kramer, 2011) propone que las organizaciones pueden generar competitividad mientras contribuyen a resolver necesidades sociales y ambientales. En consecuencia, esta transformación implica que la sostenibilidad se integre al núcleo estratégico del negocio, más allá de la filantropía (Melamed et </w:t>
      </w:r>
      <w:r w:rsidRPr="00B9633D">
        <w:rPr>
          <w:rFonts w:cs="Times New Roman"/>
          <w:color w:val="000000" w:themeColor="text1"/>
        </w:rPr>
        <w:lastRenderedPageBreak/>
        <w:t>al., 2018).</w:t>
      </w:r>
      <w:r w:rsidRPr="00B9633D">
        <w:rPr>
          <w:rFonts w:cs="Times New Roman"/>
        </w:rPr>
        <w:t xml:space="preserve"> </w:t>
      </w:r>
      <w:r w:rsidRPr="00B9633D">
        <w:rPr>
          <w:rFonts w:cs="Times New Roman"/>
          <w:color w:val="000000" w:themeColor="text1"/>
        </w:rPr>
        <w:t xml:space="preserve">Esta visión converge con lo planteado por Pastor Seller (2004), quien afirma que la sostenibilidad requiere pasar de prácticas aisladas de responsabilidad social a modelos de gestión integrados que articulen gobernanza, ética y valor compartido. </w:t>
      </w:r>
    </w:p>
    <w:p w14:paraId="79168C25" w14:textId="1A1EEACE" w:rsidR="00740E4C" w:rsidRDefault="009A2AB1" w:rsidP="0032340C">
      <w:pPr>
        <w:ind w:firstLine="708"/>
        <w:rPr>
          <w:rFonts w:cs="Times New Roman"/>
          <w:color w:val="000000" w:themeColor="text1"/>
        </w:rPr>
      </w:pPr>
      <w:r w:rsidRPr="00B9633D">
        <w:rPr>
          <w:rFonts w:cs="Times New Roman"/>
          <w:color w:val="000000" w:themeColor="text1"/>
        </w:rPr>
        <w:t>En este sentido, La RSE funciona como mecanismo operativo de la sostenibilidad, guiada por principios éticos, derechos humanos e inclusión social (</w:t>
      </w:r>
      <w:proofErr w:type="spellStart"/>
      <w:r w:rsidRPr="00B9633D">
        <w:rPr>
          <w:rFonts w:cs="Times New Roman"/>
          <w:color w:val="000000" w:themeColor="text1"/>
        </w:rPr>
        <w:t>Aguinis</w:t>
      </w:r>
      <w:proofErr w:type="spellEnd"/>
      <w:r w:rsidRPr="00B9633D">
        <w:rPr>
          <w:rFonts w:cs="Times New Roman"/>
          <w:color w:val="000000" w:themeColor="text1"/>
        </w:rPr>
        <w:t xml:space="preserve"> &amp; Glavas, 2019). Marcos como ISO 26000 (ISO, 2010) impulsan prácticas responsables que van más allá del cumplimiento normativo. A la luz de estos planteamientos, Marín &amp; Pérez (2024) destacan que las organizaciones requieren enfoques sistémicos e innovadores para abordar simultáneamente desafíos sociales, económicos y ambientales.</w:t>
      </w:r>
    </w:p>
    <w:p w14:paraId="5C3357A6" w14:textId="77777777" w:rsidR="0032340C" w:rsidRPr="00B9633D" w:rsidRDefault="0032340C" w:rsidP="0032340C">
      <w:pPr>
        <w:ind w:firstLine="708"/>
        <w:rPr>
          <w:rFonts w:cs="Times New Roman"/>
          <w:color w:val="000000" w:themeColor="text1"/>
        </w:rPr>
      </w:pPr>
    </w:p>
    <w:p w14:paraId="15F02A72" w14:textId="77777777" w:rsidR="009A2AB1" w:rsidRPr="00B9633D" w:rsidRDefault="009A2AB1" w:rsidP="009A2AB1">
      <w:pPr>
        <w:rPr>
          <w:rFonts w:cs="Times New Roman"/>
          <w:b/>
          <w:bCs/>
          <w:i/>
          <w:iCs/>
          <w:color w:val="000000" w:themeColor="text1"/>
        </w:rPr>
      </w:pPr>
      <w:r w:rsidRPr="00B9633D">
        <w:rPr>
          <w:rFonts w:cs="Times New Roman"/>
          <w:b/>
          <w:bCs/>
          <w:i/>
          <w:iCs/>
          <w:color w:val="000000" w:themeColor="text1"/>
        </w:rPr>
        <w:t>Dimensiones de la sostenibilidad</w:t>
      </w:r>
    </w:p>
    <w:p w14:paraId="39991515"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La sostenibilidad enfocada en RSE se estructura principalmente a partir de tres dimensiones interdependientes: económica, social y ambiental (Pérez et al., 2016). En primer lugar, la dimensión económica busca garantizar la viabilidad financiera de las organizaciones y su capacidad para generar empleo digno (Porter &amp; Kramer, 2011). En segundo lugar, la dimensión social se orienta al fortalecimiento del capital humano, la equidad de género, la inclusión y el respeto por los derechos laborales (</w:t>
      </w:r>
      <w:bookmarkStart w:id="17" w:name="_Hlk214744640"/>
      <w:r w:rsidRPr="00B9633D">
        <w:rPr>
          <w:rFonts w:cs="Times New Roman"/>
          <w:color w:val="000000" w:themeColor="text1"/>
        </w:rPr>
        <w:t>UNDP, 2022</w:t>
      </w:r>
      <w:bookmarkEnd w:id="17"/>
      <w:r w:rsidRPr="00B9633D">
        <w:rPr>
          <w:rFonts w:cs="Times New Roman"/>
          <w:color w:val="000000" w:themeColor="text1"/>
        </w:rPr>
        <w:t xml:space="preserve">). Por último, la dimensión ambiental, se orienta a reducir el impacto ecológico de las operaciones mediante eficiencia energética, gestión de residuos y reclutamiento verde, posicionando a las empresas como agentes de transición hacia modelos bajos en carbono (Amrutha &amp; Geetha, 2020). </w:t>
      </w:r>
    </w:p>
    <w:p w14:paraId="40CA8CE9" w14:textId="77777777" w:rsidR="009A2AB1" w:rsidRDefault="009A2AB1" w:rsidP="009A2AB1">
      <w:pPr>
        <w:ind w:firstLine="708"/>
        <w:rPr>
          <w:rFonts w:cs="Times New Roman"/>
          <w:color w:val="000000" w:themeColor="text1"/>
        </w:rPr>
      </w:pPr>
      <w:r w:rsidRPr="00B9633D">
        <w:rPr>
          <w:rFonts w:cs="Times New Roman"/>
          <w:color w:val="000000" w:themeColor="text1"/>
        </w:rPr>
        <w:t>En conjunto, estas dimensiones conforman el triple bottom line, que permite evaluar el equilibrio entre crecimiento económico, bienestar social y conservación ecológica (Elkington, 1997). Por lo tanto, la RSE se proyecta como una estrategia de gobernanza avanzada que integra desempeño económico, justicia social y sostenibilidad ambiental, en sintonía con las dimensiones de sostenibilidad (ONU, 2015).</w:t>
      </w:r>
    </w:p>
    <w:p w14:paraId="4654B975" w14:textId="77777777" w:rsidR="0032340C" w:rsidRPr="00B9633D" w:rsidRDefault="0032340C" w:rsidP="009A2AB1">
      <w:pPr>
        <w:ind w:firstLine="708"/>
        <w:rPr>
          <w:rFonts w:cs="Times New Roman"/>
          <w:color w:val="000000" w:themeColor="text1"/>
        </w:rPr>
      </w:pPr>
    </w:p>
    <w:p w14:paraId="358CAF05"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Desarrollo humano y su vínculo con la sostenibilidad</w:t>
      </w:r>
    </w:p>
    <w:p w14:paraId="71232DA0"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 xml:space="preserve">El desarrollo humano, entendido como el proceso de ampliación de las capacidades y libertades de las personas para ser y hacer lo que valoran, se constituye en un eje articulador entre bienestar individual y progreso colectivo (Sen, 1999). Desde una perspectiva organizacional, el desarrollo humano implica reconocer a los </w:t>
      </w:r>
      <w:r>
        <w:rPr>
          <w:rFonts w:cs="Times New Roman"/>
          <w:color w:val="000000" w:themeColor="text1"/>
        </w:rPr>
        <w:t>trabajadores</w:t>
      </w:r>
      <w:r w:rsidRPr="00B9633D">
        <w:rPr>
          <w:rFonts w:cs="Times New Roman"/>
          <w:color w:val="000000" w:themeColor="text1"/>
        </w:rPr>
        <w:t xml:space="preserve"> como sujetos activos de aprendizaje y </w:t>
      </w:r>
      <w:r w:rsidRPr="00B9633D">
        <w:rPr>
          <w:rFonts w:cs="Times New Roman"/>
          <w:color w:val="000000" w:themeColor="text1"/>
        </w:rPr>
        <w:lastRenderedPageBreak/>
        <w:t>transformación (</w:t>
      </w:r>
      <w:proofErr w:type="spellStart"/>
      <w:r w:rsidRPr="00B9633D">
        <w:rPr>
          <w:rFonts w:cs="Times New Roman"/>
          <w:color w:val="000000" w:themeColor="text1"/>
        </w:rPr>
        <w:t>Garavan</w:t>
      </w:r>
      <w:proofErr w:type="spellEnd"/>
      <w:r w:rsidRPr="00B9633D">
        <w:rPr>
          <w:rFonts w:cs="Times New Roman"/>
          <w:color w:val="000000" w:themeColor="text1"/>
        </w:rPr>
        <w:t xml:space="preserve"> &amp; McGuire, 2010). En consecuencia, las empresas que operan en territorios de posconflicto enfrentan el desafío de combinar productividad con inclusión, generando entornos laborales que promuevan la dignidad, la equidad y la cohesión social (UNDP, 2022).</w:t>
      </w:r>
    </w:p>
    <w:p w14:paraId="6D9A5905" w14:textId="77777777" w:rsidR="009A2AB1" w:rsidRPr="00B9633D" w:rsidRDefault="009A2AB1" w:rsidP="009A2AB1">
      <w:pPr>
        <w:rPr>
          <w:rFonts w:cs="Times New Roman"/>
          <w:color w:val="000000" w:themeColor="text1"/>
        </w:rPr>
      </w:pPr>
      <w:r w:rsidRPr="00B9633D">
        <w:rPr>
          <w:rFonts w:cs="Times New Roman"/>
          <w:color w:val="000000" w:themeColor="text1"/>
        </w:rPr>
        <w:t xml:space="preserve"> </w:t>
      </w:r>
      <w:r w:rsidRPr="00B9633D">
        <w:rPr>
          <w:rFonts w:cs="Times New Roman"/>
          <w:color w:val="000000" w:themeColor="text1"/>
        </w:rPr>
        <w:tab/>
        <w:t>Al integrarse con la sostenibilidad concebida como la capacidad de satisfacer necesidades presentes sin comprometer a las futuras generaciones (WCED, 1987)</w:t>
      </w:r>
      <w:r>
        <w:rPr>
          <w:rFonts w:cs="Times New Roman"/>
          <w:color w:val="000000" w:themeColor="text1"/>
        </w:rPr>
        <w:t>.</w:t>
      </w:r>
      <w:r w:rsidRPr="00B9633D">
        <w:rPr>
          <w:rFonts w:cs="Times New Roman"/>
          <w:color w:val="000000" w:themeColor="text1"/>
        </w:rPr>
        <w:t xml:space="preserve"> En este marco, Portney (2015) propone una visión de sostenibilidad que incorpora dimensiones económicas, sociales, ambientales y culturales, y que exige estructuras institucionales sólidas, participación ciudadana y gobernanza inclusiva. De manera complementaria, Elkington (1997) contribuye con el modelo del Triple Bottom Line (personas, planeta y beneficios), integrando desarrollo humano y sostenibilidad en el contexto organizacional y político.</w:t>
      </w:r>
    </w:p>
    <w:p w14:paraId="5556056F"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 xml:space="preserve"> Asimismo, Porter y Kramer (2011) plantean el valor compartido como una vía para que las empresas generen impacto social y ambiental positivo desde su modelo productivo, fortaleciendo comunidades y competitividad. En esa misma línea, Amrutha y Geetha (2020) complementan este enfoque al destacar cómo la gestión verde del </w:t>
      </w:r>
      <w:r>
        <w:rPr>
          <w:rFonts w:cs="Times New Roman"/>
          <w:color w:val="000000" w:themeColor="text1"/>
        </w:rPr>
        <w:t>desarrollo</w:t>
      </w:r>
      <w:r w:rsidRPr="00B9633D">
        <w:rPr>
          <w:rFonts w:cs="Times New Roman"/>
          <w:color w:val="000000" w:themeColor="text1"/>
        </w:rPr>
        <w:t xml:space="preserve"> humano, reclutamiento ecológico, formación sostenible y evaluación ambiental contribuyen con una cultura corporativa orientada al desarrollo con conciencia ecológica.</w:t>
      </w:r>
    </w:p>
    <w:p w14:paraId="601B4D76" w14:textId="77777777" w:rsidR="009A2AB1" w:rsidRPr="00B9633D" w:rsidRDefault="009A2AB1" w:rsidP="009A2AB1">
      <w:pPr>
        <w:ind w:firstLine="709"/>
        <w:rPr>
          <w:rFonts w:cs="Times New Roman"/>
          <w:color w:val="000000" w:themeColor="text1"/>
        </w:rPr>
      </w:pPr>
      <w:r w:rsidRPr="00B9633D">
        <w:rPr>
          <w:rFonts w:cs="Times New Roman"/>
          <w:color w:val="000000" w:themeColor="text1"/>
        </w:rPr>
        <w:t>En el contexto latinoamericano, iniciativas como el Instituto Ethos (Brasil), Acción RSE (Chile) y el Centro Colombiano de Responsabilidad Empresarial evidencian que la colaboración entre sectores permite adaptar la sostenibilidad a contextos locales (</w:t>
      </w:r>
      <w:r>
        <w:rPr>
          <w:rFonts w:cs="Times New Roman"/>
          <w:color w:val="000000" w:themeColor="text1"/>
        </w:rPr>
        <w:t xml:space="preserve">Barragán </w:t>
      </w:r>
      <w:r w:rsidRPr="00B9633D">
        <w:rPr>
          <w:rFonts w:cs="Times New Roman"/>
          <w:color w:val="000000" w:themeColor="text1"/>
        </w:rPr>
        <w:t>et al., 20</w:t>
      </w:r>
      <w:r>
        <w:rPr>
          <w:rFonts w:cs="Times New Roman"/>
          <w:color w:val="000000" w:themeColor="text1"/>
        </w:rPr>
        <w:t>24</w:t>
      </w:r>
      <w:r w:rsidRPr="00B9633D">
        <w:rPr>
          <w:rFonts w:cs="Times New Roman"/>
          <w:color w:val="000000" w:themeColor="text1"/>
        </w:rPr>
        <w:t>). Estos avances evidencian que progresar hacia el desarrollo humano sostenible requiere cambios culturales, institucionales y organizacionales (Chávez et al., 2021). En síntesis, el desarrollo humano sostenible representa un paradigma integral que convoca a gobiernos, empresas y sociedad civil a reconfigurar sus modelos hacia una convivencia basada en equidad, dignidad humana y respeto ambiental, asegurando un futuro justo y viable (Portney, 2015).</w:t>
      </w:r>
    </w:p>
    <w:p w14:paraId="1277956A" w14:textId="77777777" w:rsidR="009A2AB1" w:rsidRPr="00B9633D" w:rsidRDefault="009A2AB1" w:rsidP="009A2AB1">
      <w:pPr>
        <w:ind w:firstLine="709"/>
        <w:rPr>
          <w:rFonts w:cs="Times New Roman"/>
          <w:color w:val="000000" w:themeColor="text1"/>
        </w:rPr>
      </w:pPr>
      <w:r w:rsidRPr="00B9633D">
        <w:rPr>
          <w:rFonts w:cs="Times New Roman"/>
          <w:color w:val="000000" w:themeColor="text1"/>
        </w:rPr>
        <w:t xml:space="preserve">En este contexto, las prácticas de desarrollo humano orientadas a la formación adquieren un rol estratégico al potenciar el desempeño sostenible de las organizaciones, (Delery &amp; </w:t>
      </w:r>
      <w:proofErr w:type="spellStart"/>
      <w:r w:rsidRPr="00B9633D">
        <w:rPr>
          <w:rFonts w:cs="Times New Roman"/>
          <w:color w:val="000000" w:themeColor="text1"/>
        </w:rPr>
        <w:t>Roumpi</w:t>
      </w:r>
      <w:proofErr w:type="spellEnd"/>
      <w:r w:rsidRPr="00B9633D">
        <w:rPr>
          <w:rFonts w:cs="Times New Roman"/>
          <w:color w:val="000000" w:themeColor="text1"/>
        </w:rPr>
        <w:t xml:space="preserve">, 2017). Según </w:t>
      </w:r>
      <w:r w:rsidRPr="00B9633D">
        <w:rPr>
          <w:rFonts w:cs="Times New Roman"/>
        </w:rPr>
        <w:t xml:space="preserve">Gahlawat y Kundu (2019), </w:t>
      </w:r>
      <w:r w:rsidRPr="00B9633D">
        <w:rPr>
          <w:rFonts w:cs="Times New Roman"/>
          <w:color w:val="000000" w:themeColor="text1"/>
        </w:rPr>
        <w:t xml:space="preserve">la formación no solo mejora las competencias técnicas, sino que también fortalece habilidades blandas, éticas y de liderazgo necesarias para actuar con responsabilidad en las dimensiones económica, social y ambiental. De este modo, la inversión en formación, por tanto, no es un costo, sino un mecanismo de creación de valor compartido que </w:t>
      </w:r>
      <w:r w:rsidRPr="00B9633D">
        <w:rPr>
          <w:rFonts w:cs="Times New Roman"/>
          <w:color w:val="000000" w:themeColor="text1"/>
        </w:rPr>
        <w:lastRenderedPageBreak/>
        <w:t xml:space="preserve">favorece la inserción social, reduce brechas estructurales y promueve una cultura organizacional orientada al desarrollo sostenible (Amrutha &amp; Geetha, 2020). </w:t>
      </w:r>
    </w:p>
    <w:p w14:paraId="10ABCC6B" w14:textId="77777777" w:rsidR="009A2AB1" w:rsidRPr="00B9633D" w:rsidRDefault="009A2AB1" w:rsidP="009A2AB1">
      <w:pPr>
        <w:ind w:firstLine="709"/>
        <w:rPr>
          <w:rFonts w:cs="Times New Roman"/>
          <w:color w:val="000000" w:themeColor="text1"/>
        </w:rPr>
      </w:pPr>
      <w:r w:rsidRPr="00B9633D">
        <w:rPr>
          <w:rFonts w:cs="Times New Roman"/>
          <w:color w:val="000000" w:themeColor="text1"/>
        </w:rPr>
        <w:t>En consecuencia, Sachs (2015) plantea que las prácticas de formación, articuladas con la RSE, permiten traducir el enfoque del desarrollo humano sostenible en acciones concretas que impulsan la equidad, el bienestar y la regeneración de los territorios intervenidos. En particular, los consorcios viales que operan en territorios afectados por el conflicto armado están llamados a desempeñar un papel clave en la consolidación del desarrollo humano sostenible, a través de estrategias de formación, inclusión y fortalecimiento de capacidades locales (</w:t>
      </w:r>
      <w:bookmarkStart w:id="18" w:name="_Hlk214745063"/>
      <w:r w:rsidRPr="00B9633D">
        <w:rPr>
          <w:rFonts w:cs="Times New Roman"/>
          <w:color w:val="000000" w:themeColor="text1"/>
        </w:rPr>
        <w:t>UNDP, 2023</w:t>
      </w:r>
      <w:bookmarkEnd w:id="18"/>
      <w:r w:rsidRPr="00B9633D">
        <w:rPr>
          <w:rFonts w:cs="Times New Roman"/>
          <w:color w:val="000000" w:themeColor="text1"/>
        </w:rPr>
        <w:t xml:space="preserve">). Estas organizaciones pueden generar capacidades valiosas, raras, inimitables y organizadas que sostengan ventajas competitivas en entornos desafiantes (Wright &amp; McMahan, 2011). </w:t>
      </w:r>
    </w:p>
    <w:p w14:paraId="29CDCE3C" w14:textId="77777777" w:rsidR="009A2AB1" w:rsidRPr="00B9633D" w:rsidRDefault="009A2AB1" w:rsidP="009A2AB1">
      <w:pPr>
        <w:ind w:firstLine="709"/>
        <w:rPr>
          <w:rFonts w:cs="Times New Roman"/>
          <w:color w:val="000000" w:themeColor="text1"/>
        </w:rPr>
      </w:pPr>
      <w:r w:rsidRPr="00B9633D">
        <w:rPr>
          <w:rFonts w:cs="Times New Roman"/>
          <w:color w:val="000000" w:themeColor="text1"/>
        </w:rPr>
        <w:t>Al integrar los principios del desarrollo humano sostenible en sus dinámicas cotidianas, estos proyectos no solo mejoran su desempeño técnico, sino que también contribuyen a la cohesión territorial, la legitimidad social y la consolidación de la paz (</w:t>
      </w:r>
      <w:proofErr w:type="spellStart"/>
      <w:r w:rsidRPr="00B9633D">
        <w:rPr>
          <w:rFonts w:cs="Times New Roman"/>
          <w:color w:val="000000" w:themeColor="text1"/>
        </w:rPr>
        <w:t>Garavan</w:t>
      </w:r>
      <w:proofErr w:type="spellEnd"/>
      <w:r w:rsidRPr="00B9633D">
        <w:rPr>
          <w:rFonts w:cs="Times New Roman"/>
          <w:color w:val="000000" w:themeColor="text1"/>
        </w:rPr>
        <w:t xml:space="preserve"> et al., 2019). En efecto, los proyectos de infraestructura vial en </w:t>
      </w:r>
      <w:r>
        <w:rPr>
          <w:rFonts w:cs="Times New Roman"/>
          <w:color w:val="000000" w:themeColor="text1"/>
        </w:rPr>
        <w:t>territorios</w:t>
      </w:r>
      <w:r w:rsidRPr="00B9633D">
        <w:rPr>
          <w:rFonts w:cs="Times New Roman"/>
          <w:color w:val="000000" w:themeColor="text1"/>
        </w:rPr>
        <w:t xml:space="preserve"> de posconflicto se constituyen en plataformas para observar la convergencia entre sostenibilidad y desarrollo humano, permitiendo evaluar cómo las prácticas formativas inciden en el desempeño organizacional y en procesos más amplios de reconstrucción social (Dempsey et al., 2011).</w:t>
      </w:r>
    </w:p>
    <w:p w14:paraId="1FEF0FDB" w14:textId="77777777" w:rsidR="002A6CF1" w:rsidRPr="008C33D2" w:rsidRDefault="002A6CF1" w:rsidP="008C33D2"/>
    <w:p w14:paraId="2D529CF6" w14:textId="5E2F2FB4" w:rsidR="007F0E28" w:rsidRDefault="007F0E28" w:rsidP="007F0E28">
      <w:pPr>
        <w:jc w:val="center"/>
        <w:rPr>
          <w:b/>
        </w:rPr>
      </w:pPr>
      <w:r w:rsidRPr="00285913">
        <w:rPr>
          <w:b/>
        </w:rPr>
        <w:t>Resultados</w:t>
      </w:r>
    </w:p>
    <w:p w14:paraId="2D524CEC" w14:textId="77777777" w:rsidR="00884970" w:rsidRDefault="00884970" w:rsidP="007F0E28">
      <w:pPr>
        <w:jc w:val="center"/>
        <w:rPr>
          <w:b/>
        </w:rPr>
      </w:pPr>
    </w:p>
    <w:p w14:paraId="6E0921D2"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 xml:space="preserve">El análisis de las entrevistas evidenció que la formación al interior de los consorcios viales no se limita a la transferencia de competencias técnicas, sino que se configura como un proceso transversal en el que convergen los pilares de la RSE. Los programas de formación abarcan prácticas ambientales (manejo de residuos, cuidado de reservas forestales, mitigación de impactos), sociales (equidad de género, inclusión de comunidades indígenas, fortalecimiento del tejido social y promoción de valores familiares) y económicas (contratación de mano de obra local y compras a proveedores regionales). Asimismo, en los procesos de formación se hacen explícitas la participación de las comunidades mediante comités y espacios de diálogo, la inclusión de grupos diversos con un trato igualitario y adaptaciones pedagógicas al nivel educativo de la población, y la evaluación de resultados mediante exámenes, encuestas y retroalimentación inmediata. Estos </w:t>
      </w:r>
      <w:r w:rsidRPr="00B9633D">
        <w:rPr>
          <w:rFonts w:cs="Times New Roman"/>
          <w:color w:val="000000" w:themeColor="text1"/>
        </w:rPr>
        <w:lastRenderedPageBreak/>
        <w:t>elementos demuestran que la formación constituye una herramienta estratégica para integrar la sostenibilidad en las tres dimensiones de la RSE.</w:t>
      </w:r>
    </w:p>
    <w:p w14:paraId="6F636036"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En este marco, el análisis documental de los pliegos de condiciones permitió constatar que la formación y la sostenibilidad no son únicamente iniciativas voluntarias de los consorcios, sino que están contempladas como requisitos contractuales y normativos. Los pliegos incluyen disposiciones sobre formación en seguridad y salud en el trabajo, preservación ambiental y responsabilidad social. Sin embargo, se observa que los componentes sociales como la equidad de género, la inclusión de comunidades o la promoción de valores familiares dependen en mayor medida de la interpretación y el compromiso de los equipos interventores y contratistas en campo. Esto sugiere que, aunque los pliegos ofrecen un marco obligatorio, la efectividad de las prácticas formativas radica en la capacidad de los actores de contextualizar, adaptar y dar sentido a estas directrices en territorios de posconflicto.</w:t>
      </w:r>
    </w:p>
    <w:p w14:paraId="526ED93F" w14:textId="73922CBB" w:rsidR="009A2AB1" w:rsidRDefault="009A2AB1" w:rsidP="009A2AB1">
      <w:pPr>
        <w:ind w:firstLine="708"/>
        <w:rPr>
          <w:rFonts w:cs="Times New Roman"/>
          <w:color w:val="000000" w:themeColor="text1"/>
        </w:rPr>
      </w:pPr>
      <w:r w:rsidRPr="00B9633D">
        <w:rPr>
          <w:rFonts w:cs="Times New Roman"/>
          <w:color w:val="000000" w:themeColor="text1"/>
        </w:rPr>
        <w:t>En sustento a los patrones previamente descritos, a continuación, se presentan, organizadas por categorías, las prácticas evidenciadas en las entrevistas aplicadas a profesionales pertenecientes a los consorcios de infraestructura vial. Este apartado expone los hallazgos principales de manera sistemática, acompañados de citas literales que ilustran las percepciones de los participantes. Para consultar la transcripción completa de las respuestas, se recomienda remitirse a</w:t>
      </w:r>
      <w:r w:rsidR="00B94759">
        <w:rPr>
          <w:rFonts w:cs="Times New Roman"/>
          <w:color w:val="000000" w:themeColor="text1"/>
        </w:rPr>
        <w:t>l Apéndice 2</w:t>
      </w:r>
      <w:r w:rsidR="0032340C">
        <w:rPr>
          <w:rFonts w:cs="Times New Roman"/>
          <w:color w:val="000000" w:themeColor="text1"/>
        </w:rPr>
        <w:t xml:space="preserve">. </w:t>
      </w:r>
    </w:p>
    <w:p w14:paraId="6435F709" w14:textId="77777777" w:rsidR="0032340C" w:rsidRPr="00B9633D" w:rsidRDefault="0032340C" w:rsidP="009A2AB1">
      <w:pPr>
        <w:ind w:firstLine="708"/>
        <w:rPr>
          <w:rFonts w:cs="Times New Roman"/>
          <w:color w:val="000000" w:themeColor="text1"/>
        </w:rPr>
      </w:pPr>
    </w:p>
    <w:p w14:paraId="019139CE"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Alcance y enfoque de la Formación en los consorcios </w:t>
      </w:r>
    </w:p>
    <w:p w14:paraId="3B63473D"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Cuatro participantes señalaron la presencia de formación estructuradas que integran contenidos técnicos, humanos y sociales. Estas actividades son percibidas como un eje fundamental para la ejecución de los proyectos, ya que fortalecen competencias tanto del personal profesional como del operativo y consolidan la interacción con las comunidades.</w:t>
      </w:r>
    </w:p>
    <w:p w14:paraId="6AB0B9DD"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E1:</w:t>
      </w:r>
      <w:r w:rsidRPr="00B9633D">
        <w:rPr>
          <w:rFonts w:cs="Times New Roman"/>
          <w:i/>
          <w:iCs/>
          <w:color w:val="000000" w:themeColor="text1"/>
        </w:rPr>
        <w:t xml:space="preserve"> “En los consorcios se realizan procesos de formación basado en la labor a desarrollar […] desde el área social se enmarca sobre el valor social, la empatía, escucha activa y el relacionamiento con las comunidades.”</w:t>
      </w:r>
    </w:p>
    <w:p w14:paraId="18D73C43"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E2: </w:t>
      </w:r>
      <w:r w:rsidRPr="00B9633D">
        <w:rPr>
          <w:rFonts w:cs="Times New Roman"/>
          <w:i/>
          <w:iCs/>
          <w:color w:val="000000" w:themeColor="text1"/>
        </w:rPr>
        <w:t>“Se han desarrollado procesos de formación estructurados y continuos dirigidos tanto al personal técnico como administrativo, así como a la comunidad local involucrada en el desarrollo del proyecto.”</w:t>
      </w:r>
    </w:p>
    <w:p w14:paraId="142F9C2D"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E4:</w:t>
      </w:r>
      <w:r w:rsidRPr="00B9633D">
        <w:rPr>
          <w:rFonts w:cs="Times New Roman"/>
          <w:i/>
          <w:iCs/>
          <w:color w:val="000000" w:themeColor="text1"/>
        </w:rPr>
        <w:t xml:space="preserve"> “Capacitación por medio de la ARL en temas más que todo humanos de relación.”</w:t>
      </w:r>
    </w:p>
    <w:p w14:paraId="018728EB" w14:textId="77777777" w:rsidR="009A2AB1" w:rsidRDefault="009A2AB1" w:rsidP="009A2AB1">
      <w:pPr>
        <w:ind w:left="708"/>
        <w:rPr>
          <w:rFonts w:cs="Times New Roman"/>
          <w:i/>
          <w:iCs/>
          <w:color w:val="000000" w:themeColor="text1"/>
        </w:rPr>
      </w:pPr>
      <w:r w:rsidRPr="00B9633D">
        <w:rPr>
          <w:rFonts w:cs="Times New Roman"/>
          <w:color w:val="000000" w:themeColor="text1"/>
        </w:rPr>
        <w:lastRenderedPageBreak/>
        <w:t xml:space="preserve">E6: </w:t>
      </w:r>
      <w:r w:rsidRPr="00B9633D">
        <w:rPr>
          <w:rFonts w:cs="Times New Roman"/>
          <w:i/>
          <w:iCs/>
          <w:color w:val="000000" w:themeColor="text1"/>
        </w:rPr>
        <w:t>“La interventoría realiza y apoya los procesos de capacitación del personal contratista, en temas técnicos, humanos y sociales, las cuales se realizan entre 2 y 3 veces por semana.”</w:t>
      </w:r>
    </w:p>
    <w:p w14:paraId="5B264717" w14:textId="77777777" w:rsidR="0032340C" w:rsidRPr="00B9633D" w:rsidRDefault="0032340C" w:rsidP="009A2AB1">
      <w:pPr>
        <w:ind w:left="708"/>
        <w:rPr>
          <w:rFonts w:cs="Times New Roman"/>
          <w:i/>
          <w:iCs/>
          <w:color w:val="000000" w:themeColor="text1"/>
        </w:rPr>
      </w:pPr>
    </w:p>
    <w:p w14:paraId="3939662F"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Enfoque de la formación en los consorcios según las dimensiones de la RSE</w:t>
      </w:r>
    </w:p>
    <w:p w14:paraId="6A11F65C" w14:textId="77777777" w:rsidR="009A2AB1" w:rsidRPr="00B9633D" w:rsidRDefault="009A2AB1" w:rsidP="00884970">
      <w:pPr>
        <w:ind w:firstLine="708"/>
        <w:rPr>
          <w:rFonts w:cs="Times New Roman"/>
          <w:color w:val="000000" w:themeColor="text1"/>
        </w:rPr>
      </w:pPr>
      <w:r w:rsidRPr="00B9633D">
        <w:rPr>
          <w:rFonts w:cs="Times New Roman"/>
          <w:b/>
          <w:bCs/>
          <w:i/>
          <w:iCs/>
          <w:color w:val="000000" w:themeColor="text1"/>
        </w:rPr>
        <w:t>Dimensión ambiental</w:t>
      </w:r>
      <w:r w:rsidRPr="00B9633D">
        <w:rPr>
          <w:rFonts w:cs="Times New Roman"/>
          <w:color w:val="000000" w:themeColor="text1"/>
        </w:rPr>
        <w:t>. Cuatro entrevistados resaltaron la centralidad de la preservación ambiental en los procesos formativos. Se mencionaron prácticas como manejo de residuos sólidos y peligrosos, cuidado de reservas forestales y estrategias de mitigación de impactos, lo que evidencia la transversalidad de esta dimensión en la gestión de los consorcios.</w:t>
      </w:r>
    </w:p>
    <w:p w14:paraId="4E251232"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E1: </w:t>
      </w:r>
      <w:r w:rsidRPr="00B9633D">
        <w:rPr>
          <w:rFonts w:cs="Times New Roman"/>
          <w:i/>
          <w:iCs/>
          <w:color w:val="000000" w:themeColor="text1"/>
        </w:rPr>
        <w:t>“Toda obra civil a desarrollar, debe estar orientada a la preservación del medio ambiente […] se le debe garantizar el menor impacto ambiental posible.”</w:t>
      </w:r>
    </w:p>
    <w:p w14:paraId="7F37DBC8" w14:textId="77777777" w:rsidR="009A2AB1" w:rsidRPr="00B9633D" w:rsidRDefault="009A2AB1" w:rsidP="009A2AB1">
      <w:pPr>
        <w:ind w:left="708"/>
        <w:rPr>
          <w:rFonts w:cs="Times New Roman"/>
          <w:color w:val="000000" w:themeColor="text1"/>
        </w:rPr>
      </w:pPr>
      <w:r w:rsidRPr="00B9633D">
        <w:rPr>
          <w:rFonts w:cs="Times New Roman"/>
          <w:color w:val="000000" w:themeColor="text1"/>
        </w:rPr>
        <w:t>E2</w:t>
      </w:r>
      <w:r w:rsidRPr="00B9633D">
        <w:rPr>
          <w:rFonts w:cs="Times New Roman"/>
          <w:i/>
          <w:iCs/>
          <w:color w:val="000000" w:themeColor="text1"/>
        </w:rPr>
        <w:t>: “Se han incluido temas de sostenibilidad en las capacitaciones, como manejo ambiental, responsabilidad social y apoyo a la economía local.”</w:t>
      </w:r>
    </w:p>
    <w:p w14:paraId="1CF77CC6"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E4: </w:t>
      </w:r>
      <w:r w:rsidRPr="00B9633D">
        <w:rPr>
          <w:rFonts w:cs="Times New Roman"/>
          <w:i/>
          <w:iCs/>
          <w:color w:val="000000" w:themeColor="text1"/>
        </w:rPr>
        <w:t>“Temas como manejo de residuos sólidos, residuos peligrosos, afectaciones o beneficios de la construcción de la vía a la economía local.”</w:t>
      </w:r>
    </w:p>
    <w:p w14:paraId="5D7A67CF"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E6: </w:t>
      </w:r>
      <w:r w:rsidRPr="00B9633D">
        <w:rPr>
          <w:rFonts w:cs="Times New Roman"/>
          <w:i/>
          <w:iCs/>
          <w:color w:val="000000" w:themeColor="text1"/>
        </w:rPr>
        <w:t>“Teniendo en cuenta que el lugar donde se desarrolla la obra es una reserva forestal se hace mucho énfasis en el cuidado ambiental.”</w:t>
      </w:r>
    </w:p>
    <w:p w14:paraId="3BED4CA9" w14:textId="77777777" w:rsidR="009A2AB1" w:rsidRPr="00B9633D" w:rsidRDefault="009A2AB1" w:rsidP="009A2AB1">
      <w:pPr>
        <w:ind w:firstLine="708"/>
        <w:rPr>
          <w:rFonts w:cs="Times New Roman"/>
          <w:color w:val="000000" w:themeColor="text1"/>
        </w:rPr>
      </w:pPr>
      <w:r w:rsidRPr="00B9633D">
        <w:rPr>
          <w:rFonts w:cs="Times New Roman"/>
          <w:b/>
          <w:bCs/>
          <w:i/>
          <w:iCs/>
          <w:color w:val="000000" w:themeColor="text1"/>
        </w:rPr>
        <w:t>Dimensión social</w:t>
      </w:r>
      <w:r w:rsidRPr="00B9633D">
        <w:rPr>
          <w:rFonts w:cs="Times New Roman"/>
          <w:color w:val="000000" w:themeColor="text1"/>
        </w:rPr>
        <w:t>. Cuatro entrevistados destacaron la inclusión, la equidad de género, el respeto por la diversidad cultural y el fortalecimiento del tejido social como aspectos clave. Estos se expresan en la contratación de mano de obra local, el trabajo con comunidades indígenas, la creación de comités comunitarios y la promoción de valores familiares.</w:t>
      </w:r>
    </w:p>
    <w:p w14:paraId="19A2CEC8"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E1: </w:t>
      </w:r>
      <w:r w:rsidRPr="00B9633D">
        <w:rPr>
          <w:rFonts w:cs="Times New Roman"/>
          <w:i/>
          <w:iCs/>
          <w:color w:val="000000" w:themeColor="text1"/>
        </w:rPr>
        <w:t>“La participación comunitaria se fortalece […] cuando sienten que son tenidas en cuenta en el proceso, en estos proyectos se conforman comités de participación.”</w:t>
      </w:r>
    </w:p>
    <w:p w14:paraId="15E38AE7"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E2: </w:t>
      </w:r>
      <w:r w:rsidRPr="00B9633D">
        <w:rPr>
          <w:rFonts w:cs="Times New Roman"/>
          <w:i/>
          <w:iCs/>
          <w:color w:val="000000" w:themeColor="text1"/>
        </w:rPr>
        <w:t>“Las capacitaciones […] influyendo en la inclusión de prácticas sostenibles y en la selección de personal local, fortaleciendo así los criterios ambientales y sociales del proyecto.”</w:t>
      </w:r>
    </w:p>
    <w:p w14:paraId="555474E4"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E4</w:t>
      </w:r>
      <w:r w:rsidRPr="00B9633D">
        <w:rPr>
          <w:rFonts w:cs="Times New Roman"/>
          <w:i/>
          <w:iCs/>
          <w:color w:val="000000" w:themeColor="text1"/>
        </w:rPr>
        <w:t>: “Las capacitaciones han tenido un foco primordial en resguardos indígenas ya que es lo que más se presenta en el proyecto y con los que más se tiene contacto.”</w:t>
      </w:r>
    </w:p>
    <w:p w14:paraId="241538C7" w14:textId="77777777" w:rsidR="009A2AB1" w:rsidRPr="00B9633D" w:rsidRDefault="009A2AB1" w:rsidP="009A2AB1">
      <w:pPr>
        <w:ind w:firstLine="708"/>
        <w:rPr>
          <w:rFonts w:cs="Times New Roman"/>
          <w:i/>
          <w:iCs/>
          <w:color w:val="000000" w:themeColor="text1"/>
        </w:rPr>
      </w:pPr>
      <w:r w:rsidRPr="00B9633D">
        <w:rPr>
          <w:rFonts w:cs="Times New Roman"/>
          <w:color w:val="000000" w:themeColor="text1"/>
        </w:rPr>
        <w:t xml:space="preserve">E5: </w:t>
      </w:r>
      <w:r w:rsidRPr="00B9633D">
        <w:rPr>
          <w:rFonts w:cs="Times New Roman"/>
          <w:i/>
          <w:iCs/>
          <w:color w:val="000000" w:themeColor="text1"/>
        </w:rPr>
        <w:t>“Crear concientización sobre el valor de la familia y el respeto por su pareja, hijo/a.”</w:t>
      </w:r>
    </w:p>
    <w:p w14:paraId="5D2FFDFD" w14:textId="77777777" w:rsidR="009A2AB1" w:rsidRPr="00B9633D" w:rsidRDefault="009A2AB1" w:rsidP="009A2AB1">
      <w:pPr>
        <w:ind w:firstLine="708"/>
        <w:rPr>
          <w:rFonts w:cs="Times New Roman"/>
          <w:color w:val="000000" w:themeColor="text1"/>
        </w:rPr>
      </w:pPr>
      <w:r w:rsidRPr="00B9633D">
        <w:rPr>
          <w:rFonts w:cs="Times New Roman"/>
          <w:b/>
          <w:bCs/>
          <w:i/>
          <w:iCs/>
          <w:color w:val="000000" w:themeColor="text1"/>
        </w:rPr>
        <w:lastRenderedPageBreak/>
        <w:t>Dimensión económica</w:t>
      </w:r>
      <w:r w:rsidRPr="00B9633D">
        <w:rPr>
          <w:rFonts w:cs="Times New Roman"/>
          <w:color w:val="000000" w:themeColor="text1"/>
        </w:rPr>
        <w:t>. Cuatro entrevistados señalaron la contribución de los proyectos al dinamismo productivo local mediante la contratación de mano de obra del territorio y la compra a proveedores regionales.</w:t>
      </w:r>
    </w:p>
    <w:p w14:paraId="152FA8A2"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E1: </w:t>
      </w:r>
      <w:r w:rsidRPr="00B9633D">
        <w:rPr>
          <w:rFonts w:cs="Times New Roman"/>
          <w:i/>
          <w:iCs/>
          <w:color w:val="000000" w:themeColor="text1"/>
        </w:rPr>
        <w:t>“Se debe realizar un estudio socioeconómico que facilita la comprensión de la economía local y las características particulares de la comunidad.”</w:t>
      </w:r>
    </w:p>
    <w:p w14:paraId="6064FA88"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E2: </w:t>
      </w:r>
      <w:r w:rsidRPr="00B9633D">
        <w:rPr>
          <w:rFonts w:cs="Times New Roman"/>
          <w:i/>
          <w:iCs/>
          <w:color w:val="000000" w:themeColor="text1"/>
        </w:rPr>
        <w:t>“Estos se aplican en el trabajo diario mediante buenas prácticas ambientales, contratación de mano de obra local y compras a proveedores del territorio, fortaleciendo así una gestión responsable y sostenible.”</w:t>
      </w:r>
    </w:p>
    <w:p w14:paraId="1CEC2FA4"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E4: </w:t>
      </w:r>
      <w:r w:rsidRPr="00B9633D">
        <w:rPr>
          <w:rFonts w:cs="Times New Roman"/>
          <w:i/>
          <w:iCs/>
          <w:color w:val="000000" w:themeColor="text1"/>
        </w:rPr>
        <w:t>“Afectaciones o beneficios de la construcción de la vía a la economía local.”</w:t>
      </w:r>
    </w:p>
    <w:p w14:paraId="3DC05E89" w14:textId="17F7776D" w:rsidR="00740E4C" w:rsidRDefault="009A2AB1" w:rsidP="00740E4C">
      <w:pPr>
        <w:ind w:left="708"/>
        <w:rPr>
          <w:rFonts w:cs="Times New Roman"/>
          <w:i/>
          <w:iCs/>
          <w:color w:val="000000" w:themeColor="text1"/>
        </w:rPr>
      </w:pPr>
      <w:r w:rsidRPr="00B9633D">
        <w:rPr>
          <w:rFonts w:cs="Times New Roman"/>
          <w:color w:val="000000" w:themeColor="text1"/>
        </w:rPr>
        <w:t xml:space="preserve"> E6:</w:t>
      </w:r>
      <w:r w:rsidRPr="00B9633D">
        <w:rPr>
          <w:rFonts w:cs="Times New Roman"/>
          <w:i/>
          <w:iCs/>
          <w:color w:val="000000" w:themeColor="text1"/>
        </w:rPr>
        <w:t xml:space="preserve"> “Se realizan capacitaciones sobre el impacto de la obra en el entorno económico y social, para fomentar una gestión más responsable.”</w:t>
      </w:r>
    </w:p>
    <w:p w14:paraId="2A1F2F8D" w14:textId="77777777" w:rsidR="0032340C" w:rsidRPr="00740E4C" w:rsidRDefault="0032340C" w:rsidP="00740E4C">
      <w:pPr>
        <w:ind w:left="708"/>
        <w:rPr>
          <w:rFonts w:cs="Times New Roman"/>
          <w:i/>
          <w:iCs/>
          <w:color w:val="000000" w:themeColor="text1"/>
        </w:rPr>
      </w:pPr>
    </w:p>
    <w:p w14:paraId="48219E80"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Involucramiento y participación comunitaria </w:t>
      </w:r>
    </w:p>
    <w:p w14:paraId="4CCA7262"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La participación comunitaria se consolidó como un patrón recurrente en cuatro expertos, en las que se resaltó la necesidad de adaptar los procesos de formación a los distintos niveles educativos de la población.</w:t>
      </w:r>
    </w:p>
    <w:p w14:paraId="0D930A4C"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E1: </w:t>
      </w:r>
      <w:r w:rsidRPr="00B9633D">
        <w:rPr>
          <w:rFonts w:cs="Times New Roman"/>
          <w:i/>
          <w:iCs/>
          <w:color w:val="000000" w:themeColor="text1"/>
        </w:rPr>
        <w:t>“El lenguaje debe ser incluyente y sencillo… la interacción y el compartir de saberes facilita la evaluación.”</w:t>
      </w:r>
    </w:p>
    <w:p w14:paraId="5CFEC047"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E3: </w:t>
      </w:r>
      <w:r w:rsidRPr="00B9633D">
        <w:rPr>
          <w:rFonts w:cs="Times New Roman"/>
          <w:i/>
          <w:iCs/>
          <w:color w:val="000000" w:themeColor="text1"/>
        </w:rPr>
        <w:t>“Siempre se tiene en cuenta el nivel educativo para poder comunicarse con ellos, para que puedan entender el tema.”</w:t>
      </w:r>
    </w:p>
    <w:p w14:paraId="34234640" w14:textId="77777777" w:rsidR="009A2AB1" w:rsidRPr="00B9633D" w:rsidRDefault="009A2AB1" w:rsidP="009A2AB1">
      <w:pPr>
        <w:ind w:firstLine="708"/>
        <w:rPr>
          <w:rFonts w:cs="Times New Roman"/>
          <w:i/>
          <w:iCs/>
          <w:color w:val="000000" w:themeColor="text1"/>
        </w:rPr>
      </w:pPr>
      <w:r w:rsidRPr="00B9633D">
        <w:rPr>
          <w:rFonts w:cs="Times New Roman"/>
          <w:color w:val="000000" w:themeColor="text1"/>
        </w:rPr>
        <w:t xml:space="preserve">E4: </w:t>
      </w:r>
      <w:r w:rsidRPr="00B9633D">
        <w:rPr>
          <w:rFonts w:cs="Times New Roman"/>
          <w:i/>
          <w:iCs/>
          <w:color w:val="000000" w:themeColor="text1"/>
        </w:rPr>
        <w:t>“Hemos tenido aceptación por parte de la comunidad.”</w:t>
      </w:r>
    </w:p>
    <w:p w14:paraId="484AD2A7" w14:textId="77777777" w:rsidR="009A2AB1" w:rsidRPr="00B9633D" w:rsidRDefault="009A2AB1" w:rsidP="009A2AB1">
      <w:pPr>
        <w:ind w:left="708"/>
        <w:rPr>
          <w:rFonts w:cs="Times New Roman"/>
          <w:i/>
          <w:iCs/>
          <w:color w:val="000000" w:themeColor="text1"/>
        </w:rPr>
      </w:pPr>
      <w:r w:rsidRPr="00B9633D">
        <w:rPr>
          <w:rFonts w:cs="Times New Roman"/>
          <w:color w:val="000000" w:themeColor="text1"/>
        </w:rPr>
        <w:t xml:space="preserve">E6: </w:t>
      </w:r>
      <w:r w:rsidRPr="00B9633D">
        <w:rPr>
          <w:rFonts w:cs="Times New Roman"/>
          <w:i/>
          <w:iCs/>
          <w:color w:val="000000" w:themeColor="text1"/>
        </w:rPr>
        <w:t xml:space="preserve">“Estos procesos han sido fundamentales para mejorar la relación con la comunidad, </w:t>
      </w:r>
    </w:p>
    <w:p w14:paraId="79801C7E" w14:textId="77777777" w:rsidR="009A2AB1" w:rsidRDefault="009A2AB1" w:rsidP="009A2AB1">
      <w:pPr>
        <w:ind w:left="708"/>
        <w:rPr>
          <w:rFonts w:cs="Times New Roman"/>
          <w:i/>
          <w:iCs/>
          <w:color w:val="000000" w:themeColor="text1"/>
        </w:rPr>
      </w:pPr>
      <w:r w:rsidRPr="00B9633D">
        <w:rPr>
          <w:rFonts w:cs="Times New Roman"/>
          <w:i/>
          <w:iCs/>
          <w:color w:val="000000" w:themeColor="text1"/>
        </w:rPr>
        <w:t>quienes iniciaron siendo muy receptivos con la obra.”</w:t>
      </w:r>
    </w:p>
    <w:p w14:paraId="26F2DA5D" w14:textId="77777777" w:rsidR="0032340C" w:rsidRPr="00B9633D" w:rsidRDefault="0032340C" w:rsidP="009A2AB1">
      <w:pPr>
        <w:ind w:left="708"/>
        <w:rPr>
          <w:rFonts w:cs="Times New Roman"/>
          <w:i/>
          <w:iCs/>
          <w:color w:val="000000" w:themeColor="text1"/>
        </w:rPr>
      </w:pPr>
    </w:p>
    <w:p w14:paraId="42D20715" w14:textId="77777777" w:rsidR="009A2AB1" w:rsidRDefault="009A2AB1" w:rsidP="009A2AB1">
      <w:pPr>
        <w:rPr>
          <w:rFonts w:cs="Times New Roman"/>
          <w:b/>
          <w:bCs/>
        </w:rPr>
      </w:pPr>
      <w:r w:rsidRPr="00B9633D">
        <w:rPr>
          <w:rFonts w:cs="Times New Roman"/>
          <w:b/>
          <w:bCs/>
        </w:rPr>
        <w:t>Inclusión de personas en proceso de reincorporación y víctimas del conflicto</w:t>
      </w:r>
    </w:p>
    <w:p w14:paraId="0E668D78" w14:textId="77777777" w:rsidR="009A2AB1" w:rsidRPr="00C709C0" w:rsidRDefault="009A2AB1" w:rsidP="00884970">
      <w:pPr>
        <w:ind w:firstLine="708"/>
        <w:rPr>
          <w:rFonts w:cs="Times New Roman"/>
        </w:rPr>
      </w:pPr>
      <w:r w:rsidRPr="00C709C0">
        <w:rPr>
          <w:rFonts w:cs="Times New Roman"/>
        </w:rPr>
        <w:t xml:space="preserve">La inclusión laboral de personas en proceso de reincorporación y víctimas del conflicto armado emergió como un aspecto sensible y de alta relevancia ética dentro de los consorcios viales. Aunque solo uno de los casos reportó la participación explícita de un trabajador en esta condición, los testimonios revelan una postura organizacional orientada a garantizar igualdad de trato y evitar cualquier forma de estigmatización. Los entrevistados enfatizaron que la integración se fundamenta en la normalización de los vínculos laborales, otorgando a estas personas las mismas oportunidades </w:t>
      </w:r>
      <w:r w:rsidRPr="00C709C0">
        <w:rPr>
          <w:rFonts w:cs="Times New Roman"/>
        </w:rPr>
        <w:lastRenderedPageBreak/>
        <w:t xml:space="preserve">formativas y responsabilidades que al resto del personal. Este enfoque, aunque no contempla acompañamientos diferenciados, refleja una intención de promover entornos laborales inclusivos, donde la convivencia, la confianza y la no discriminación constituyen la base de la integración efectiva. </w:t>
      </w:r>
    </w:p>
    <w:p w14:paraId="0F4DEA19" w14:textId="77777777" w:rsidR="009A2AB1" w:rsidRPr="00B9633D" w:rsidRDefault="009A2AB1" w:rsidP="009A2AB1">
      <w:pPr>
        <w:ind w:left="708"/>
        <w:rPr>
          <w:rFonts w:cs="Times New Roman"/>
          <w:i/>
          <w:iCs/>
        </w:rPr>
      </w:pPr>
      <w:r w:rsidRPr="00B9633D">
        <w:rPr>
          <w:rFonts w:cs="Times New Roman"/>
        </w:rPr>
        <w:t xml:space="preserve">E1: </w:t>
      </w:r>
      <w:r w:rsidRPr="00B9633D">
        <w:rPr>
          <w:rFonts w:cs="Times New Roman"/>
          <w:i/>
          <w:iCs/>
        </w:rPr>
        <w:t xml:space="preserve">“Estas personas reciben la formación o capacitación sobre el cargo o la labor a desempeñar […] no se le realiza acompañamiento ‘especial’ ya que se estaría estigmatizando.” </w:t>
      </w:r>
    </w:p>
    <w:p w14:paraId="3B1A68B8" w14:textId="77777777" w:rsidR="009A2AB1" w:rsidRPr="00B9633D" w:rsidRDefault="009A2AB1" w:rsidP="009A2AB1">
      <w:pPr>
        <w:ind w:left="708"/>
        <w:rPr>
          <w:rFonts w:cs="Times New Roman"/>
        </w:rPr>
      </w:pPr>
      <w:r w:rsidRPr="00B9633D">
        <w:rPr>
          <w:rFonts w:cs="Times New Roman"/>
        </w:rPr>
        <w:t xml:space="preserve">E2: </w:t>
      </w:r>
      <w:r w:rsidRPr="00B9633D">
        <w:rPr>
          <w:rFonts w:cs="Times New Roman"/>
          <w:i/>
          <w:iCs/>
        </w:rPr>
        <w:t>“No.”</w:t>
      </w:r>
    </w:p>
    <w:p w14:paraId="7F30380D" w14:textId="77777777" w:rsidR="009A2AB1" w:rsidRPr="00B9633D" w:rsidRDefault="009A2AB1" w:rsidP="009A2AB1">
      <w:pPr>
        <w:ind w:left="708"/>
        <w:rPr>
          <w:rFonts w:cs="Times New Roman"/>
        </w:rPr>
      </w:pPr>
      <w:r w:rsidRPr="00B9633D">
        <w:rPr>
          <w:rFonts w:cs="Times New Roman"/>
        </w:rPr>
        <w:t xml:space="preserve">E3: </w:t>
      </w:r>
      <w:r w:rsidRPr="00B9633D">
        <w:rPr>
          <w:rFonts w:cs="Times New Roman"/>
          <w:i/>
          <w:iCs/>
        </w:rPr>
        <w:t>“No se han vinculado.”</w:t>
      </w:r>
    </w:p>
    <w:p w14:paraId="183908CA" w14:textId="7D2515D9" w:rsidR="00884970" w:rsidRDefault="009A2AB1" w:rsidP="00740E4C">
      <w:pPr>
        <w:ind w:left="708"/>
        <w:rPr>
          <w:rFonts w:cs="Times New Roman"/>
          <w:i/>
          <w:iCs/>
        </w:rPr>
      </w:pPr>
      <w:r w:rsidRPr="00B9633D">
        <w:rPr>
          <w:rFonts w:cs="Times New Roman"/>
        </w:rPr>
        <w:t xml:space="preserve">E4: </w:t>
      </w:r>
      <w:r w:rsidRPr="00B9633D">
        <w:rPr>
          <w:rFonts w:cs="Times New Roman"/>
          <w:i/>
          <w:iCs/>
        </w:rPr>
        <w:t>“No, fue un compañero de trabajo igual a los demás, el cual recibía las mismas capacitaciones que el resto”</w:t>
      </w:r>
    </w:p>
    <w:p w14:paraId="6F194B8D" w14:textId="77777777" w:rsidR="0032340C" w:rsidRDefault="0032340C" w:rsidP="00740E4C">
      <w:pPr>
        <w:ind w:left="708"/>
        <w:rPr>
          <w:rFonts w:cs="Times New Roman"/>
          <w:i/>
          <w:iCs/>
        </w:rPr>
      </w:pPr>
    </w:p>
    <w:p w14:paraId="49D0DFEF" w14:textId="77777777" w:rsidR="009A2AB1" w:rsidRPr="00B9633D" w:rsidRDefault="009A2AB1" w:rsidP="009A2AB1">
      <w:pPr>
        <w:rPr>
          <w:rFonts w:cs="Times New Roman"/>
          <w:b/>
          <w:bCs/>
          <w:color w:val="000000" w:themeColor="text1"/>
        </w:rPr>
      </w:pPr>
      <w:r w:rsidRPr="00B9633D">
        <w:rPr>
          <w:rFonts w:cs="Times New Roman"/>
          <w:b/>
          <w:bCs/>
          <w:color w:val="000000" w:themeColor="text1"/>
        </w:rPr>
        <w:t xml:space="preserve">Evaluación del desarrollo humano en la formación  </w:t>
      </w:r>
    </w:p>
    <w:p w14:paraId="6D2BBBE6"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La evaluación de los procesos de formación se mencionó en cuatro entrevistas, lo que indica que se reconoce como necesaria para asegurar la transferencia de conocimientos.</w:t>
      </w:r>
    </w:p>
    <w:p w14:paraId="41D44BDC"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E1: </w:t>
      </w:r>
      <w:r w:rsidRPr="00B9633D">
        <w:rPr>
          <w:rFonts w:cs="Times New Roman"/>
          <w:i/>
          <w:iCs/>
          <w:color w:val="000000" w:themeColor="text1"/>
        </w:rPr>
        <w:t>“La interacción y el compartir de saberes facilita la evaluación si los temas fueron completamente comprendidos.”</w:t>
      </w:r>
    </w:p>
    <w:p w14:paraId="086F0095" w14:textId="77777777" w:rsidR="009A2AB1" w:rsidRPr="00B9633D" w:rsidRDefault="009A2AB1" w:rsidP="009A2AB1">
      <w:pPr>
        <w:ind w:firstLine="708"/>
        <w:rPr>
          <w:rFonts w:cs="Times New Roman"/>
          <w:i/>
          <w:iCs/>
          <w:color w:val="000000" w:themeColor="text1"/>
        </w:rPr>
      </w:pPr>
      <w:r w:rsidRPr="00B9633D">
        <w:rPr>
          <w:rFonts w:cs="Times New Roman"/>
          <w:color w:val="000000" w:themeColor="text1"/>
        </w:rPr>
        <w:t xml:space="preserve">E3: </w:t>
      </w:r>
      <w:r w:rsidRPr="00B9633D">
        <w:rPr>
          <w:rFonts w:cs="Times New Roman"/>
          <w:i/>
          <w:iCs/>
          <w:color w:val="000000" w:themeColor="text1"/>
        </w:rPr>
        <w:t>“Se implementa la ayuda de encuestas y entrevistas para poder calificar lo tratado.”</w:t>
      </w:r>
    </w:p>
    <w:p w14:paraId="2575F673" w14:textId="77777777" w:rsidR="009A2AB1" w:rsidRPr="00B9633D" w:rsidRDefault="009A2AB1" w:rsidP="009A2AB1">
      <w:pPr>
        <w:ind w:left="708"/>
        <w:rPr>
          <w:rFonts w:cs="Times New Roman"/>
          <w:color w:val="000000" w:themeColor="text1"/>
        </w:rPr>
      </w:pPr>
      <w:r w:rsidRPr="00B9633D">
        <w:rPr>
          <w:rFonts w:cs="Times New Roman"/>
          <w:color w:val="000000" w:themeColor="text1"/>
        </w:rPr>
        <w:t xml:space="preserve">E4: </w:t>
      </w:r>
      <w:r w:rsidRPr="00B9633D">
        <w:rPr>
          <w:rFonts w:cs="Times New Roman"/>
          <w:i/>
          <w:iCs/>
          <w:color w:val="000000" w:themeColor="text1"/>
        </w:rPr>
        <w:t>“Al finalizar cada capacitación evalúan mediante examen dependiendo el resultado refuerzan la temática si no fue entendida.”</w:t>
      </w:r>
    </w:p>
    <w:p w14:paraId="397C5499"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 xml:space="preserve">E6: </w:t>
      </w:r>
      <w:r w:rsidRPr="00B9633D">
        <w:rPr>
          <w:rFonts w:cs="Times New Roman"/>
          <w:i/>
          <w:iCs/>
          <w:color w:val="000000" w:themeColor="text1"/>
        </w:rPr>
        <w:t>“Se realizan preguntas que evalúan si la información fue clara y bien recibida.”</w:t>
      </w:r>
    </w:p>
    <w:p w14:paraId="555C5F4F" w14:textId="77777777" w:rsidR="007F0E28" w:rsidRDefault="007F0E28" w:rsidP="007F0E28">
      <w:pPr>
        <w:ind w:firstLine="708"/>
        <w:rPr>
          <w:rFonts w:cs="Times New Roman"/>
          <w:szCs w:val="24"/>
        </w:rPr>
      </w:pPr>
    </w:p>
    <w:p w14:paraId="086AFEBC" w14:textId="6801B1A7" w:rsidR="00EA1643" w:rsidRPr="00285913" w:rsidRDefault="00EA1643" w:rsidP="00A85C31">
      <w:pPr>
        <w:pStyle w:val="Ttulo1"/>
      </w:pPr>
      <w:bookmarkStart w:id="19" w:name="_Toc440985141"/>
      <w:r w:rsidRPr="00285913">
        <w:t>Discusión</w:t>
      </w:r>
      <w:bookmarkEnd w:id="19"/>
    </w:p>
    <w:p w14:paraId="0BBB2D45" w14:textId="77777777" w:rsidR="00EA1643" w:rsidRDefault="00EA1643" w:rsidP="00EA1643">
      <w:pPr>
        <w:rPr>
          <w:rFonts w:cs="Times New Roman"/>
          <w:b/>
          <w:szCs w:val="24"/>
        </w:rPr>
      </w:pPr>
    </w:p>
    <w:p w14:paraId="2FF577A9" w14:textId="77777777" w:rsidR="009A2AB1" w:rsidRPr="00B9633D" w:rsidRDefault="00EA1643" w:rsidP="009A2AB1">
      <w:pPr>
        <w:rPr>
          <w:rFonts w:cs="Times New Roman"/>
          <w:color w:val="000000" w:themeColor="text1"/>
        </w:rPr>
      </w:pPr>
      <w:r>
        <w:rPr>
          <w:rFonts w:cs="Times New Roman"/>
          <w:b/>
          <w:szCs w:val="24"/>
        </w:rPr>
        <w:tab/>
      </w:r>
      <w:r w:rsidR="009A2AB1" w:rsidRPr="00B9633D">
        <w:rPr>
          <w:rFonts w:cs="Times New Roman"/>
          <w:color w:val="000000" w:themeColor="text1"/>
        </w:rPr>
        <w:t xml:space="preserve">Los resultados señalan que las prácticas de formación implementadas por los consorcios de infraestructura vial en </w:t>
      </w:r>
      <w:r w:rsidR="009A2AB1">
        <w:rPr>
          <w:rFonts w:cs="Times New Roman"/>
          <w:color w:val="000000" w:themeColor="text1"/>
        </w:rPr>
        <w:t>territorios</w:t>
      </w:r>
      <w:r w:rsidR="009A2AB1" w:rsidRPr="00B9633D">
        <w:rPr>
          <w:rFonts w:cs="Times New Roman"/>
          <w:color w:val="000000" w:themeColor="text1"/>
        </w:rPr>
        <w:t xml:space="preserve"> de posconflicto contribuyen al fortalecimiento del desempeño sostenible en </w:t>
      </w:r>
      <w:r w:rsidR="009A2AB1">
        <w:rPr>
          <w:rFonts w:cs="Times New Roman"/>
          <w:color w:val="000000" w:themeColor="text1"/>
        </w:rPr>
        <w:t>las dimensiones de la RSE</w:t>
      </w:r>
      <w:r w:rsidR="009A2AB1" w:rsidRPr="00B9633D">
        <w:rPr>
          <w:rFonts w:cs="Times New Roman"/>
          <w:color w:val="000000" w:themeColor="text1"/>
        </w:rPr>
        <w:t xml:space="preserve">. </w:t>
      </w:r>
      <w:r w:rsidR="009A2AB1">
        <w:rPr>
          <w:rFonts w:cs="Times New Roman"/>
          <w:color w:val="000000" w:themeColor="text1"/>
        </w:rPr>
        <w:t xml:space="preserve">Esta evidencia confirma que la formación trasciende la transmisión de capacidades técnicas, situándose como un recurso estratégico que facilita la integración de la sostenibilidad al quehacer organizacional en línea con la Visión de la firma basada en recursos (Barney, 1991). Por lo anterior, las practicas formativas en procesos ambientales, sociales y económicos evidencia que los consorcios consolidan capacidades valiosas e imitables, especialmente en la gestión comunitaria y la adaptación territorial. </w:t>
      </w:r>
    </w:p>
    <w:p w14:paraId="76FC5546" w14:textId="77777777" w:rsidR="009A2AB1" w:rsidRPr="00B9633D" w:rsidRDefault="009A2AB1" w:rsidP="009A2AB1">
      <w:pPr>
        <w:ind w:firstLine="708"/>
        <w:rPr>
          <w:rFonts w:cs="Times New Roman"/>
          <w:color w:val="000000" w:themeColor="text1"/>
        </w:rPr>
      </w:pPr>
      <w:r w:rsidRPr="00B9633D">
        <w:rPr>
          <w:rFonts w:cs="Times New Roman"/>
        </w:rPr>
        <w:lastRenderedPageBreak/>
        <w:t xml:space="preserve">Los hallazgos indican que la función de </w:t>
      </w:r>
      <w:r w:rsidRPr="00B9633D">
        <w:rPr>
          <w:rFonts w:cs="Times New Roman"/>
          <w:color w:val="000000" w:themeColor="text1"/>
        </w:rPr>
        <w:t xml:space="preserve">DRH en los consorcios de infraestructura vial en </w:t>
      </w:r>
      <w:r>
        <w:rPr>
          <w:rFonts w:cs="Times New Roman"/>
          <w:color w:val="000000" w:themeColor="text1"/>
        </w:rPr>
        <w:t>territorios</w:t>
      </w:r>
      <w:r w:rsidRPr="00B9633D">
        <w:rPr>
          <w:rFonts w:cs="Times New Roman"/>
          <w:color w:val="000000" w:themeColor="text1"/>
        </w:rPr>
        <w:t xml:space="preserve"> posconflicto actúa como un eje estratégico para la sostenibilidad, más allá de su tradicional rol operativo. Esta perspectiva coincide con </w:t>
      </w:r>
      <w:proofErr w:type="spellStart"/>
      <w:r w:rsidRPr="00B9633D">
        <w:rPr>
          <w:rFonts w:cs="Times New Roman"/>
          <w:color w:val="000000" w:themeColor="text1"/>
        </w:rPr>
        <w:t>Garavan</w:t>
      </w:r>
      <w:proofErr w:type="spellEnd"/>
      <w:r w:rsidRPr="00B9633D">
        <w:rPr>
          <w:rFonts w:cs="Times New Roman"/>
          <w:color w:val="000000" w:themeColor="text1"/>
        </w:rPr>
        <w:t xml:space="preserve"> y McGuire (2010), quienes plantean que el DRH no solo administra competencias laborales, sino que también facilita la integración de la ética, la sostenibilidad y la estrategia organizacional, operando como mecanismo institucional de cambio. En este caso, la formación se convierte en una práctica de </w:t>
      </w:r>
      <w:r>
        <w:rPr>
          <w:rFonts w:cs="Times New Roman"/>
          <w:color w:val="000000" w:themeColor="text1"/>
        </w:rPr>
        <w:t>desarrollo humano</w:t>
      </w:r>
      <w:r w:rsidRPr="00B9633D">
        <w:rPr>
          <w:rFonts w:cs="Times New Roman"/>
          <w:color w:val="000000" w:themeColor="text1"/>
        </w:rPr>
        <w:t xml:space="preserve"> que sostiene la implementación efectiva de la RSE en sus dimensiones ambiental, social y económica, generando legitimidad organizacional y territorial (Suchman, 1995).</w:t>
      </w:r>
      <w:r>
        <w:rPr>
          <w:rFonts w:cs="Times New Roman"/>
          <w:color w:val="000000" w:themeColor="text1"/>
        </w:rPr>
        <w:t xml:space="preserve"> </w:t>
      </w:r>
    </w:p>
    <w:p w14:paraId="49605830"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 xml:space="preserve">En la dimensión social, el patrón más recurrente se relaciona con la participación comunitaria, la equidad y la cohesión social, aspectos que remiten directamente al enfoque de desarrollo humano de Sen (1999), quien define este proceso como la ampliación de capacidades y libertades. La creación de comités comunitarios, el uso de un lenguaje inclusivo y la promoción de valores familiares evidencian una búsqueda activa por generar valor compartido (Porter &amp; Kramer, 2011), donde la competitividad organizacional se alinea con bienestar. Sin embargo, el análisis revela una limitación estratégica: la ausencia de programas diferenciados para poblaciones en proceso de reincorporación. Desde la visión de la firma basada en recursos y capacidades (Barney, 1991), </w:t>
      </w:r>
      <w:r>
        <w:rPr>
          <w:rFonts w:cs="Times New Roman"/>
          <w:color w:val="000000" w:themeColor="text1"/>
        </w:rPr>
        <w:t>e</w:t>
      </w:r>
      <w:r w:rsidRPr="00DE61B5">
        <w:rPr>
          <w:rFonts w:cs="Times New Roman"/>
          <w:color w:val="000000" w:themeColor="text1"/>
        </w:rPr>
        <w:t>stos grupos poseen un conocimiento territorial valioso, raro e inimitable, cuya adecuada integración podría convertirse en una fuente de ventaja competitiva sostenible en escenarios de reconstrucción social.</w:t>
      </w:r>
    </w:p>
    <w:p w14:paraId="102409B9"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 xml:space="preserve">La dimensión ambiental emerge como la más </w:t>
      </w:r>
      <w:r>
        <w:rPr>
          <w:rFonts w:cs="Times New Roman"/>
          <w:color w:val="000000" w:themeColor="text1"/>
        </w:rPr>
        <w:t>desarrollada</w:t>
      </w:r>
      <w:r w:rsidRPr="00B9633D">
        <w:rPr>
          <w:rFonts w:cs="Times New Roman"/>
          <w:color w:val="000000" w:themeColor="text1"/>
        </w:rPr>
        <w:t>, evidenciando una transición desde el cumplimiento normativo hacia la integración cultural de la sostenibilidad. Las formaciones sobre gestión de residuos, preservación de ecosistemas y mitigación de impactos ambientales coinciden con los postulados de Green HRM, que sitúa al talento humano como catalizador de conductas ecológicas organizacionales (Amrutha &amp; Geetha, 2020). Además, este énfasis ambiental fortalece la LSO (Gunningham et al., 2004), clave en territorios frágiles donde la aceptación comunitaria es determinante para la continuidad de los proyectos (Sachs, 2015).</w:t>
      </w:r>
    </w:p>
    <w:p w14:paraId="5195C158" w14:textId="77777777" w:rsidR="009A2AB1" w:rsidRPr="00B9633D" w:rsidRDefault="009A2AB1" w:rsidP="009A2AB1">
      <w:pPr>
        <w:ind w:firstLine="708"/>
        <w:rPr>
          <w:rFonts w:cs="Times New Roman"/>
          <w:color w:val="000000" w:themeColor="text1"/>
        </w:rPr>
      </w:pPr>
      <w:r w:rsidRPr="00B9633D">
        <w:rPr>
          <w:rFonts w:cs="Times New Roman"/>
          <w:color w:val="000000" w:themeColor="text1"/>
        </w:rPr>
        <w:t xml:space="preserve">En la dimensión económica, la articulación entre formación, contratación local y </w:t>
      </w:r>
      <w:r>
        <w:rPr>
          <w:rFonts w:cs="Times New Roman"/>
          <w:color w:val="000000" w:themeColor="text1"/>
        </w:rPr>
        <w:t xml:space="preserve">fortalecimiento </w:t>
      </w:r>
      <w:r w:rsidRPr="00B9633D">
        <w:rPr>
          <w:rFonts w:cs="Times New Roman"/>
          <w:color w:val="000000" w:themeColor="text1"/>
        </w:rPr>
        <w:t xml:space="preserve">de proveedores territoriales evidencia esfuerzos iniciales hacia la inclusión productiva sostenible. Al fortalecer las capacidades laborales de las comunidades, los consorcios contribuyen a la cohesión territorial y a una distribución equitativa de los beneficios económicos, coherente con la propuesta de Porter y Kramer (2011) sobre la creación de valor compartido. Sin </w:t>
      </w:r>
      <w:r w:rsidRPr="00B9633D">
        <w:rPr>
          <w:rFonts w:cs="Times New Roman"/>
          <w:color w:val="000000" w:themeColor="text1"/>
        </w:rPr>
        <w:lastRenderedPageBreak/>
        <w:t>embargo, la menor visibilidad de esta dimensión frente a las componentes ambiental y social revela un desequilibrio en la aplicación del enfoque del Triple Bottom Line (Elkington, 1997), donde lo económico continúa ocupando una posición predominante en las estrategias de sostenibilidad.</w:t>
      </w:r>
    </w:p>
    <w:p w14:paraId="79271D37" w14:textId="77777777" w:rsidR="009A2AB1" w:rsidRDefault="009A2AB1" w:rsidP="009A2AB1">
      <w:pPr>
        <w:ind w:firstLine="708"/>
        <w:rPr>
          <w:rFonts w:cs="Times New Roman"/>
          <w:color w:val="000000" w:themeColor="text1"/>
        </w:rPr>
      </w:pPr>
      <w:r w:rsidRPr="00B9633D">
        <w:rPr>
          <w:rFonts w:cs="Times New Roman"/>
          <w:color w:val="000000" w:themeColor="text1"/>
        </w:rPr>
        <w:t xml:space="preserve">La evaluación de los procesos de formación se identifica como un área débil, pese a su relevancia estratégica. De acuerdo con Holton (1996), la evaluación debe trascender la medición del aprendizaje individual para incluir su contribución a los resultados organizacionales y sistémicos. En el caso analizado, los métodos aplicados son heterogéneos y no estandarizados, lo que limita la trazabilidad y la medición del ROSI (Epstein &amp; </w:t>
      </w:r>
      <w:proofErr w:type="spellStart"/>
      <w:r w:rsidRPr="00B9633D">
        <w:rPr>
          <w:rFonts w:cs="Times New Roman"/>
          <w:color w:val="000000" w:themeColor="text1"/>
        </w:rPr>
        <w:t>Buhovac</w:t>
      </w:r>
      <w:proofErr w:type="spellEnd"/>
      <w:r w:rsidRPr="00B9633D">
        <w:rPr>
          <w:rFonts w:cs="Times New Roman"/>
          <w:color w:val="000000" w:themeColor="text1"/>
        </w:rPr>
        <w:t xml:space="preserve">, 2014). Finalmente, el análisis documental </w:t>
      </w:r>
      <w:r>
        <w:rPr>
          <w:rFonts w:cs="Times New Roman"/>
          <w:color w:val="000000" w:themeColor="text1"/>
        </w:rPr>
        <w:t xml:space="preserve">confirma que </w:t>
      </w:r>
      <w:r w:rsidRPr="00B9633D">
        <w:rPr>
          <w:rFonts w:cs="Times New Roman"/>
          <w:color w:val="000000" w:themeColor="text1"/>
        </w:rPr>
        <w:t>los pliegos</w:t>
      </w:r>
      <w:r>
        <w:rPr>
          <w:rFonts w:cs="Times New Roman"/>
          <w:color w:val="000000" w:themeColor="text1"/>
        </w:rPr>
        <w:t xml:space="preserve"> de condiciones incorporan estándares para las practicas formativas de sostenibilidad coherentes con marcos internacionales </w:t>
      </w:r>
      <w:r w:rsidRPr="00B9633D">
        <w:rPr>
          <w:rFonts w:cs="Times New Roman"/>
          <w:color w:val="000000" w:themeColor="text1"/>
        </w:rPr>
        <w:t xml:space="preserve">(ISO 26000, 2010). Sin embargo, como advierte </w:t>
      </w:r>
      <w:r w:rsidRPr="00B9633D">
        <w:rPr>
          <w:rFonts w:cs="Times New Roman"/>
          <w:color w:val="222222"/>
          <w:shd w:val="clear" w:color="auto" w:fill="FFFFFF"/>
        </w:rPr>
        <w:t>Camacho (2022)</w:t>
      </w:r>
      <w:r w:rsidRPr="00B9633D">
        <w:rPr>
          <w:rFonts w:cs="Times New Roman"/>
          <w:color w:val="000000" w:themeColor="text1"/>
        </w:rPr>
        <w:t>, la traducción efectiva de estos lineamientos depende de su contextualización organizacional y del compromiso de los actores en campo, revelando tensiones entre norma y práctica que requieren enfoques sistémicos y adaptativos.</w:t>
      </w:r>
    </w:p>
    <w:p w14:paraId="60B00948" w14:textId="77777777" w:rsidR="0032340C" w:rsidRPr="00B9633D" w:rsidRDefault="0032340C" w:rsidP="009A2AB1">
      <w:pPr>
        <w:ind w:firstLine="708"/>
        <w:rPr>
          <w:rFonts w:cs="Times New Roman"/>
          <w:color w:val="222222"/>
          <w:shd w:val="clear" w:color="auto" w:fill="FFFFFF"/>
        </w:rPr>
      </w:pPr>
    </w:p>
    <w:p w14:paraId="6C98B56C" w14:textId="77777777" w:rsidR="009A2AB1" w:rsidRDefault="009A2AB1" w:rsidP="009A2AB1">
      <w:pPr>
        <w:rPr>
          <w:rFonts w:cs="Times New Roman"/>
          <w:b/>
          <w:bCs/>
          <w:color w:val="000000" w:themeColor="text1"/>
        </w:rPr>
      </w:pPr>
      <w:r w:rsidRPr="00B9633D">
        <w:rPr>
          <w:rFonts w:cs="Times New Roman"/>
          <w:b/>
          <w:bCs/>
          <w:color w:val="000000" w:themeColor="text1"/>
        </w:rPr>
        <w:t>Implicaciones teóricas</w:t>
      </w:r>
    </w:p>
    <w:p w14:paraId="3974E68C" w14:textId="77777777" w:rsidR="009A2AB1" w:rsidRDefault="009A2AB1" w:rsidP="00884970">
      <w:pPr>
        <w:ind w:firstLine="708"/>
        <w:rPr>
          <w:rFonts w:cs="Times New Roman"/>
          <w:color w:val="000000" w:themeColor="text1"/>
        </w:rPr>
      </w:pPr>
      <w:r w:rsidRPr="006D14D4">
        <w:rPr>
          <w:rFonts w:cs="Times New Roman"/>
          <w:color w:val="000000" w:themeColor="text1"/>
        </w:rPr>
        <w:t>Este estudio contribuye a la literatura sobre DRH y sostenibilidad en varios frentes. Primero, reafirma el rol del DRH como articulador estratégico de la RSE (</w:t>
      </w:r>
      <w:proofErr w:type="spellStart"/>
      <w:r w:rsidRPr="006D14D4">
        <w:rPr>
          <w:rFonts w:cs="Times New Roman"/>
          <w:color w:val="000000" w:themeColor="text1"/>
        </w:rPr>
        <w:t>Garavan</w:t>
      </w:r>
      <w:proofErr w:type="spellEnd"/>
      <w:r w:rsidRPr="006D14D4">
        <w:rPr>
          <w:rFonts w:cs="Times New Roman"/>
          <w:color w:val="000000" w:themeColor="text1"/>
        </w:rPr>
        <w:t xml:space="preserve"> &amp; McGuire, 2010) en sectores tradicionalmente técnicos como la infraestructura vial. </w:t>
      </w:r>
      <w:r w:rsidRPr="00430160">
        <w:rPr>
          <w:rFonts w:cs="Times New Roman"/>
          <w:color w:val="000000" w:themeColor="text1"/>
        </w:rPr>
        <w:t xml:space="preserve">En segundo lugar, introduce la noción del </w:t>
      </w:r>
      <w:r>
        <w:rPr>
          <w:rFonts w:cs="Times New Roman"/>
          <w:color w:val="000000" w:themeColor="text1"/>
        </w:rPr>
        <w:t>desarrollo</w:t>
      </w:r>
      <w:r w:rsidRPr="00430160">
        <w:rPr>
          <w:rFonts w:cs="Times New Roman"/>
          <w:color w:val="000000" w:themeColor="text1"/>
        </w:rPr>
        <w:t xml:space="preserve"> humano territorial como un recurso estratégico susceptible de ser gestionado mediante programas formativos diferenciados, articulando la teoría de recursos y capacidades (Barney, 1991) con el enfoque de desarrollo humano orientado a la ampliación de capacidades (Sen, 1999). En tercer lugar, evidencia la interacción entre Green HRM y legitimidad social (Renwick et al., 2013), mostrando que las prácticas formativas ambientales fortalecen la Licencia Social para Operar en territorios de posconflicto. Finalmente, subraya la necesidad de incorporar sistemas de evaluación estratégica capaces de medir el retorno de la inversión en sostenibilidad (ROSI), ampliando así los marcos de sostenibilidad organizacional y reforzando la comprensión de la formación como un mecanismo clave para la creación de valor sostenible.</w:t>
      </w:r>
    </w:p>
    <w:p w14:paraId="0E38E068" w14:textId="77777777" w:rsidR="0032340C" w:rsidRDefault="0032340C" w:rsidP="00884970">
      <w:pPr>
        <w:ind w:firstLine="708"/>
        <w:rPr>
          <w:rFonts w:cs="Times New Roman"/>
          <w:color w:val="000000" w:themeColor="text1"/>
        </w:rPr>
      </w:pPr>
    </w:p>
    <w:p w14:paraId="54BD5B81" w14:textId="77777777" w:rsidR="009A2AB1" w:rsidRDefault="009A2AB1" w:rsidP="009A2AB1">
      <w:pPr>
        <w:rPr>
          <w:rFonts w:cs="Times New Roman"/>
          <w:b/>
          <w:bCs/>
          <w:color w:val="000000" w:themeColor="text1"/>
        </w:rPr>
      </w:pPr>
      <w:r w:rsidRPr="00B9633D">
        <w:rPr>
          <w:rFonts w:cs="Times New Roman"/>
          <w:b/>
          <w:bCs/>
          <w:color w:val="000000" w:themeColor="text1"/>
        </w:rPr>
        <w:t xml:space="preserve">Implicaciones practicas </w:t>
      </w:r>
    </w:p>
    <w:p w14:paraId="7F6C4B1C" w14:textId="77777777" w:rsidR="009A2AB1" w:rsidRDefault="009A2AB1" w:rsidP="00884970">
      <w:pPr>
        <w:ind w:firstLine="708"/>
        <w:rPr>
          <w:rFonts w:cs="Times New Roman"/>
          <w:color w:val="000000" w:themeColor="text1"/>
        </w:rPr>
      </w:pPr>
      <w:r w:rsidRPr="006F4108">
        <w:rPr>
          <w:rFonts w:cs="Times New Roman"/>
          <w:color w:val="000000" w:themeColor="text1"/>
        </w:rPr>
        <w:t xml:space="preserve">Los resultados ofrecen recomendaciones valiosas para la gestión estratégica del </w:t>
      </w:r>
      <w:r>
        <w:rPr>
          <w:rFonts w:cs="Times New Roman"/>
          <w:color w:val="000000" w:themeColor="text1"/>
        </w:rPr>
        <w:t>desarrollo</w:t>
      </w:r>
      <w:r w:rsidRPr="006F4108">
        <w:rPr>
          <w:rFonts w:cs="Times New Roman"/>
          <w:color w:val="000000" w:themeColor="text1"/>
        </w:rPr>
        <w:t xml:space="preserve"> humano en proyectos de infraestructura vial </w:t>
      </w:r>
      <w:r>
        <w:rPr>
          <w:rFonts w:cs="Times New Roman"/>
          <w:color w:val="000000" w:themeColor="text1"/>
        </w:rPr>
        <w:t>en territorios</w:t>
      </w:r>
      <w:r w:rsidRPr="006F4108">
        <w:rPr>
          <w:rFonts w:cs="Times New Roman"/>
          <w:color w:val="000000" w:themeColor="text1"/>
        </w:rPr>
        <w:t xml:space="preserve"> posconflicto. En primer lugar, destacan </w:t>
      </w:r>
      <w:r w:rsidRPr="006F4108">
        <w:rPr>
          <w:rFonts w:cs="Times New Roman"/>
          <w:color w:val="000000" w:themeColor="text1"/>
        </w:rPr>
        <w:lastRenderedPageBreak/>
        <w:t>la necesidad de diseñar programas de formación diferenciada para poblaciones en proceso de reincorporación, integrando componentes técnicos, psicosociales y de reconocimiento de saberes territoriales, con el propósito de convertir</w:t>
      </w:r>
      <w:r>
        <w:rPr>
          <w:rFonts w:cs="Times New Roman"/>
          <w:color w:val="000000" w:themeColor="text1"/>
        </w:rPr>
        <w:t xml:space="preserve">los </w:t>
      </w:r>
      <w:r w:rsidRPr="006F4108">
        <w:rPr>
          <w:rFonts w:cs="Times New Roman"/>
          <w:color w:val="000000" w:themeColor="text1"/>
        </w:rPr>
        <w:t xml:space="preserve">en un activo estratégico generador de ventaja competitiva sostenible. En segundo lugar, se evidencia urgencia de fortalecer los sistemas de evaluación formativa, avanzando desde mecanismos aislados hacia modelos integrales capaces de medir la transferencia del aprendizaje, su impacto en el desempeño organizacional y su contribución a objetivos de sostenibilidad. Asimismo, se identifica la importancia de reequilibrar las tres dimensiones del Triple Bottom Line, fortaleciendo la dimensión económica mediante estrategias de encadenamiento productivo local, desarrollo de proveedores territoriales y oportunidades de empleo inclusivo, con el fin de consolidar una sostenibilidad realmente integral. Finalmente, se recomienda institucionalizar la sostenibilidad dentro de las políticas, procesos y cultura de </w:t>
      </w:r>
      <w:r>
        <w:rPr>
          <w:rFonts w:cs="Times New Roman"/>
          <w:color w:val="000000" w:themeColor="text1"/>
        </w:rPr>
        <w:t>desarrollo</w:t>
      </w:r>
      <w:r w:rsidRPr="006F4108">
        <w:rPr>
          <w:rFonts w:cs="Times New Roman"/>
          <w:color w:val="000000" w:themeColor="text1"/>
        </w:rPr>
        <w:t xml:space="preserve"> humano, articulando prácticas de Green HRM con enfoques inclusivos y participativos; de este modo, la formación deja de ser un requisito contractual y se convierte en un instrumento transformador que fortalece la legitimidad social, la estabilidad operativa y la reconstrucción territorial.</w:t>
      </w:r>
    </w:p>
    <w:p w14:paraId="6DF08985" w14:textId="77777777" w:rsidR="0032340C" w:rsidRDefault="0032340C" w:rsidP="00884970">
      <w:pPr>
        <w:ind w:firstLine="708"/>
        <w:rPr>
          <w:rFonts w:cs="Times New Roman"/>
          <w:color w:val="000000" w:themeColor="text1"/>
        </w:rPr>
      </w:pPr>
    </w:p>
    <w:p w14:paraId="788A7CE9" w14:textId="77777777" w:rsidR="009A2AB1" w:rsidRPr="00C24A3F" w:rsidRDefault="009A2AB1" w:rsidP="009A2AB1">
      <w:pPr>
        <w:rPr>
          <w:rFonts w:cs="Times New Roman"/>
          <w:color w:val="000000" w:themeColor="text1"/>
        </w:rPr>
      </w:pPr>
      <w:r w:rsidRPr="00B9633D">
        <w:rPr>
          <w:rFonts w:cs="Times New Roman"/>
          <w:b/>
          <w:bCs/>
          <w:color w:val="000000" w:themeColor="text1"/>
        </w:rPr>
        <w:t>Limitaciones y líneas de investigación futuras</w:t>
      </w:r>
    </w:p>
    <w:p w14:paraId="73E6EDB4" w14:textId="77777777" w:rsidR="009A2AB1" w:rsidRPr="00B9633D" w:rsidRDefault="009A2AB1" w:rsidP="00884970">
      <w:pPr>
        <w:ind w:firstLine="708"/>
        <w:rPr>
          <w:rFonts w:cs="Times New Roman"/>
          <w:color w:val="000000" w:themeColor="text1"/>
        </w:rPr>
      </w:pPr>
      <w:r w:rsidRPr="00B9633D">
        <w:rPr>
          <w:rFonts w:cs="Times New Roman"/>
          <w:color w:val="000000" w:themeColor="text1"/>
        </w:rPr>
        <w:t xml:space="preserve">Esta investigación presenta limitaciones asociadas al tamaño y la diversidad de la muestra, compuesta por seis entrevistados en cuatro consorcios, así como a la naturaleza cualitativa de la información, basada principalmente en percepciones subjetivas. Estas condiciones restringen la posibilidad de generalizar los hallazgos a otros </w:t>
      </w:r>
      <w:r>
        <w:rPr>
          <w:rFonts w:cs="Times New Roman"/>
          <w:color w:val="000000" w:themeColor="text1"/>
        </w:rPr>
        <w:t>territorios</w:t>
      </w:r>
      <w:r w:rsidRPr="00B9633D">
        <w:rPr>
          <w:rFonts w:cs="Times New Roman"/>
          <w:color w:val="000000" w:themeColor="text1"/>
        </w:rPr>
        <w:t xml:space="preserve"> o sectores. En consecuencia, se sugiere que futuras investigaciones amplíen el número de casos y regiones analizadas, incorporando diferentes tipos de proyectos de infraestructura que permitan contrastar y enriquecer los resultados. Además, sería pertinente emplear metodologías mixtas que integren análisis cualitativos con métricas cuantitativas de desempeño organizacional y territorial, fortaleciendo así la validez externa y la robustez analítica. De igual forma, se recomienda desarrollar estudios longitudinales que posibiliten evaluar de manera sostenida el impacto de los programas formativos diferenciados en la cohesión social, el desempeño sostenible y la legitimidad organizacional. Finalmente, resulta relevante profundizar en la relación entre el Capital de Paz, la ventaja competitiva sostenible y las estrategias de DRH, a fin de comprender cómo estos elementos interactúan para impulsar procesos de reconstrucción territorial en contextos de posconflicto.</w:t>
      </w:r>
    </w:p>
    <w:p w14:paraId="0D5E1BEF" w14:textId="6E626A3A" w:rsidR="00BA6496" w:rsidRDefault="00BA6496" w:rsidP="00EA1643">
      <w:pPr>
        <w:rPr>
          <w:rFonts w:cs="Times New Roman"/>
          <w:szCs w:val="24"/>
        </w:rPr>
      </w:pPr>
    </w:p>
    <w:p w14:paraId="46087E12" w14:textId="2409464F" w:rsidR="00EA1643" w:rsidRDefault="00F646D2" w:rsidP="00A85C31">
      <w:pPr>
        <w:pStyle w:val="Ttulo1"/>
      </w:pPr>
      <w:bookmarkStart w:id="20" w:name="_Toc440985142"/>
      <w:r>
        <w:t xml:space="preserve"> </w:t>
      </w:r>
      <w:r w:rsidR="00EA1643" w:rsidRPr="00285913">
        <w:t>Conclusiones</w:t>
      </w:r>
      <w:bookmarkEnd w:id="20"/>
    </w:p>
    <w:p w14:paraId="4ED946FD" w14:textId="77777777" w:rsidR="00EA1643" w:rsidRDefault="00EA1643" w:rsidP="00EA1643"/>
    <w:p w14:paraId="6AE67C30" w14:textId="77777777" w:rsidR="009A2AB1" w:rsidRPr="00790B54" w:rsidRDefault="009A2AB1" w:rsidP="00884970">
      <w:pPr>
        <w:ind w:firstLine="708"/>
        <w:rPr>
          <w:rFonts w:cs="Times New Roman"/>
          <w:color w:val="000000" w:themeColor="text1"/>
        </w:rPr>
      </w:pPr>
      <w:r w:rsidRPr="00790B54">
        <w:rPr>
          <w:rFonts w:cs="Times New Roman"/>
          <w:color w:val="000000" w:themeColor="text1"/>
        </w:rPr>
        <w:t xml:space="preserve">Los resultados de este estudio confirman que las prácticas formativas implementadas por los consorcios viales en </w:t>
      </w:r>
      <w:r>
        <w:rPr>
          <w:rFonts w:cs="Times New Roman"/>
          <w:color w:val="000000" w:themeColor="text1"/>
        </w:rPr>
        <w:t xml:space="preserve">territorios </w:t>
      </w:r>
      <w:r w:rsidRPr="00790B54">
        <w:rPr>
          <w:rFonts w:cs="Times New Roman"/>
          <w:color w:val="000000" w:themeColor="text1"/>
        </w:rPr>
        <w:t>posconflicto operan como un componente estratégico para la sostenibilidad y el desarrollo humano. La formación no se limita a transmitir habilidades técnicas, sino que articula dimensiones sociales, ambientales y económicas que fortalecen la legitimidad institucional y el valor compartido en los territorios. La triangulación con los Pliegos de Condiciones del INVIAS evidencia que estas prácticas cumplen los estándares estatales de sostenibilidad, especialmente en manejo responsable de recursos, participación comunitaria, promoción de la inclusión laboral y fortalecimiento de capacidades técnicas y organizacionales.</w:t>
      </w:r>
    </w:p>
    <w:p w14:paraId="35E6F19C" w14:textId="15685954" w:rsidR="00A47301" w:rsidRPr="009A2AB1" w:rsidRDefault="009A2AB1" w:rsidP="009A2AB1">
      <w:pPr>
        <w:ind w:firstLine="708"/>
        <w:rPr>
          <w:rFonts w:cs="Times New Roman"/>
          <w:color w:val="000000" w:themeColor="text1"/>
        </w:rPr>
      </w:pPr>
      <w:r w:rsidRPr="00790B54">
        <w:rPr>
          <w:rFonts w:cs="Times New Roman"/>
          <w:color w:val="000000" w:themeColor="text1"/>
        </w:rPr>
        <w:t>Sin embargo, el estudio revela brechas importantes: la formación aún no se consolida como un sistema institucionalizado que responda de manera diferenciada a poblaciones vulnerables, como personas en proceso de reincorporación, ni cuenta con mecanismos robustos de evaluación que permitan medir su impacto en la sostenibilidad territorial. A partir de este análisis, se propone avanzar hacia modelos formativos integrales que combinen competencias técnicas, socioemocionales y ambientales, y que se estructuren como políticas permanentes de gestión humana sostenible. En conjunto, estos hallazgos reafirman el papel de la formación como vector de desarrollo humano y de consolidación de prácticas responsables en proyectos de infraestructura vial.</w:t>
      </w:r>
    </w:p>
    <w:p w14:paraId="591F13EA" w14:textId="12DB1B18" w:rsidR="00C727EA" w:rsidRPr="00216165" w:rsidRDefault="00A85C31" w:rsidP="00A85C31">
      <w:pPr>
        <w:pStyle w:val="Ttulo1"/>
        <w:rPr>
          <w:lang w:val="en-US"/>
        </w:rPr>
      </w:pPr>
      <w:r w:rsidRPr="00216165">
        <w:rPr>
          <w:lang w:val="en-US"/>
        </w:rPr>
        <w:t xml:space="preserve"> </w:t>
      </w:r>
      <w:proofErr w:type="spellStart"/>
      <w:r w:rsidR="00C727EA" w:rsidRPr="00216165">
        <w:rPr>
          <w:lang w:val="en-US"/>
        </w:rPr>
        <w:t>Referencias</w:t>
      </w:r>
      <w:proofErr w:type="spellEnd"/>
    </w:p>
    <w:p w14:paraId="184BE9D4" w14:textId="77777777" w:rsidR="00C727EA" w:rsidRPr="00216165" w:rsidRDefault="00C727EA" w:rsidP="00C727EA">
      <w:pPr>
        <w:rPr>
          <w:rFonts w:cs="Times New Roman"/>
          <w:szCs w:val="24"/>
          <w:lang w:val="en-US"/>
        </w:rPr>
      </w:pPr>
    </w:p>
    <w:p w14:paraId="11CCDFC4" w14:textId="77777777" w:rsidR="00046137" w:rsidRPr="00A432B9" w:rsidRDefault="00046137" w:rsidP="00046137">
      <w:pPr>
        <w:ind w:left="709" w:hanging="709"/>
        <w:rPr>
          <w:rFonts w:cs="Times New Roman"/>
          <w:lang w:val="en-US"/>
        </w:rPr>
      </w:pPr>
      <w:proofErr w:type="spellStart"/>
      <w:r w:rsidRPr="00B9633D">
        <w:rPr>
          <w:rFonts w:cs="Times New Roman"/>
        </w:rPr>
        <w:t>Aguinis</w:t>
      </w:r>
      <w:proofErr w:type="spellEnd"/>
      <w:r w:rsidRPr="00B9633D">
        <w:rPr>
          <w:rFonts w:cs="Times New Roman"/>
        </w:rPr>
        <w:t xml:space="preserve">, H., &amp; Glavas, A. (2019). </w:t>
      </w:r>
      <w:r w:rsidRPr="00A432B9">
        <w:rPr>
          <w:rFonts w:cs="Times New Roman"/>
          <w:i/>
          <w:iCs/>
          <w:lang w:val="en-US"/>
        </w:rPr>
        <w:t>On corporate social responsibility, sensemaking, and the search for meaningfulness through work. Journal of Management, 45(3), 1057–1086.</w:t>
      </w:r>
      <w:hyperlink r:id="rId12" w:history="1">
        <w:r w:rsidRPr="00A432B9">
          <w:rPr>
            <w:rStyle w:val="Hipervnculo"/>
            <w:rFonts w:cs="Times New Roman"/>
            <w:lang w:val="en-US"/>
          </w:rPr>
          <w:t>https://doi.org/10.1177/0149206317691575</w:t>
        </w:r>
      </w:hyperlink>
      <w:r w:rsidRPr="00A432B9">
        <w:rPr>
          <w:rFonts w:cs="Times New Roman"/>
          <w:lang w:val="en-US"/>
        </w:rPr>
        <w:t xml:space="preserve"> </w:t>
      </w:r>
    </w:p>
    <w:p w14:paraId="7BB12B7B" w14:textId="77777777" w:rsidR="00046137" w:rsidRPr="00B9633D" w:rsidRDefault="00046137" w:rsidP="00046137">
      <w:pPr>
        <w:ind w:left="709" w:hanging="709"/>
        <w:rPr>
          <w:rFonts w:cs="Times New Roman"/>
          <w:color w:val="EE0000"/>
        </w:rPr>
      </w:pPr>
      <w:r w:rsidRPr="00A432B9">
        <w:rPr>
          <w:rFonts w:cs="Times New Roman"/>
          <w:lang w:val="en-US"/>
        </w:rPr>
        <w:t xml:space="preserve">Alaña Castillo, T., Pérez Morales, A., &amp; Viteri Moya, V. (2017). </w:t>
      </w:r>
      <w:r w:rsidRPr="00B9633D">
        <w:rPr>
          <w:rFonts w:cs="Times New Roman"/>
        </w:rPr>
        <w:t xml:space="preserve">La evolución de la sostenibilidad como estrategia empresarial. </w:t>
      </w:r>
      <w:r w:rsidRPr="00B9633D">
        <w:rPr>
          <w:rFonts w:cs="Times New Roman"/>
          <w:i/>
          <w:iCs/>
        </w:rPr>
        <w:t>Revista Publicando</w:t>
      </w:r>
      <w:r w:rsidRPr="00B9633D">
        <w:rPr>
          <w:rFonts w:cs="Times New Roman"/>
        </w:rPr>
        <w:t xml:space="preserve">, </w:t>
      </w:r>
      <w:r w:rsidRPr="00B9633D">
        <w:rPr>
          <w:rFonts w:cs="Times New Roman"/>
          <w:i/>
          <w:iCs/>
        </w:rPr>
        <w:t>4</w:t>
      </w:r>
      <w:r w:rsidRPr="00B9633D">
        <w:rPr>
          <w:rFonts w:cs="Times New Roman"/>
        </w:rPr>
        <w:t xml:space="preserve">(13), 221–231. </w:t>
      </w:r>
      <w:hyperlink r:id="rId13" w:history="1">
        <w:r w:rsidRPr="00B9633D">
          <w:rPr>
            <w:rStyle w:val="Hipervnculo"/>
            <w:rFonts w:cs="Times New Roman"/>
          </w:rPr>
          <w:t>https://revistapublicando.org/revista/index.php/crv/article/view/739</w:t>
        </w:r>
      </w:hyperlink>
      <w:r w:rsidRPr="00B9633D">
        <w:rPr>
          <w:rFonts w:cs="Times New Roman"/>
          <w:color w:val="EE0000"/>
        </w:rPr>
        <w:t xml:space="preserve"> </w:t>
      </w:r>
    </w:p>
    <w:p w14:paraId="56DE003F" w14:textId="77777777" w:rsidR="00046137" w:rsidRPr="00B9633D" w:rsidRDefault="00046137" w:rsidP="00046137">
      <w:pPr>
        <w:ind w:left="709" w:hanging="709"/>
        <w:rPr>
          <w:rFonts w:cs="Times New Roman"/>
          <w:color w:val="EE0000"/>
        </w:rPr>
      </w:pPr>
      <w:r w:rsidRPr="00B9633D">
        <w:rPr>
          <w:rFonts w:cs="Times New Roman"/>
        </w:rPr>
        <w:t>Álvarez, M. J. N., Bracho, O. A., &amp; Acurero, M. T. (2024). Gestión del Talento Humano como factor clave para el emprendimiento sostenible. </w:t>
      </w:r>
      <w:r w:rsidRPr="00B9633D">
        <w:rPr>
          <w:rFonts w:cs="Times New Roman"/>
          <w:i/>
          <w:iCs/>
        </w:rPr>
        <w:t>Revista Temario Científico</w:t>
      </w:r>
      <w:r w:rsidRPr="00B9633D">
        <w:rPr>
          <w:rFonts w:cs="Times New Roman"/>
        </w:rPr>
        <w:t>, </w:t>
      </w:r>
      <w:r w:rsidRPr="00B9633D">
        <w:rPr>
          <w:rFonts w:cs="Times New Roman"/>
          <w:i/>
          <w:iCs/>
        </w:rPr>
        <w:t>4</w:t>
      </w:r>
      <w:r w:rsidRPr="00B9633D">
        <w:rPr>
          <w:rFonts w:cs="Times New Roman"/>
        </w:rPr>
        <w:t xml:space="preserve">(2), 1-17. </w:t>
      </w:r>
      <w:hyperlink r:id="rId14" w:history="1">
        <w:r w:rsidRPr="00B9633D">
          <w:rPr>
            <w:rStyle w:val="Hipervnculo"/>
            <w:rFonts w:cs="Times New Roman"/>
          </w:rPr>
          <w:t>https://doi.org/10.47212/rtcAlinin.2.224.7</w:t>
        </w:r>
      </w:hyperlink>
      <w:r w:rsidRPr="00B9633D">
        <w:rPr>
          <w:rFonts w:cs="Times New Roman"/>
          <w:color w:val="EE0000"/>
        </w:rPr>
        <w:t xml:space="preserve">  </w:t>
      </w:r>
    </w:p>
    <w:p w14:paraId="1DBC66C0" w14:textId="77777777" w:rsidR="00046137" w:rsidRPr="00A432B9" w:rsidRDefault="00046137" w:rsidP="00046137">
      <w:pPr>
        <w:ind w:left="709" w:hanging="709"/>
        <w:rPr>
          <w:rFonts w:cs="Times New Roman"/>
          <w:lang w:val="en-US"/>
        </w:rPr>
      </w:pPr>
      <w:r w:rsidRPr="00B9633D">
        <w:rPr>
          <w:rFonts w:cs="Times New Roman"/>
        </w:rPr>
        <w:lastRenderedPageBreak/>
        <w:t xml:space="preserve">Amrutha, V. N., &amp; Geetha, S. N. (2020). </w:t>
      </w:r>
      <w:r w:rsidRPr="00A432B9">
        <w:rPr>
          <w:rFonts w:cs="Times New Roman"/>
          <w:i/>
          <w:iCs/>
          <w:lang w:val="en-US"/>
        </w:rPr>
        <w:t>A systematic review on green human resource management: Implications for social sustainability.</w:t>
      </w:r>
      <w:r w:rsidRPr="00A432B9">
        <w:rPr>
          <w:rFonts w:cs="Times New Roman"/>
          <w:lang w:val="en-US"/>
        </w:rPr>
        <w:t xml:space="preserve"> Journal of Cleaner Production, 247, 119131. </w:t>
      </w:r>
      <w:hyperlink r:id="rId15" w:history="1">
        <w:r w:rsidRPr="00A432B9">
          <w:rPr>
            <w:rStyle w:val="Hipervnculo"/>
            <w:rFonts w:cs="Times New Roman"/>
            <w:lang w:val="en-US"/>
          </w:rPr>
          <w:t>https://doi.org/10.1016/j.jclepro.2019.119131</w:t>
        </w:r>
      </w:hyperlink>
      <w:r w:rsidRPr="00A432B9">
        <w:rPr>
          <w:rFonts w:cs="Times New Roman"/>
          <w:lang w:val="en-US"/>
        </w:rPr>
        <w:t xml:space="preserve"> </w:t>
      </w:r>
    </w:p>
    <w:p w14:paraId="5FBEA2DF" w14:textId="77777777" w:rsidR="00046137" w:rsidRPr="00B9633D" w:rsidRDefault="00046137" w:rsidP="00046137">
      <w:pPr>
        <w:ind w:left="709" w:hanging="709"/>
        <w:rPr>
          <w:rFonts w:cs="Times New Roman"/>
        </w:rPr>
      </w:pPr>
      <w:r w:rsidRPr="00A432B9">
        <w:rPr>
          <w:rFonts w:cs="Times New Roman"/>
          <w:lang w:val="en-US"/>
        </w:rPr>
        <w:t xml:space="preserve">Arredondo Méndez, V. H. (2023). </w:t>
      </w:r>
      <w:r w:rsidRPr="00B9633D">
        <w:rPr>
          <w:rFonts w:cs="Times New Roman"/>
        </w:rPr>
        <w:t>La industria 4.0 y la transformación digital: el efecto sinérgico de la responsabilidad social corporativa y el capital humano en el marco de los objetivos de desarrollo del milenio.</w:t>
      </w:r>
      <w:r>
        <w:rPr>
          <w:rFonts w:cs="Times New Roman"/>
        </w:rPr>
        <w:t xml:space="preserve"> </w:t>
      </w:r>
      <w:r w:rsidRPr="00E63196">
        <w:rPr>
          <w:rFonts w:cs="Times New Roman"/>
        </w:rPr>
        <w:t>Universidad Politécnica de Cartagena.</w:t>
      </w:r>
      <w:r w:rsidRPr="00B9633D">
        <w:rPr>
          <w:rFonts w:cs="Times New Roman"/>
          <w:color w:val="222222"/>
          <w:shd w:val="clear" w:color="auto" w:fill="FFFFFF"/>
        </w:rPr>
        <w:t xml:space="preserve"> </w:t>
      </w:r>
      <w:hyperlink r:id="rId16" w:history="1">
        <w:r w:rsidRPr="00B9633D">
          <w:rPr>
            <w:rStyle w:val="Hipervnculo"/>
            <w:rFonts w:cs="Times New Roman"/>
            <w:shd w:val="clear" w:color="auto" w:fill="FFFFFF"/>
          </w:rPr>
          <w:t>https://repositorio.upct.es/entities/publication/96458e88-4a88-42e3-b26e-b58d830f62b2</w:t>
        </w:r>
      </w:hyperlink>
      <w:r w:rsidRPr="00B9633D">
        <w:rPr>
          <w:rFonts w:cs="Times New Roman"/>
          <w:color w:val="222222"/>
          <w:shd w:val="clear" w:color="auto" w:fill="FFFFFF"/>
        </w:rPr>
        <w:t xml:space="preserve"> </w:t>
      </w:r>
    </w:p>
    <w:p w14:paraId="2F7B3E06" w14:textId="77777777" w:rsidR="00046137" w:rsidRDefault="00046137" w:rsidP="00046137">
      <w:pPr>
        <w:ind w:left="709" w:hanging="709"/>
        <w:rPr>
          <w:rFonts w:cs="Times New Roman"/>
        </w:rPr>
      </w:pPr>
      <w:r w:rsidRPr="00A432B9">
        <w:rPr>
          <w:rFonts w:cs="Times New Roman"/>
          <w:lang w:val="en-US"/>
        </w:rPr>
        <w:t xml:space="preserve">Barney, J. B. (1991). </w:t>
      </w:r>
      <w:r w:rsidRPr="00A432B9">
        <w:rPr>
          <w:rFonts w:cs="Times New Roman"/>
          <w:i/>
          <w:iCs/>
          <w:lang w:val="en-US"/>
        </w:rPr>
        <w:t>Firm resources and sustained competitive advantage.</w:t>
      </w:r>
      <w:r w:rsidRPr="00A432B9">
        <w:rPr>
          <w:rFonts w:cs="Times New Roman"/>
          <w:lang w:val="en-US"/>
        </w:rPr>
        <w:t xml:space="preserve"> </w:t>
      </w:r>
      <w:proofErr w:type="spellStart"/>
      <w:r w:rsidRPr="00B9633D">
        <w:rPr>
          <w:rFonts w:cs="Times New Roman"/>
        </w:rPr>
        <w:t>Journal</w:t>
      </w:r>
      <w:proofErr w:type="spellEnd"/>
      <w:r w:rsidRPr="00B9633D">
        <w:rPr>
          <w:rFonts w:cs="Times New Roman"/>
        </w:rPr>
        <w:t xml:space="preserve"> </w:t>
      </w:r>
      <w:proofErr w:type="spellStart"/>
      <w:r w:rsidRPr="00B9633D">
        <w:rPr>
          <w:rFonts w:cs="Times New Roman"/>
        </w:rPr>
        <w:t>of</w:t>
      </w:r>
      <w:proofErr w:type="spellEnd"/>
      <w:r w:rsidRPr="00B9633D">
        <w:rPr>
          <w:rFonts w:cs="Times New Roman"/>
        </w:rPr>
        <w:t xml:space="preserve"> Management, 17(1), 99–120. </w:t>
      </w:r>
      <w:hyperlink r:id="rId17" w:tgtFrame="_new" w:history="1">
        <w:r w:rsidRPr="00B9633D">
          <w:rPr>
            <w:rStyle w:val="Hipervnculo"/>
            <w:rFonts w:cs="Times New Roman"/>
          </w:rPr>
          <w:t>https://doi.org/10.1177/014920639101700108</w:t>
        </w:r>
      </w:hyperlink>
      <w:r w:rsidRPr="00B9633D">
        <w:rPr>
          <w:rFonts w:cs="Times New Roman"/>
        </w:rPr>
        <w:t xml:space="preserve"> </w:t>
      </w:r>
    </w:p>
    <w:p w14:paraId="26072D12" w14:textId="77777777" w:rsidR="00046137" w:rsidRPr="00F0312E" w:rsidRDefault="00046137" w:rsidP="00046137">
      <w:pPr>
        <w:ind w:left="709" w:hanging="709"/>
        <w:rPr>
          <w:rFonts w:cs="Times New Roman"/>
        </w:rPr>
      </w:pPr>
      <w:r w:rsidRPr="00F0312E">
        <w:rPr>
          <w:rFonts w:cs="Times New Roman"/>
        </w:rPr>
        <w:t xml:space="preserve">Barragán Codina, J. N., Guerra Rodríguez, P., &amp; Vizcaíno González, J. N. H. (2024). Integración de la responsabilidad social en los modelos de negocios sostenibles. </w:t>
      </w:r>
      <w:r w:rsidRPr="00F0312E">
        <w:rPr>
          <w:rFonts w:cs="Times New Roman"/>
          <w:i/>
          <w:iCs/>
        </w:rPr>
        <w:t>Revista Daena</w:t>
      </w:r>
      <w:r w:rsidRPr="00F0312E">
        <w:rPr>
          <w:rFonts w:cs="Times New Roman"/>
        </w:rPr>
        <w:t>, 19(2)</w:t>
      </w:r>
      <w:r w:rsidRPr="00F0312E">
        <w:rPr>
          <w:rFonts w:cs="Times New Roman"/>
          <w:i/>
          <w:iCs/>
        </w:rPr>
        <w:t>.</w:t>
      </w:r>
      <w:r>
        <w:rPr>
          <w:rFonts w:cs="Times New Roman"/>
          <w:i/>
          <w:iCs/>
        </w:rPr>
        <w:t xml:space="preserve"> </w:t>
      </w:r>
      <w:hyperlink r:id="rId18" w:history="1">
        <w:r w:rsidRPr="005B1A6F">
          <w:rPr>
            <w:rStyle w:val="Hipervnculo"/>
            <w:rFonts w:cs="Times New Roman"/>
            <w:i/>
            <w:iCs/>
          </w:rPr>
          <w:t>https://openurl.ebsco.com/EPDB%3Agcd%3A12%3A30803212/detailv2?sid=ebsco%3Aplink%3Ascholar&amp;id=ebsco%3Agcd%3A182172247&amp;crl=c&amp;link_origin</w:t>
        </w:r>
      </w:hyperlink>
      <w:r>
        <w:rPr>
          <w:rFonts w:cs="Times New Roman"/>
          <w:i/>
          <w:iCs/>
        </w:rPr>
        <w:t xml:space="preserve"> </w:t>
      </w:r>
    </w:p>
    <w:p w14:paraId="7C58CA8D" w14:textId="77777777" w:rsidR="00046137" w:rsidRPr="00A432B9" w:rsidRDefault="00046137" w:rsidP="00046137">
      <w:pPr>
        <w:ind w:left="709" w:hanging="709"/>
        <w:rPr>
          <w:rFonts w:cs="Times New Roman"/>
          <w:lang w:val="en-US"/>
        </w:rPr>
      </w:pPr>
      <w:r w:rsidRPr="00F0312E">
        <w:rPr>
          <w:rFonts w:cs="Times New Roman"/>
        </w:rPr>
        <w:t xml:space="preserve">Becker, B. E., &amp; Gerhart, B. (1996). </w:t>
      </w:r>
      <w:r w:rsidRPr="00A432B9">
        <w:rPr>
          <w:rFonts w:cs="Times New Roman"/>
          <w:lang w:val="en-US"/>
        </w:rPr>
        <w:t xml:space="preserve">The impact of human resource management on organizational performance: Progress and prospects. </w:t>
      </w:r>
      <w:r w:rsidRPr="00A432B9">
        <w:rPr>
          <w:rFonts w:cs="Times New Roman"/>
          <w:i/>
          <w:iCs/>
          <w:lang w:val="en-US"/>
        </w:rPr>
        <w:t>Academy of Management Journal</w:t>
      </w:r>
      <w:r w:rsidRPr="00A432B9">
        <w:rPr>
          <w:rFonts w:cs="Times New Roman"/>
          <w:lang w:val="en-US"/>
        </w:rPr>
        <w:t xml:space="preserve">, </w:t>
      </w:r>
      <w:r w:rsidRPr="00A432B9">
        <w:rPr>
          <w:rFonts w:cs="Times New Roman"/>
          <w:i/>
          <w:iCs/>
          <w:lang w:val="en-US"/>
        </w:rPr>
        <w:t>39</w:t>
      </w:r>
      <w:r w:rsidRPr="00A432B9">
        <w:rPr>
          <w:rFonts w:cs="Times New Roman"/>
          <w:lang w:val="en-US"/>
        </w:rPr>
        <w:t xml:space="preserve">(4), 779–801. </w:t>
      </w:r>
      <w:hyperlink r:id="rId19" w:history="1">
        <w:r w:rsidRPr="00A432B9">
          <w:rPr>
            <w:rStyle w:val="Hipervnculo"/>
            <w:rFonts w:cs="Times New Roman"/>
            <w:lang w:val="en-US"/>
          </w:rPr>
          <w:t>https://doi.org/10.5465/256712</w:t>
        </w:r>
      </w:hyperlink>
      <w:r w:rsidRPr="00A432B9">
        <w:rPr>
          <w:rFonts w:cs="Times New Roman"/>
          <w:lang w:val="en-US"/>
        </w:rPr>
        <w:t xml:space="preserve"> </w:t>
      </w:r>
    </w:p>
    <w:p w14:paraId="755F7A35" w14:textId="77777777" w:rsidR="00046137" w:rsidRPr="00A432B9" w:rsidRDefault="00046137" w:rsidP="00046137">
      <w:pPr>
        <w:ind w:left="709" w:hanging="709"/>
        <w:rPr>
          <w:rFonts w:cs="Times New Roman"/>
          <w:color w:val="EE0000"/>
          <w:lang w:val="en-US"/>
        </w:rPr>
      </w:pPr>
      <w:r w:rsidRPr="00A432B9">
        <w:rPr>
          <w:rFonts w:cs="Times New Roman"/>
          <w:lang w:val="en-US"/>
        </w:rPr>
        <w:t xml:space="preserve">Becker, B. E., </w:t>
      </w:r>
      <w:proofErr w:type="spellStart"/>
      <w:r w:rsidRPr="00A432B9">
        <w:rPr>
          <w:rFonts w:cs="Times New Roman"/>
          <w:lang w:val="en-US"/>
        </w:rPr>
        <w:t>Huselid</w:t>
      </w:r>
      <w:proofErr w:type="spellEnd"/>
      <w:r w:rsidRPr="00A432B9">
        <w:rPr>
          <w:rFonts w:cs="Times New Roman"/>
          <w:lang w:val="en-US"/>
        </w:rPr>
        <w:t xml:space="preserve">, M. A., &amp; Beatty, R. W. (2011). </w:t>
      </w:r>
      <w:r w:rsidRPr="00A432B9">
        <w:rPr>
          <w:rFonts w:cs="Times New Roman"/>
          <w:i/>
          <w:iCs/>
          <w:lang w:val="en-US"/>
        </w:rPr>
        <w:t>The differentiated workforce: Transforming talent into strategic impact</w:t>
      </w:r>
      <w:r w:rsidRPr="00A432B9">
        <w:rPr>
          <w:rFonts w:cs="Times New Roman"/>
          <w:lang w:val="en-US"/>
        </w:rPr>
        <w:t xml:space="preserve">. Harvard Business Press. </w:t>
      </w:r>
      <w:hyperlink r:id="rId20" w:history="1">
        <w:r w:rsidRPr="00A432B9">
          <w:rPr>
            <w:rStyle w:val="Hipervnculo"/>
            <w:rFonts w:cs="Times New Roman"/>
            <w:lang w:val="en-US"/>
          </w:rPr>
          <w:t>https://hbsp.harvard.edu/product/4460-HBK-ENG</w:t>
        </w:r>
      </w:hyperlink>
      <w:r w:rsidRPr="00A432B9">
        <w:rPr>
          <w:rFonts w:cs="Times New Roman"/>
          <w:color w:val="EE0000"/>
          <w:lang w:val="en-US"/>
        </w:rPr>
        <w:t xml:space="preserve"> </w:t>
      </w:r>
    </w:p>
    <w:p w14:paraId="6AE02E2D" w14:textId="77777777" w:rsidR="00046137" w:rsidRPr="00B9633D" w:rsidRDefault="00046137" w:rsidP="00046137">
      <w:pPr>
        <w:ind w:left="709" w:hanging="709"/>
        <w:rPr>
          <w:rFonts w:cs="Times New Roman"/>
        </w:rPr>
      </w:pPr>
      <w:r w:rsidRPr="00A432B9">
        <w:rPr>
          <w:rFonts w:cs="Times New Roman"/>
          <w:lang w:val="en-US"/>
        </w:rPr>
        <w:t xml:space="preserve">Calderón, G., Naranjo, A., &amp; </w:t>
      </w:r>
      <w:proofErr w:type="spellStart"/>
      <w:r w:rsidRPr="00A432B9">
        <w:rPr>
          <w:rFonts w:cs="Times New Roman"/>
          <w:lang w:val="en-US"/>
        </w:rPr>
        <w:t>Aguinis</w:t>
      </w:r>
      <w:proofErr w:type="spellEnd"/>
      <w:r w:rsidRPr="00A432B9">
        <w:rPr>
          <w:rFonts w:cs="Times New Roman"/>
          <w:lang w:val="en-US"/>
        </w:rPr>
        <w:t xml:space="preserve">, H. (2011). </w:t>
      </w:r>
      <w:r w:rsidRPr="00B9633D">
        <w:rPr>
          <w:rFonts w:cs="Times New Roman"/>
        </w:rPr>
        <w:t xml:space="preserve">La responsabilidad social empresarial y su impacto en la gestión del talento humano. </w:t>
      </w:r>
      <w:r w:rsidRPr="00B9633D">
        <w:rPr>
          <w:rFonts w:cs="Times New Roman"/>
          <w:i/>
          <w:iCs/>
        </w:rPr>
        <w:t>Revista de la Facultad de Ciencias Económicas de la Universidad Militar Nueva Granada</w:t>
      </w:r>
      <w:r w:rsidRPr="00B9633D">
        <w:rPr>
          <w:rFonts w:cs="Times New Roman"/>
        </w:rPr>
        <w:t xml:space="preserve">, </w:t>
      </w:r>
      <w:r w:rsidRPr="00B9633D">
        <w:rPr>
          <w:rFonts w:cs="Times New Roman"/>
          <w:i/>
          <w:iCs/>
        </w:rPr>
        <w:t>19</w:t>
      </w:r>
      <w:r w:rsidRPr="00B9633D">
        <w:rPr>
          <w:rFonts w:cs="Times New Roman"/>
        </w:rPr>
        <w:t xml:space="preserve">(1), 127–142. </w:t>
      </w:r>
      <w:hyperlink r:id="rId21" w:history="1">
        <w:r w:rsidRPr="00B9633D">
          <w:rPr>
            <w:rStyle w:val="Hipervnculo"/>
            <w:rFonts w:cs="Times New Roman"/>
          </w:rPr>
          <w:t>https://revistas.unimilitar.edu.co/index.php/rfce/article/view/1731</w:t>
        </w:r>
      </w:hyperlink>
      <w:r w:rsidRPr="00B9633D">
        <w:rPr>
          <w:rFonts w:cs="Times New Roman"/>
        </w:rPr>
        <w:t xml:space="preserve"> </w:t>
      </w:r>
    </w:p>
    <w:p w14:paraId="355855FB" w14:textId="77777777" w:rsidR="00046137" w:rsidRPr="00B9633D" w:rsidRDefault="00046137" w:rsidP="00046137">
      <w:pPr>
        <w:ind w:left="709" w:hanging="709"/>
        <w:rPr>
          <w:rFonts w:cs="Times New Roman"/>
        </w:rPr>
      </w:pPr>
      <w:r w:rsidRPr="00B9633D">
        <w:rPr>
          <w:rFonts w:cs="Times New Roman"/>
          <w:color w:val="222222"/>
          <w:shd w:val="clear" w:color="auto" w:fill="FFFFFF"/>
        </w:rPr>
        <w:t>Camacho, J. (2022). Gestión universitaria en contextos complejos y conflictivos desde la planificación transformadora por escenarios. </w:t>
      </w:r>
      <w:r w:rsidRPr="00B9633D">
        <w:rPr>
          <w:rFonts w:cs="Times New Roman"/>
          <w:i/>
          <w:iCs/>
          <w:color w:val="222222"/>
          <w:shd w:val="clear" w:color="auto" w:fill="FFFFFF"/>
        </w:rPr>
        <w:t>TESIS DOCTORALES</w:t>
      </w:r>
      <w:r w:rsidRPr="00B9633D">
        <w:rPr>
          <w:rFonts w:cs="Times New Roman"/>
          <w:color w:val="222222"/>
          <w:shd w:val="clear" w:color="auto" w:fill="FFFFFF"/>
        </w:rPr>
        <w:t xml:space="preserve">. </w:t>
      </w:r>
      <w:hyperlink r:id="rId22" w:history="1">
        <w:r w:rsidRPr="00B9633D">
          <w:rPr>
            <w:rStyle w:val="Hipervnculo"/>
            <w:rFonts w:cs="Times New Roman"/>
            <w:shd w:val="clear" w:color="auto" w:fill="FFFFFF"/>
          </w:rPr>
          <w:t>https://www.espacio.digital.upel.edu.ve/index.php/TD/article/view/902</w:t>
        </w:r>
      </w:hyperlink>
      <w:r w:rsidRPr="00B9633D">
        <w:rPr>
          <w:rFonts w:cs="Times New Roman"/>
          <w:color w:val="222222"/>
          <w:shd w:val="clear" w:color="auto" w:fill="FFFFFF"/>
        </w:rPr>
        <w:t xml:space="preserve"> </w:t>
      </w:r>
    </w:p>
    <w:p w14:paraId="18E74BBD" w14:textId="77777777" w:rsidR="00046137" w:rsidRPr="00B9633D" w:rsidRDefault="00046137" w:rsidP="00046137">
      <w:pPr>
        <w:ind w:left="709" w:hanging="709"/>
        <w:rPr>
          <w:rFonts w:cs="Times New Roman"/>
        </w:rPr>
      </w:pPr>
      <w:r w:rsidRPr="00B9633D">
        <w:rPr>
          <w:rFonts w:cs="Times New Roman"/>
        </w:rPr>
        <w:t xml:space="preserve">Chávez, M., Castro, J., &amp; Hernández, G. (2021). Desarrollo humano sostenible y su impacto en la gestión organizacional. </w:t>
      </w:r>
      <w:r w:rsidRPr="00B9633D">
        <w:rPr>
          <w:rFonts w:cs="Times New Roman"/>
          <w:i/>
          <w:iCs/>
        </w:rPr>
        <w:t>Revista de Ciencias Sociales</w:t>
      </w:r>
      <w:r w:rsidRPr="00B9633D">
        <w:rPr>
          <w:rFonts w:cs="Times New Roman"/>
        </w:rPr>
        <w:t xml:space="preserve">, </w:t>
      </w:r>
      <w:r w:rsidRPr="00B9633D">
        <w:rPr>
          <w:rFonts w:cs="Times New Roman"/>
          <w:i/>
          <w:iCs/>
        </w:rPr>
        <w:t>27</w:t>
      </w:r>
      <w:r w:rsidRPr="00B9633D">
        <w:rPr>
          <w:rFonts w:cs="Times New Roman"/>
        </w:rPr>
        <w:t xml:space="preserve">(1), 321–334. </w:t>
      </w:r>
      <w:hyperlink r:id="rId23" w:history="1">
        <w:r w:rsidRPr="00B9633D">
          <w:rPr>
            <w:rStyle w:val="Hipervnculo"/>
            <w:rFonts w:cs="Times New Roman"/>
          </w:rPr>
          <w:t>https://produccioncientificaluz.org/index.php/rcs/article/view/36071</w:t>
        </w:r>
      </w:hyperlink>
      <w:r w:rsidRPr="00B9633D">
        <w:rPr>
          <w:rFonts w:cs="Times New Roman"/>
        </w:rPr>
        <w:t xml:space="preserve"> </w:t>
      </w:r>
    </w:p>
    <w:p w14:paraId="7C51450F" w14:textId="77777777" w:rsidR="00046137" w:rsidRPr="00B9633D" w:rsidRDefault="00046137" w:rsidP="00046137">
      <w:pPr>
        <w:ind w:left="709" w:hanging="709"/>
        <w:rPr>
          <w:rFonts w:cs="Times New Roman"/>
        </w:rPr>
      </w:pPr>
      <w:proofErr w:type="spellStart"/>
      <w:r w:rsidRPr="00B9633D">
        <w:rPr>
          <w:rFonts w:cs="Times New Roman"/>
        </w:rPr>
        <w:lastRenderedPageBreak/>
        <w:t>Chumaceiro</w:t>
      </w:r>
      <w:proofErr w:type="spellEnd"/>
      <w:r w:rsidRPr="00B9633D">
        <w:rPr>
          <w:rFonts w:cs="Times New Roman"/>
        </w:rPr>
        <w:t xml:space="preserve">, A., &amp; Hernández, M. (2016). Responsabilidad social empresarial en América Latina: Una aproximación desde la ética y la gestión. </w:t>
      </w:r>
      <w:r w:rsidRPr="00B9633D">
        <w:rPr>
          <w:rFonts w:cs="Times New Roman"/>
          <w:i/>
          <w:iCs/>
        </w:rPr>
        <w:t>Revista de Ciencias Sociales</w:t>
      </w:r>
      <w:r w:rsidRPr="00B9633D">
        <w:rPr>
          <w:rFonts w:cs="Times New Roman"/>
        </w:rPr>
        <w:t xml:space="preserve">, </w:t>
      </w:r>
      <w:r w:rsidRPr="00B9633D">
        <w:rPr>
          <w:rFonts w:cs="Times New Roman"/>
          <w:i/>
          <w:iCs/>
        </w:rPr>
        <w:t>22</w:t>
      </w:r>
      <w:r w:rsidRPr="00B9633D">
        <w:rPr>
          <w:rFonts w:cs="Times New Roman"/>
        </w:rPr>
        <w:t xml:space="preserve">(1), 4–15. </w:t>
      </w:r>
      <w:hyperlink r:id="rId24" w:history="1">
        <w:r w:rsidRPr="00B9633D">
          <w:rPr>
            <w:rStyle w:val="Hipervnculo"/>
            <w:rFonts w:cs="Times New Roman"/>
          </w:rPr>
          <w:t>https://produccioncientificaluz.org/index.php/rcs/article/view/22085</w:t>
        </w:r>
      </w:hyperlink>
      <w:r w:rsidRPr="00B9633D">
        <w:rPr>
          <w:rFonts w:cs="Times New Roman"/>
        </w:rPr>
        <w:t xml:space="preserve"> </w:t>
      </w:r>
    </w:p>
    <w:p w14:paraId="54D34184" w14:textId="77777777" w:rsidR="00046137" w:rsidRPr="00A432B9" w:rsidRDefault="00046137" w:rsidP="00046137">
      <w:pPr>
        <w:ind w:left="709" w:hanging="709"/>
        <w:rPr>
          <w:rFonts w:cs="Times New Roman"/>
          <w:lang w:val="en-US"/>
        </w:rPr>
      </w:pPr>
      <w:r w:rsidRPr="00A432B9">
        <w:rPr>
          <w:rFonts w:cs="Times New Roman"/>
          <w:lang w:val="en-US"/>
        </w:rPr>
        <w:t xml:space="preserve">Creswell, J. W. (2013). </w:t>
      </w:r>
      <w:r w:rsidRPr="00A432B9">
        <w:rPr>
          <w:rFonts w:cs="Times New Roman"/>
          <w:i/>
          <w:iCs/>
          <w:lang w:val="en-US"/>
        </w:rPr>
        <w:t>Qualitative Inquiry &amp; Research Design: Choosing among five approaches</w:t>
      </w:r>
      <w:r w:rsidRPr="00A432B9">
        <w:rPr>
          <w:rFonts w:cs="Times New Roman"/>
          <w:lang w:val="en-US"/>
        </w:rPr>
        <w:t xml:space="preserve"> (3.ª ed.). SAGE Publications. </w:t>
      </w:r>
      <w:hyperlink r:id="rId25" w:history="1">
        <w:r w:rsidRPr="00A432B9">
          <w:rPr>
            <w:rStyle w:val="Hipervnculo"/>
            <w:rFonts w:cs="Times New Roman"/>
            <w:lang w:val="en-US"/>
          </w:rPr>
          <w:t>https://us.sagepub.com/en-us/nam/qualitative-inquiry-and-research-design/book235677</w:t>
        </w:r>
      </w:hyperlink>
      <w:r w:rsidRPr="00A432B9">
        <w:rPr>
          <w:rFonts w:cs="Times New Roman"/>
          <w:lang w:val="en-US"/>
        </w:rPr>
        <w:t xml:space="preserve"> </w:t>
      </w:r>
    </w:p>
    <w:p w14:paraId="4785428A" w14:textId="77777777" w:rsidR="00046137" w:rsidRPr="00B9633D" w:rsidRDefault="00046137" w:rsidP="00046137">
      <w:pPr>
        <w:ind w:left="709" w:hanging="709"/>
        <w:rPr>
          <w:rFonts w:cs="Times New Roman"/>
        </w:rPr>
      </w:pPr>
      <w:r w:rsidRPr="00B9633D">
        <w:rPr>
          <w:rFonts w:cs="Times New Roman"/>
        </w:rPr>
        <w:t xml:space="preserve">Dávila, M. (2021). </w:t>
      </w:r>
      <w:r w:rsidRPr="00B9633D">
        <w:rPr>
          <w:rFonts w:cs="Times New Roman"/>
          <w:i/>
          <w:iCs/>
        </w:rPr>
        <w:t>Desarrollo humano y sostenibilidad en las organizaciones contemporáneas</w:t>
      </w:r>
      <w:r w:rsidRPr="00B9633D">
        <w:rPr>
          <w:rFonts w:cs="Times New Roman"/>
        </w:rPr>
        <w:t xml:space="preserve">. Editorial Académica Española. </w:t>
      </w:r>
      <w:hyperlink r:id="rId26" w:history="1">
        <w:r w:rsidRPr="00B9633D">
          <w:rPr>
            <w:rStyle w:val="Hipervnculo"/>
            <w:rFonts w:cs="Times New Roman"/>
          </w:rPr>
          <w:t>https://www.morebooks.shop/store/us/book/desarrollo-humano-y-sostenibilidad-en-las-organizaciones-contemporáneas/isbn/9786203848208</w:t>
        </w:r>
      </w:hyperlink>
      <w:r w:rsidRPr="00B9633D">
        <w:rPr>
          <w:rFonts w:cs="Times New Roman"/>
        </w:rPr>
        <w:t xml:space="preserve"> </w:t>
      </w:r>
    </w:p>
    <w:p w14:paraId="5E567CF3" w14:textId="77777777" w:rsidR="00046137" w:rsidRPr="00A432B9" w:rsidRDefault="00046137" w:rsidP="00046137">
      <w:pPr>
        <w:ind w:left="709" w:hanging="709"/>
        <w:rPr>
          <w:rFonts w:cs="Times New Roman"/>
          <w:lang w:val="en-US"/>
        </w:rPr>
      </w:pPr>
      <w:r w:rsidRPr="00A432B9">
        <w:rPr>
          <w:rFonts w:cs="Times New Roman"/>
          <w:lang w:val="en-US"/>
        </w:rPr>
        <w:t xml:space="preserve">Delery, J. E., &amp; </w:t>
      </w:r>
      <w:proofErr w:type="spellStart"/>
      <w:r w:rsidRPr="00A432B9">
        <w:rPr>
          <w:rFonts w:cs="Times New Roman"/>
          <w:lang w:val="en-US"/>
        </w:rPr>
        <w:t>Roumpi</w:t>
      </w:r>
      <w:proofErr w:type="spellEnd"/>
      <w:r w:rsidRPr="00A432B9">
        <w:rPr>
          <w:rFonts w:cs="Times New Roman"/>
          <w:lang w:val="en-US"/>
        </w:rPr>
        <w:t xml:space="preserve">, D. (2017). Strategic human resource management, human capital and competitive advantage: Is the field going in circles? </w:t>
      </w:r>
      <w:r w:rsidRPr="00A432B9">
        <w:rPr>
          <w:rFonts w:cs="Times New Roman"/>
          <w:i/>
          <w:iCs/>
          <w:lang w:val="en-US"/>
        </w:rPr>
        <w:t>Academy of Management Annals, 11</w:t>
      </w:r>
      <w:r w:rsidRPr="00A432B9">
        <w:rPr>
          <w:rFonts w:cs="Times New Roman"/>
          <w:lang w:val="en-US"/>
        </w:rPr>
        <w:t xml:space="preserve">(2), 511–559. </w:t>
      </w:r>
      <w:hyperlink r:id="rId27" w:history="1">
        <w:r w:rsidRPr="00A432B9">
          <w:rPr>
            <w:rStyle w:val="Hipervnculo"/>
            <w:rFonts w:cs="Times New Roman"/>
            <w:lang w:val="en-US"/>
          </w:rPr>
          <w:t>https://onlinelibrary.wiley.com/doi/10.1111/1748-8583.12137?medium=article&amp;utm_source=researchgate.net</w:t>
        </w:r>
      </w:hyperlink>
      <w:r w:rsidRPr="00A432B9">
        <w:rPr>
          <w:rFonts w:cs="Times New Roman"/>
          <w:lang w:val="en-US"/>
        </w:rPr>
        <w:t xml:space="preserve"> </w:t>
      </w:r>
    </w:p>
    <w:p w14:paraId="370467CB" w14:textId="77777777" w:rsidR="00046137" w:rsidRPr="00A432B9" w:rsidRDefault="00046137" w:rsidP="00046137">
      <w:pPr>
        <w:ind w:left="709" w:hanging="709"/>
        <w:rPr>
          <w:rFonts w:cs="Times New Roman"/>
          <w:lang w:val="en-US"/>
        </w:rPr>
      </w:pPr>
      <w:r w:rsidRPr="00A432B9">
        <w:rPr>
          <w:rFonts w:cs="Times New Roman"/>
          <w:lang w:val="en-US"/>
        </w:rPr>
        <w:t xml:space="preserve">Dempsey, N., Bramley, G., Power, S., &amp; Brown, C. (2011). The social dimension of sustainable development: Defining urban social sustainability. </w:t>
      </w:r>
      <w:r w:rsidRPr="00A432B9">
        <w:rPr>
          <w:rFonts w:cs="Times New Roman"/>
          <w:i/>
          <w:iCs/>
          <w:lang w:val="en-US"/>
        </w:rPr>
        <w:t>Sustainable Development</w:t>
      </w:r>
      <w:r w:rsidRPr="00A432B9">
        <w:rPr>
          <w:rFonts w:cs="Times New Roman"/>
          <w:lang w:val="en-US"/>
        </w:rPr>
        <w:t xml:space="preserve">, </w:t>
      </w:r>
      <w:r w:rsidRPr="00A432B9">
        <w:rPr>
          <w:rFonts w:cs="Times New Roman"/>
          <w:i/>
          <w:iCs/>
          <w:lang w:val="en-US"/>
        </w:rPr>
        <w:t>19</w:t>
      </w:r>
      <w:r w:rsidRPr="00A432B9">
        <w:rPr>
          <w:rFonts w:cs="Times New Roman"/>
          <w:lang w:val="en-US"/>
        </w:rPr>
        <w:t>(5), 289–300. https://doi.org/10.1002/sd.417</w:t>
      </w:r>
    </w:p>
    <w:p w14:paraId="3F0EB7B4" w14:textId="77777777" w:rsidR="00046137" w:rsidRPr="00A432B9" w:rsidRDefault="00046137" w:rsidP="00046137">
      <w:pPr>
        <w:ind w:left="709" w:hanging="709"/>
        <w:rPr>
          <w:rFonts w:cs="Times New Roman"/>
          <w:lang w:val="en-US"/>
        </w:rPr>
      </w:pPr>
      <w:r w:rsidRPr="00A432B9">
        <w:rPr>
          <w:rFonts w:cs="Times New Roman"/>
          <w:lang w:val="en-US"/>
        </w:rPr>
        <w:t xml:space="preserve">Denzin, N. K., &amp; Lincoln, Y. S. (2018). </w:t>
      </w:r>
      <w:r w:rsidRPr="00A432B9">
        <w:rPr>
          <w:rFonts w:cs="Times New Roman"/>
          <w:i/>
          <w:iCs/>
          <w:lang w:val="en-US"/>
        </w:rPr>
        <w:t>The SAGE handbook of qualitative research</w:t>
      </w:r>
      <w:r w:rsidRPr="00A432B9">
        <w:rPr>
          <w:rFonts w:cs="Times New Roman"/>
          <w:lang w:val="en-US"/>
        </w:rPr>
        <w:t xml:space="preserve"> (5th ed.). SAGE Publications. </w:t>
      </w:r>
      <w:hyperlink r:id="rId28" w:history="1">
        <w:r w:rsidRPr="00A432B9">
          <w:rPr>
            <w:rStyle w:val="Hipervnculo"/>
            <w:rFonts w:cs="Times New Roman"/>
            <w:lang w:val="en-US"/>
          </w:rPr>
          <w:t>https://us.sagepub.com/en-us/nam/the-sage-handbook-of-qualitative-research/book249046</w:t>
        </w:r>
      </w:hyperlink>
      <w:r w:rsidRPr="00A432B9">
        <w:rPr>
          <w:rFonts w:cs="Times New Roman"/>
          <w:lang w:val="en-US"/>
        </w:rPr>
        <w:t xml:space="preserve"> </w:t>
      </w:r>
    </w:p>
    <w:p w14:paraId="32AA4FE1" w14:textId="77777777" w:rsidR="00046137" w:rsidRPr="00A432B9" w:rsidRDefault="00046137" w:rsidP="00046137">
      <w:pPr>
        <w:ind w:left="709" w:hanging="709"/>
        <w:rPr>
          <w:rFonts w:cs="Times New Roman"/>
          <w:lang w:val="en-US"/>
        </w:rPr>
      </w:pPr>
      <w:r w:rsidRPr="00B9633D">
        <w:rPr>
          <w:rFonts w:cs="Times New Roman"/>
        </w:rPr>
        <w:t xml:space="preserve">Departamento Nacional de Planeación (DNP). (2023). </w:t>
      </w:r>
      <w:r w:rsidRPr="00B9633D">
        <w:rPr>
          <w:rFonts w:cs="Times New Roman"/>
          <w:i/>
          <w:iCs/>
        </w:rPr>
        <w:t>Informe sobre desarrollo territorial y conectividad en Colombia</w:t>
      </w:r>
      <w:r w:rsidRPr="00B9633D">
        <w:rPr>
          <w:rFonts w:cs="Times New Roman"/>
        </w:rPr>
        <w:t xml:space="preserve">. </w:t>
      </w:r>
      <w:hyperlink r:id="rId29" w:tgtFrame="_blank" w:history="1">
        <w:r w:rsidRPr="00A432B9">
          <w:rPr>
            <w:rStyle w:val="Hipervnculo"/>
            <w:rFonts w:cs="Times New Roman"/>
            <w:lang w:val="en-US"/>
          </w:rPr>
          <w:t>https://www.dnp.gov.co</w:t>
        </w:r>
      </w:hyperlink>
      <w:r w:rsidRPr="00A432B9">
        <w:rPr>
          <w:rFonts w:cs="Times New Roman"/>
          <w:lang w:val="en-US"/>
        </w:rPr>
        <w:t xml:space="preserve">  </w:t>
      </w:r>
    </w:p>
    <w:p w14:paraId="4AC73C43" w14:textId="77777777" w:rsidR="00046137" w:rsidRPr="00A432B9" w:rsidRDefault="00046137" w:rsidP="00046137">
      <w:pPr>
        <w:ind w:left="709" w:hanging="709"/>
        <w:rPr>
          <w:rFonts w:cs="Times New Roman"/>
          <w:lang w:val="en-US"/>
        </w:rPr>
      </w:pPr>
      <w:r w:rsidRPr="00A432B9">
        <w:rPr>
          <w:rFonts w:cs="Times New Roman"/>
          <w:lang w:val="en-US"/>
        </w:rPr>
        <w:t xml:space="preserve">Elkington, J. (1997). </w:t>
      </w:r>
      <w:r w:rsidRPr="00A432B9">
        <w:rPr>
          <w:rFonts w:cs="Times New Roman"/>
          <w:i/>
          <w:iCs/>
          <w:lang w:val="en-US"/>
        </w:rPr>
        <w:t>Cannibals with forks: The triple bottom line of 21st century business</w:t>
      </w:r>
      <w:r w:rsidRPr="00A432B9">
        <w:rPr>
          <w:rFonts w:cs="Times New Roman"/>
          <w:lang w:val="en-US"/>
        </w:rPr>
        <w:t xml:space="preserve">. New Society Publishers. </w:t>
      </w:r>
      <w:hyperlink r:id="rId30" w:history="1">
        <w:r w:rsidRPr="00A432B9">
          <w:rPr>
            <w:rStyle w:val="Hipervnculo"/>
            <w:rFonts w:cs="Times New Roman"/>
            <w:lang w:val="en-US"/>
          </w:rPr>
          <w:t>https://newsociety.com/products/cannibals-with-forks</w:t>
        </w:r>
      </w:hyperlink>
      <w:r w:rsidRPr="00A432B9">
        <w:rPr>
          <w:rFonts w:cs="Times New Roman"/>
          <w:lang w:val="en-US"/>
        </w:rPr>
        <w:t xml:space="preserve"> </w:t>
      </w:r>
    </w:p>
    <w:p w14:paraId="585FA1CB" w14:textId="77777777" w:rsidR="00046137" w:rsidRPr="00A432B9" w:rsidRDefault="00046137" w:rsidP="00046137">
      <w:pPr>
        <w:ind w:left="709" w:hanging="709"/>
        <w:rPr>
          <w:rFonts w:cs="Times New Roman"/>
          <w:lang w:val="en-US"/>
        </w:rPr>
      </w:pPr>
      <w:r w:rsidRPr="00A432B9">
        <w:rPr>
          <w:rFonts w:cs="Times New Roman"/>
          <w:lang w:val="en-US"/>
        </w:rPr>
        <w:t xml:space="preserve">Elkington, J. (2006). The </w:t>
      </w:r>
      <w:proofErr w:type="spellStart"/>
      <w:r w:rsidRPr="00A432B9">
        <w:rPr>
          <w:rFonts w:cs="Times New Roman"/>
          <w:lang w:val="en-US"/>
        </w:rPr>
        <w:t>Zicklin</w:t>
      </w:r>
      <w:proofErr w:type="spellEnd"/>
      <w:r w:rsidRPr="00A432B9">
        <w:rPr>
          <w:rFonts w:cs="Times New Roman"/>
          <w:lang w:val="en-US"/>
        </w:rPr>
        <w:t xml:space="preserve"> Report: Triple bottom line, corporate social responsibility and corporate citizenship: An integrated conceptual framework. </w:t>
      </w:r>
      <w:r w:rsidRPr="00A432B9">
        <w:rPr>
          <w:rFonts w:cs="Times New Roman"/>
          <w:i/>
          <w:iCs/>
          <w:lang w:val="en-US"/>
        </w:rPr>
        <w:t xml:space="preserve">The </w:t>
      </w:r>
      <w:proofErr w:type="spellStart"/>
      <w:r w:rsidRPr="00A432B9">
        <w:rPr>
          <w:rFonts w:cs="Times New Roman"/>
          <w:i/>
          <w:iCs/>
          <w:lang w:val="en-US"/>
        </w:rPr>
        <w:t>Zicklin</w:t>
      </w:r>
      <w:proofErr w:type="spellEnd"/>
      <w:r w:rsidRPr="00A432B9">
        <w:rPr>
          <w:rFonts w:cs="Times New Roman"/>
          <w:i/>
          <w:iCs/>
          <w:lang w:val="en-US"/>
        </w:rPr>
        <w:t xml:space="preserve"> Center for Business Ethics Research</w:t>
      </w:r>
      <w:r w:rsidRPr="00A432B9">
        <w:rPr>
          <w:rFonts w:cs="Times New Roman"/>
          <w:lang w:val="en-US"/>
        </w:rPr>
        <w:t xml:space="preserve">. </w:t>
      </w:r>
      <w:hyperlink r:id="rId31" w:history="1">
        <w:r w:rsidRPr="00A432B9">
          <w:rPr>
            <w:rStyle w:val="Hipervnculo"/>
            <w:rFonts w:cs="Times New Roman"/>
            <w:lang w:val="en-US"/>
          </w:rPr>
          <w:t>https://zicklin.baruch.cuny.edu</w:t>
        </w:r>
      </w:hyperlink>
      <w:r w:rsidRPr="00A432B9">
        <w:rPr>
          <w:rFonts w:cs="Times New Roman"/>
          <w:lang w:val="en-US"/>
        </w:rPr>
        <w:t xml:space="preserve"> </w:t>
      </w:r>
    </w:p>
    <w:p w14:paraId="67CEBF36" w14:textId="77777777" w:rsidR="00046137" w:rsidRPr="00B9633D" w:rsidRDefault="00046137" w:rsidP="00046137">
      <w:pPr>
        <w:ind w:left="709" w:hanging="709"/>
        <w:rPr>
          <w:rFonts w:cs="Times New Roman"/>
        </w:rPr>
      </w:pPr>
      <w:r w:rsidRPr="00A432B9">
        <w:rPr>
          <w:rFonts w:cs="Times New Roman"/>
          <w:lang w:val="en-US"/>
        </w:rPr>
        <w:t xml:space="preserve">Epstein, M. J., &amp; </w:t>
      </w:r>
      <w:proofErr w:type="spellStart"/>
      <w:r w:rsidRPr="00A432B9">
        <w:rPr>
          <w:rFonts w:cs="Times New Roman"/>
          <w:lang w:val="en-US"/>
        </w:rPr>
        <w:t>Buhovac</w:t>
      </w:r>
      <w:proofErr w:type="spellEnd"/>
      <w:r w:rsidRPr="00A432B9">
        <w:rPr>
          <w:rFonts w:cs="Times New Roman"/>
          <w:lang w:val="en-US"/>
        </w:rPr>
        <w:t xml:space="preserve">, A. R. (2014). </w:t>
      </w:r>
      <w:r w:rsidRPr="00A432B9">
        <w:rPr>
          <w:rFonts w:cs="Times New Roman"/>
          <w:i/>
          <w:iCs/>
          <w:lang w:val="en-US"/>
        </w:rPr>
        <w:t>Making sustainability work: Best practices in managing and measuring corporate social, environmental, and economic impacts</w:t>
      </w:r>
      <w:r w:rsidRPr="00A432B9">
        <w:rPr>
          <w:rFonts w:cs="Times New Roman"/>
          <w:lang w:val="en-US"/>
        </w:rPr>
        <w:t xml:space="preserve">. </w:t>
      </w:r>
      <w:r w:rsidRPr="00B9633D">
        <w:rPr>
          <w:rFonts w:cs="Times New Roman"/>
        </w:rPr>
        <w:t xml:space="preserve">Berrett-Koehler </w:t>
      </w:r>
      <w:proofErr w:type="spellStart"/>
      <w:r w:rsidRPr="00B9633D">
        <w:rPr>
          <w:rFonts w:cs="Times New Roman"/>
        </w:rPr>
        <w:t>Publishers</w:t>
      </w:r>
      <w:proofErr w:type="spellEnd"/>
      <w:r w:rsidRPr="00B9633D">
        <w:rPr>
          <w:rFonts w:cs="Times New Roman"/>
        </w:rPr>
        <w:t xml:space="preserve">. </w:t>
      </w:r>
      <w:hyperlink r:id="rId32" w:history="1">
        <w:r w:rsidRPr="00B9633D">
          <w:rPr>
            <w:rStyle w:val="Hipervnculo"/>
            <w:rFonts w:cs="Times New Roman"/>
          </w:rPr>
          <w:t>https://doi.org/10.4324/9781351280120</w:t>
        </w:r>
      </w:hyperlink>
      <w:r w:rsidRPr="00B9633D">
        <w:rPr>
          <w:rFonts w:cs="Times New Roman"/>
        </w:rPr>
        <w:t xml:space="preserve"> </w:t>
      </w:r>
    </w:p>
    <w:p w14:paraId="018A6BFD" w14:textId="77777777" w:rsidR="00046137" w:rsidRPr="00B9633D" w:rsidRDefault="00046137" w:rsidP="00046137">
      <w:pPr>
        <w:ind w:left="709" w:hanging="709"/>
        <w:rPr>
          <w:rFonts w:cs="Times New Roman"/>
          <w:color w:val="EE0000"/>
        </w:rPr>
      </w:pPr>
      <w:r w:rsidRPr="00B9633D">
        <w:rPr>
          <w:rFonts w:cs="Times New Roman"/>
        </w:rPr>
        <w:lastRenderedPageBreak/>
        <w:t xml:space="preserve">Escobar, A. (2015). </w:t>
      </w:r>
      <w:proofErr w:type="spellStart"/>
      <w:r w:rsidRPr="00B9633D">
        <w:rPr>
          <w:rFonts w:cs="Times New Roman"/>
          <w:i/>
          <w:iCs/>
        </w:rPr>
        <w:t>Sentipensar</w:t>
      </w:r>
      <w:proofErr w:type="spellEnd"/>
      <w:r w:rsidRPr="00B9633D">
        <w:rPr>
          <w:rFonts w:cs="Times New Roman"/>
          <w:i/>
          <w:iCs/>
        </w:rPr>
        <w:t xml:space="preserve"> con la Tierra: Nuevas lecturas sobre desarrollo, territorio y diferencia</w:t>
      </w:r>
      <w:r w:rsidRPr="00B9633D">
        <w:rPr>
          <w:rFonts w:cs="Times New Roman"/>
        </w:rPr>
        <w:t xml:space="preserve">. Ediciones </w:t>
      </w:r>
      <w:proofErr w:type="spellStart"/>
      <w:r w:rsidRPr="00B9633D">
        <w:rPr>
          <w:rFonts w:cs="Times New Roman"/>
        </w:rPr>
        <w:t>Unaula</w:t>
      </w:r>
      <w:proofErr w:type="spellEnd"/>
      <w:r w:rsidRPr="00B9633D">
        <w:rPr>
          <w:rFonts w:cs="Times New Roman"/>
          <w:color w:val="EE0000"/>
        </w:rPr>
        <w:t xml:space="preserve">. </w:t>
      </w:r>
      <w:hyperlink r:id="rId33" w:history="1">
        <w:r w:rsidRPr="00B9633D">
          <w:rPr>
            <w:rStyle w:val="Hipervnculo"/>
            <w:rFonts w:cs="Times New Roman"/>
          </w:rPr>
          <w:t>https://unaula.edu.co/editorial/colecciones/sentipensar-con-la-tierra</w:t>
        </w:r>
      </w:hyperlink>
      <w:r w:rsidRPr="00B9633D">
        <w:rPr>
          <w:rFonts w:cs="Times New Roman"/>
          <w:color w:val="EE0000"/>
        </w:rPr>
        <w:t xml:space="preserve"> </w:t>
      </w:r>
    </w:p>
    <w:p w14:paraId="365D7591" w14:textId="77777777" w:rsidR="00046137" w:rsidRPr="00B9633D" w:rsidRDefault="00046137" w:rsidP="00046137">
      <w:pPr>
        <w:ind w:left="709" w:hanging="709"/>
        <w:rPr>
          <w:rFonts w:cs="Times New Roman"/>
        </w:rPr>
      </w:pPr>
      <w:r w:rsidRPr="00A432B9">
        <w:rPr>
          <w:rFonts w:cs="Times New Roman"/>
          <w:lang w:val="en-US"/>
        </w:rPr>
        <w:t xml:space="preserve">Galletta, A. (2013). </w:t>
      </w:r>
      <w:r w:rsidRPr="00A432B9">
        <w:rPr>
          <w:rFonts w:cs="Times New Roman"/>
          <w:i/>
          <w:iCs/>
          <w:lang w:val="en-US"/>
        </w:rPr>
        <w:t>Mastering the semi-structured interview and beyond: From research design to analysis and publication</w:t>
      </w:r>
      <w:r w:rsidRPr="00A432B9">
        <w:rPr>
          <w:rFonts w:cs="Times New Roman"/>
          <w:lang w:val="en-US"/>
        </w:rPr>
        <w:t xml:space="preserve">. </w:t>
      </w:r>
      <w:r w:rsidRPr="00B9633D">
        <w:rPr>
          <w:rFonts w:cs="Times New Roman"/>
        </w:rPr>
        <w:t xml:space="preserve">NYU Press. </w:t>
      </w:r>
      <w:hyperlink r:id="rId34" w:tgtFrame="_blank" w:history="1">
        <w:r w:rsidRPr="00B9633D">
          <w:rPr>
            <w:rStyle w:val="Hipervnculo"/>
            <w:rFonts w:cs="Times New Roman"/>
          </w:rPr>
          <w:t>https://doi.org/10.18574/nyu/9780814732939.001.0001</w:t>
        </w:r>
      </w:hyperlink>
    </w:p>
    <w:p w14:paraId="3A741F68" w14:textId="77777777" w:rsidR="00046137" w:rsidRPr="00A432B9" w:rsidRDefault="00046137" w:rsidP="00046137">
      <w:pPr>
        <w:ind w:left="709" w:hanging="709"/>
        <w:rPr>
          <w:rFonts w:cs="Times New Roman"/>
          <w:color w:val="EE0000"/>
          <w:lang w:val="en-US"/>
        </w:rPr>
      </w:pPr>
      <w:r w:rsidRPr="00B9633D">
        <w:rPr>
          <w:rFonts w:cs="Times New Roman"/>
        </w:rPr>
        <w:t xml:space="preserve"> </w:t>
      </w:r>
      <w:proofErr w:type="spellStart"/>
      <w:r w:rsidRPr="00B9633D">
        <w:rPr>
          <w:rFonts w:cs="Times New Roman"/>
        </w:rPr>
        <w:t>Garavan</w:t>
      </w:r>
      <w:proofErr w:type="spellEnd"/>
      <w:r w:rsidRPr="00B9633D">
        <w:rPr>
          <w:rFonts w:cs="Times New Roman"/>
        </w:rPr>
        <w:t xml:space="preserve">, T. N., Heraty, N., &amp; O’Brien, F. (1995). </w:t>
      </w:r>
      <w:r w:rsidRPr="00A432B9">
        <w:rPr>
          <w:rFonts w:cs="Times New Roman"/>
          <w:lang w:val="en-US"/>
        </w:rPr>
        <w:t xml:space="preserve">The strategic role of human resource development in the contemporary organization. </w:t>
      </w:r>
      <w:r w:rsidRPr="00A432B9">
        <w:rPr>
          <w:rFonts w:cs="Times New Roman"/>
          <w:i/>
          <w:iCs/>
          <w:lang w:val="en-US"/>
        </w:rPr>
        <w:t>Journal of European Industrial Training</w:t>
      </w:r>
      <w:r w:rsidRPr="00A432B9">
        <w:rPr>
          <w:rFonts w:cs="Times New Roman"/>
          <w:lang w:val="en-US"/>
        </w:rPr>
        <w:t xml:space="preserve">, </w:t>
      </w:r>
      <w:r w:rsidRPr="00A432B9">
        <w:rPr>
          <w:rFonts w:cs="Times New Roman"/>
          <w:i/>
          <w:iCs/>
          <w:lang w:val="en-US"/>
        </w:rPr>
        <w:t>19</w:t>
      </w:r>
      <w:r w:rsidRPr="00A432B9">
        <w:rPr>
          <w:rFonts w:cs="Times New Roman"/>
          <w:lang w:val="en-US"/>
        </w:rPr>
        <w:t xml:space="preserve">(10), 4-10. </w:t>
      </w:r>
      <w:hyperlink r:id="rId35" w:history="1">
        <w:r w:rsidRPr="00A432B9">
          <w:rPr>
            <w:rStyle w:val="Hipervnculo"/>
            <w:rFonts w:cs="Times New Roman"/>
            <w:lang w:val="en-US"/>
          </w:rPr>
          <w:t>https://doi.org/10.1108/03090599510095816</w:t>
        </w:r>
      </w:hyperlink>
      <w:r w:rsidRPr="00A432B9">
        <w:rPr>
          <w:rFonts w:cs="Times New Roman"/>
          <w:lang w:val="en-US"/>
        </w:rPr>
        <w:t xml:space="preserve"> </w:t>
      </w:r>
    </w:p>
    <w:p w14:paraId="13E5B505" w14:textId="77777777" w:rsidR="00046137" w:rsidRPr="00A432B9" w:rsidRDefault="00046137" w:rsidP="00046137">
      <w:pPr>
        <w:ind w:left="709" w:hanging="709"/>
        <w:rPr>
          <w:rFonts w:cs="Times New Roman"/>
          <w:color w:val="EE0000"/>
          <w:lang w:val="en-US"/>
        </w:rPr>
      </w:pPr>
      <w:proofErr w:type="spellStart"/>
      <w:r w:rsidRPr="00A432B9">
        <w:rPr>
          <w:rFonts w:cs="Times New Roman"/>
          <w:lang w:val="en-US"/>
        </w:rPr>
        <w:t>Garavan</w:t>
      </w:r>
      <w:proofErr w:type="spellEnd"/>
      <w:r w:rsidRPr="00A432B9">
        <w:rPr>
          <w:rFonts w:cs="Times New Roman"/>
          <w:lang w:val="en-US"/>
        </w:rPr>
        <w:t xml:space="preserve">, T. N., &amp; McGuire, D. (2010). Human resource development and society: Human resource development’s role in embedding corporate social responsibility, sustainability, and ethics in organizations. </w:t>
      </w:r>
      <w:r w:rsidRPr="00A432B9">
        <w:rPr>
          <w:rFonts w:cs="Times New Roman"/>
          <w:i/>
          <w:iCs/>
          <w:lang w:val="en-US"/>
        </w:rPr>
        <w:t>Advances in Developing Human Resources, 12</w:t>
      </w:r>
      <w:r w:rsidRPr="00A432B9">
        <w:rPr>
          <w:rFonts w:cs="Times New Roman"/>
          <w:lang w:val="en-US"/>
        </w:rPr>
        <w:t xml:space="preserve">(5), 487–507. </w:t>
      </w:r>
      <w:hyperlink r:id="rId36" w:history="1">
        <w:r w:rsidRPr="00A432B9">
          <w:rPr>
            <w:rStyle w:val="Hipervnculo"/>
            <w:rFonts w:cs="Times New Roman"/>
            <w:lang w:val="en-US"/>
          </w:rPr>
          <w:t>https://doi.org/10.1177/1523422310394757</w:t>
        </w:r>
      </w:hyperlink>
      <w:r w:rsidRPr="00A432B9">
        <w:rPr>
          <w:rFonts w:cs="Times New Roman"/>
          <w:color w:val="EE0000"/>
          <w:lang w:val="en-US"/>
        </w:rPr>
        <w:t xml:space="preserve">   </w:t>
      </w:r>
    </w:p>
    <w:p w14:paraId="6E5E4B4B" w14:textId="77777777" w:rsidR="00046137" w:rsidRPr="00A432B9" w:rsidRDefault="00046137" w:rsidP="00046137">
      <w:pPr>
        <w:ind w:left="709" w:hanging="709"/>
        <w:rPr>
          <w:rFonts w:cs="Times New Roman"/>
          <w:lang w:val="en-US"/>
        </w:rPr>
      </w:pPr>
      <w:proofErr w:type="spellStart"/>
      <w:r w:rsidRPr="00A432B9">
        <w:rPr>
          <w:rFonts w:cs="Times New Roman"/>
          <w:lang w:val="en-US"/>
        </w:rPr>
        <w:t>Garavan</w:t>
      </w:r>
      <w:proofErr w:type="spellEnd"/>
      <w:r w:rsidRPr="00A432B9">
        <w:rPr>
          <w:rFonts w:cs="Times New Roman"/>
          <w:lang w:val="en-US"/>
        </w:rPr>
        <w:t xml:space="preserve">, T. N., McCarthy, A., &amp; Carbery, R. (2019). An ecosystems perspective on international human resource development: A meta-synthesis of the literature. </w:t>
      </w:r>
      <w:r w:rsidRPr="00A432B9">
        <w:rPr>
          <w:rFonts w:cs="Times New Roman"/>
          <w:i/>
          <w:iCs/>
          <w:lang w:val="en-US"/>
        </w:rPr>
        <w:t>Human Resource Development Review, 18</w:t>
      </w:r>
      <w:r w:rsidRPr="00A432B9">
        <w:rPr>
          <w:rFonts w:cs="Times New Roman"/>
          <w:lang w:val="en-US"/>
        </w:rPr>
        <w:t xml:space="preserve">(2), 248–288. </w:t>
      </w:r>
      <w:hyperlink r:id="rId37" w:history="1">
        <w:r w:rsidRPr="00A432B9">
          <w:rPr>
            <w:rStyle w:val="Hipervnculo"/>
            <w:rFonts w:cs="Times New Roman"/>
            <w:lang w:val="en-US"/>
          </w:rPr>
          <w:t>https://doi.org/10.1177/1534484319828865</w:t>
        </w:r>
      </w:hyperlink>
      <w:r w:rsidRPr="00A432B9">
        <w:rPr>
          <w:rFonts w:cs="Times New Roman"/>
          <w:lang w:val="en-US"/>
        </w:rPr>
        <w:t xml:space="preserve">  </w:t>
      </w:r>
    </w:p>
    <w:p w14:paraId="327B6B37" w14:textId="77777777" w:rsidR="00046137" w:rsidRPr="00A432B9" w:rsidRDefault="00046137" w:rsidP="00046137">
      <w:pPr>
        <w:ind w:left="709" w:hanging="709"/>
        <w:rPr>
          <w:rFonts w:cs="Times New Roman"/>
          <w:color w:val="EE0000"/>
          <w:lang w:val="en-US"/>
        </w:rPr>
      </w:pPr>
      <w:r w:rsidRPr="00A432B9">
        <w:rPr>
          <w:rFonts w:cs="Times New Roman"/>
          <w:lang w:val="en-US"/>
        </w:rPr>
        <w:t xml:space="preserve">Grant, R. M. (1996). Toward a knowledge-based theory of the firm. </w:t>
      </w:r>
      <w:r w:rsidRPr="00A432B9">
        <w:rPr>
          <w:rFonts w:cs="Times New Roman"/>
          <w:i/>
          <w:iCs/>
          <w:lang w:val="en-US"/>
        </w:rPr>
        <w:t>Strategic Management Journal, 17</w:t>
      </w:r>
      <w:r w:rsidRPr="00A432B9">
        <w:rPr>
          <w:rFonts w:cs="Times New Roman"/>
          <w:lang w:val="en-US"/>
        </w:rPr>
        <w:t xml:space="preserve">(S2), 109–122. </w:t>
      </w:r>
      <w:hyperlink r:id="rId38" w:tgtFrame="_new" w:history="1">
        <w:r w:rsidRPr="00A432B9">
          <w:rPr>
            <w:rStyle w:val="Hipervnculo"/>
            <w:rFonts w:cs="Times New Roman"/>
            <w:lang w:val="en-US"/>
          </w:rPr>
          <w:t>https://doi.org/10.1002/smj.4250171110</w:t>
        </w:r>
      </w:hyperlink>
      <w:r w:rsidRPr="00A432B9">
        <w:rPr>
          <w:rFonts w:cs="Times New Roman"/>
          <w:color w:val="EE0000"/>
          <w:lang w:val="en-US"/>
        </w:rPr>
        <w:t xml:space="preserve"> </w:t>
      </w:r>
    </w:p>
    <w:p w14:paraId="43CCF745" w14:textId="77777777" w:rsidR="00046137" w:rsidRPr="00B9633D" w:rsidRDefault="00046137" w:rsidP="00046137">
      <w:pPr>
        <w:ind w:left="709" w:hanging="709"/>
        <w:rPr>
          <w:rFonts w:cs="Times New Roman"/>
          <w:color w:val="EE0000"/>
        </w:rPr>
      </w:pPr>
      <w:r w:rsidRPr="00A432B9">
        <w:rPr>
          <w:rFonts w:cs="Times New Roman"/>
          <w:lang w:val="en-US"/>
        </w:rPr>
        <w:t xml:space="preserve">Gunningham, N., Kagan, R. A., &amp; Thornton, D. (2004). Social license and environmental protection: Introducing the concept of collective efficacy. </w:t>
      </w:r>
      <w:r w:rsidRPr="00B9633D">
        <w:rPr>
          <w:rFonts w:cs="Times New Roman"/>
          <w:i/>
          <w:iCs/>
        </w:rPr>
        <w:t xml:space="preserve">Law &amp; Social </w:t>
      </w:r>
      <w:proofErr w:type="spellStart"/>
      <w:r w:rsidRPr="00B9633D">
        <w:rPr>
          <w:rFonts w:cs="Times New Roman"/>
          <w:i/>
          <w:iCs/>
        </w:rPr>
        <w:t>Inquiry</w:t>
      </w:r>
      <w:proofErr w:type="spellEnd"/>
      <w:r w:rsidRPr="00B9633D">
        <w:rPr>
          <w:rFonts w:cs="Times New Roman"/>
          <w:i/>
          <w:iCs/>
        </w:rPr>
        <w:t>, 29</w:t>
      </w:r>
      <w:r w:rsidRPr="00B9633D">
        <w:rPr>
          <w:rFonts w:cs="Times New Roman"/>
        </w:rPr>
        <w:t xml:space="preserve">(2), 307–341. </w:t>
      </w:r>
      <w:hyperlink r:id="rId39" w:tgtFrame="_new" w:history="1">
        <w:r w:rsidRPr="00B9633D">
          <w:rPr>
            <w:rStyle w:val="Hipervnculo"/>
            <w:rFonts w:cs="Times New Roman"/>
          </w:rPr>
          <w:t>https://doi.org/10.1111/j.1747-4469.2004.tb00338</w:t>
        </w:r>
      </w:hyperlink>
      <w:r w:rsidRPr="00B9633D">
        <w:rPr>
          <w:rFonts w:cs="Times New Roman"/>
          <w:color w:val="EE0000"/>
        </w:rPr>
        <w:t xml:space="preserve"> </w:t>
      </w:r>
    </w:p>
    <w:p w14:paraId="2936E730" w14:textId="77777777" w:rsidR="00046137" w:rsidRPr="00B9633D" w:rsidRDefault="00046137" w:rsidP="00046137">
      <w:pPr>
        <w:ind w:left="709" w:hanging="709"/>
        <w:rPr>
          <w:rFonts w:cs="Times New Roman"/>
          <w:color w:val="EE0000"/>
        </w:rPr>
      </w:pPr>
      <w:r w:rsidRPr="00B9633D">
        <w:rPr>
          <w:rFonts w:cs="Times New Roman"/>
        </w:rPr>
        <w:t xml:space="preserve">Gutiérrez Rúa, M. (2019). Prácticas de gestión humana verde y desempeño ambiental: Retos en proyectos de infraestructura. </w:t>
      </w:r>
      <w:r w:rsidRPr="00B9633D">
        <w:rPr>
          <w:rFonts w:cs="Times New Roman"/>
          <w:i/>
          <w:iCs/>
        </w:rPr>
        <w:t>Revista Colombiana de Administración</w:t>
      </w:r>
      <w:r w:rsidRPr="00B9633D">
        <w:rPr>
          <w:rFonts w:cs="Times New Roman"/>
        </w:rPr>
        <w:t xml:space="preserve">, </w:t>
      </w:r>
      <w:r w:rsidRPr="00B9633D">
        <w:rPr>
          <w:rFonts w:cs="Times New Roman"/>
          <w:i/>
          <w:iCs/>
        </w:rPr>
        <w:t>25</w:t>
      </w:r>
      <w:r w:rsidRPr="00B9633D">
        <w:rPr>
          <w:rFonts w:cs="Times New Roman"/>
        </w:rPr>
        <w:t xml:space="preserve">(1), 112–129. </w:t>
      </w:r>
      <w:hyperlink r:id="rId40" w:history="1">
        <w:r w:rsidRPr="00B9633D">
          <w:rPr>
            <w:rStyle w:val="Hipervnculo"/>
            <w:rFonts w:cs="Times New Roman"/>
          </w:rPr>
          <w:t>https://www.redalyc.org/journal/818/81860976002/html/?utm_source</w:t>
        </w:r>
      </w:hyperlink>
      <w:r w:rsidRPr="00B9633D">
        <w:rPr>
          <w:rFonts w:cs="Times New Roman"/>
          <w:color w:val="EE0000"/>
        </w:rPr>
        <w:t xml:space="preserve"> </w:t>
      </w:r>
    </w:p>
    <w:p w14:paraId="3A4FDD1A" w14:textId="77777777" w:rsidR="00046137" w:rsidRPr="00A432B9" w:rsidRDefault="00046137" w:rsidP="00046137">
      <w:pPr>
        <w:ind w:left="709" w:hanging="709"/>
        <w:rPr>
          <w:rFonts w:cs="Times New Roman"/>
          <w:lang w:val="en-US"/>
        </w:rPr>
      </w:pPr>
      <w:r w:rsidRPr="00A432B9">
        <w:rPr>
          <w:rFonts w:cs="Times New Roman"/>
          <w:lang w:val="en-US"/>
        </w:rPr>
        <w:t xml:space="preserve">Holton III, E. F. (1996). The flawed four-level evaluation model. </w:t>
      </w:r>
      <w:r w:rsidRPr="00A432B9">
        <w:rPr>
          <w:rFonts w:cs="Times New Roman"/>
          <w:i/>
          <w:iCs/>
          <w:lang w:val="en-US"/>
        </w:rPr>
        <w:t>Human Resource Development Quarterly, 7</w:t>
      </w:r>
      <w:r w:rsidRPr="00A432B9">
        <w:rPr>
          <w:rFonts w:cs="Times New Roman"/>
          <w:lang w:val="en-US"/>
        </w:rPr>
        <w:t xml:space="preserve">(2), 5–21. </w:t>
      </w:r>
      <w:hyperlink r:id="rId41" w:history="1">
        <w:r w:rsidRPr="00A432B9">
          <w:rPr>
            <w:rStyle w:val="Hipervnculo"/>
            <w:rFonts w:cs="Times New Roman"/>
            <w:lang w:val="en-US"/>
          </w:rPr>
          <w:t>https://doi.org/10.1002/hrdq.3920070103</w:t>
        </w:r>
      </w:hyperlink>
      <w:r w:rsidRPr="00A432B9">
        <w:rPr>
          <w:rFonts w:cs="Times New Roman"/>
          <w:lang w:val="en-US"/>
        </w:rPr>
        <w:t xml:space="preserve">  </w:t>
      </w:r>
    </w:p>
    <w:p w14:paraId="24E1FEEC" w14:textId="77777777" w:rsidR="00046137" w:rsidRPr="00B9633D" w:rsidRDefault="00046137" w:rsidP="00046137">
      <w:pPr>
        <w:ind w:left="709" w:hanging="709"/>
        <w:rPr>
          <w:rFonts w:cs="Times New Roman"/>
        </w:rPr>
      </w:pPr>
      <w:r w:rsidRPr="00A432B9">
        <w:rPr>
          <w:rFonts w:cs="Times New Roman"/>
          <w:lang w:val="en-US"/>
        </w:rPr>
        <w:t xml:space="preserve">International Organization for Standardization (ISO). (2010). </w:t>
      </w:r>
      <w:r w:rsidRPr="00A432B9">
        <w:rPr>
          <w:rFonts w:cs="Times New Roman"/>
          <w:i/>
          <w:iCs/>
          <w:lang w:val="en-US"/>
        </w:rPr>
        <w:t>ISO 26000:2010 — Guidance on social responsibility</w:t>
      </w:r>
      <w:r w:rsidRPr="00A432B9">
        <w:rPr>
          <w:rFonts w:cs="Times New Roman"/>
          <w:lang w:val="en-US"/>
        </w:rPr>
        <w:t xml:space="preserve">. </w:t>
      </w:r>
      <w:hyperlink r:id="rId42" w:tgtFrame="_new" w:history="1">
        <w:r w:rsidRPr="00B9633D">
          <w:rPr>
            <w:rStyle w:val="Hipervnculo"/>
            <w:rFonts w:cs="Times New Roman"/>
          </w:rPr>
          <w:t>https://www.iso.org/iso-26000-social-responsibility.html</w:t>
        </w:r>
      </w:hyperlink>
      <w:r w:rsidRPr="00B9633D">
        <w:rPr>
          <w:rFonts w:cs="Times New Roman"/>
        </w:rPr>
        <w:t xml:space="preserve"> </w:t>
      </w:r>
    </w:p>
    <w:p w14:paraId="0CFD5A5C" w14:textId="77777777" w:rsidR="00046137" w:rsidRPr="00B9633D" w:rsidRDefault="00046137" w:rsidP="00046137">
      <w:pPr>
        <w:ind w:left="709" w:hanging="709"/>
        <w:rPr>
          <w:rFonts w:cs="Times New Roman"/>
        </w:rPr>
      </w:pPr>
      <w:proofErr w:type="spellStart"/>
      <w:r w:rsidRPr="00A432B9">
        <w:rPr>
          <w:rFonts w:cs="Times New Roman"/>
          <w:lang w:val="en-US"/>
        </w:rPr>
        <w:t>Gahlawat</w:t>
      </w:r>
      <w:proofErr w:type="spellEnd"/>
      <w:r w:rsidRPr="00A432B9">
        <w:rPr>
          <w:rFonts w:cs="Times New Roman"/>
          <w:lang w:val="en-US"/>
        </w:rPr>
        <w:t xml:space="preserve">, N. y Kundu, SC (2019). </w:t>
      </w:r>
      <w:r w:rsidRPr="00B9633D">
        <w:rPr>
          <w:rFonts w:cs="Times New Roman"/>
        </w:rPr>
        <w:t>Gestión de Recursos Humanos Participativa y desempeño empresarial: Desbloqueando la caja a través del clima organizacional y los resultados de los empleados. </w:t>
      </w:r>
      <w:r w:rsidRPr="00B9633D">
        <w:rPr>
          <w:rFonts w:cs="Times New Roman"/>
          <w:i/>
          <w:iCs/>
        </w:rPr>
        <w:t xml:space="preserve">Relaciones Laborales: The International </w:t>
      </w:r>
      <w:proofErr w:type="spellStart"/>
      <w:proofErr w:type="gramStart"/>
      <w:r w:rsidRPr="00B9633D">
        <w:rPr>
          <w:rFonts w:cs="Times New Roman"/>
          <w:i/>
          <w:iCs/>
        </w:rPr>
        <w:t>Journal</w:t>
      </w:r>
      <w:proofErr w:type="spellEnd"/>
      <w:r w:rsidRPr="00B9633D">
        <w:rPr>
          <w:rFonts w:cs="Times New Roman"/>
        </w:rPr>
        <w:t> ,</w:t>
      </w:r>
      <w:proofErr w:type="gramEnd"/>
      <w:r w:rsidRPr="00B9633D">
        <w:rPr>
          <w:rFonts w:cs="Times New Roman"/>
        </w:rPr>
        <w:t> </w:t>
      </w:r>
      <w:r w:rsidRPr="00B9633D">
        <w:rPr>
          <w:rFonts w:cs="Times New Roman"/>
          <w:i/>
          <w:iCs/>
        </w:rPr>
        <w:t>41</w:t>
      </w:r>
      <w:r w:rsidRPr="00B9633D">
        <w:rPr>
          <w:rFonts w:cs="Times New Roman"/>
        </w:rPr>
        <w:t xml:space="preserve"> (5), 1098-1119. </w:t>
      </w:r>
      <w:hyperlink r:id="rId43" w:history="1">
        <w:r w:rsidRPr="00B9633D">
          <w:rPr>
            <w:rStyle w:val="Hipervnculo"/>
            <w:rFonts w:cs="Times New Roman"/>
          </w:rPr>
          <w:t>https://www.emerald.com/er/article-abstract/41/5/1098/38641/Participatory-HRM-and-firm-performanceUnlocking?redirectedFrom=fulltext</w:t>
        </w:r>
      </w:hyperlink>
      <w:r w:rsidRPr="00B9633D">
        <w:rPr>
          <w:rFonts w:cs="Times New Roman"/>
        </w:rPr>
        <w:t xml:space="preserve"> </w:t>
      </w:r>
    </w:p>
    <w:p w14:paraId="6E803EDB" w14:textId="77777777" w:rsidR="00046137" w:rsidRPr="00A432B9" w:rsidRDefault="00046137" w:rsidP="00046137">
      <w:pPr>
        <w:ind w:left="709" w:hanging="709"/>
        <w:rPr>
          <w:rFonts w:cs="Times New Roman"/>
          <w:color w:val="EE0000"/>
          <w:lang w:val="en-US"/>
        </w:rPr>
      </w:pPr>
      <w:r w:rsidRPr="00B9633D">
        <w:rPr>
          <w:rFonts w:cs="Times New Roman"/>
        </w:rPr>
        <w:t xml:space="preserve">Lu, M., Peng, J., &amp; Li, J. (2023). </w:t>
      </w:r>
      <w:r w:rsidRPr="00A432B9">
        <w:rPr>
          <w:rFonts w:cs="Times New Roman"/>
          <w:lang w:val="en-US"/>
        </w:rPr>
        <w:t xml:space="preserve">Sustainable human resource management practices and employee resilience. </w:t>
      </w:r>
      <w:r w:rsidRPr="00A432B9">
        <w:rPr>
          <w:rFonts w:cs="Times New Roman"/>
          <w:i/>
          <w:iCs/>
          <w:lang w:val="en-US"/>
        </w:rPr>
        <w:t>Journal of Business Ethics</w:t>
      </w:r>
      <w:r w:rsidRPr="00A432B9">
        <w:rPr>
          <w:rFonts w:cs="Times New Roman"/>
          <w:lang w:val="en-US"/>
        </w:rPr>
        <w:t xml:space="preserve">, </w:t>
      </w:r>
      <w:r w:rsidRPr="00A432B9">
        <w:rPr>
          <w:rFonts w:cs="Times New Roman"/>
          <w:i/>
          <w:iCs/>
          <w:lang w:val="en-US"/>
        </w:rPr>
        <w:t>186</w:t>
      </w:r>
      <w:r w:rsidRPr="00A432B9">
        <w:rPr>
          <w:rFonts w:cs="Times New Roman"/>
          <w:lang w:val="en-US"/>
        </w:rPr>
        <w:t xml:space="preserve">(1), 123–145. </w:t>
      </w:r>
      <w:hyperlink r:id="rId44" w:history="1">
        <w:r w:rsidRPr="00A432B9">
          <w:rPr>
            <w:rStyle w:val="Hipervnculo"/>
            <w:rFonts w:cs="Times New Roman"/>
            <w:lang w:val="en-US"/>
          </w:rPr>
          <w:t>https://doi.org/10.1007/s10551-022-05187-3</w:t>
        </w:r>
      </w:hyperlink>
      <w:r w:rsidRPr="00A432B9">
        <w:rPr>
          <w:rFonts w:cs="Times New Roman"/>
          <w:color w:val="EE0000"/>
          <w:lang w:val="en-US"/>
        </w:rPr>
        <w:t xml:space="preserve"> </w:t>
      </w:r>
    </w:p>
    <w:p w14:paraId="48F843AE" w14:textId="77777777" w:rsidR="00046137" w:rsidRPr="00B9633D" w:rsidRDefault="00046137" w:rsidP="00046137">
      <w:pPr>
        <w:ind w:left="709" w:hanging="709"/>
        <w:rPr>
          <w:rFonts w:cs="Times New Roman"/>
          <w:color w:val="EE0000"/>
        </w:rPr>
      </w:pPr>
      <w:r w:rsidRPr="00A432B9">
        <w:rPr>
          <w:rFonts w:cs="Times New Roman"/>
          <w:color w:val="222222"/>
          <w:shd w:val="clear" w:color="auto" w:fill="FFFFFF"/>
          <w:lang w:val="en-US"/>
        </w:rPr>
        <w:t xml:space="preserve">Marín, A., &amp; Pérez, C. (2024). </w:t>
      </w:r>
      <w:r w:rsidRPr="00B9633D">
        <w:rPr>
          <w:rFonts w:cs="Times New Roman"/>
          <w:color w:val="222222"/>
          <w:shd w:val="clear" w:color="auto" w:fill="FFFFFF"/>
        </w:rPr>
        <w:t xml:space="preserve">II Nuevas perspectivas para el desarrollo en base a recursos naturales: una visión </w:t>
      </w:r>
      <w:proofErr w:type="spellStart"/>
      <w:r w:rsidRPr="00B9633D">
        <w:rPr>
          <w:rFonts w:cs="Times New Roman"/>
          <w:color w:val="222222"/>
          <w:shd w:val="clear" w:color="auto" w:fill="FFFFFF"/>
        </w:rPr>
        <w:t>neo-schumpeteriana</w:t>
      </w:r>
      <w:proofErr w:type="spellEnd"/>
      <w:r w:rsidRPr="00B9633D">
        <w:rPr>
          <w:rFonts w:cs="Times New Roman"/>
          <w:color w:val="222222"/>
          <w:shd w:val="clear" w:color="auto" w:fill="FFFFFF"/>
        </w:rPr>
        <w:t xml:space="preserve"> para América Latina. </w:t>
      </w:r>
      <w:r w:rsidRPr="00B9633D">
        <w:rPr>
          <w:rFonts w:cs="Times New Roman"/>
          <w:i/>
          <w:iCs/>
          <w:color w:val="222222"/>
          <w:shd w:val="clear" w:color="auto" w:fill="FFFFFF"/>
        </w:rPr>
        <w:t>Gracias por su interés en esta publicación de la CEPAL</w:t>
      </w:r>
      <w:r w:rsidRPr="00B9633D">
        <w:rPr>
          <w:rFonts w:cs="Times New Roman"/>
          <w:color w:val="222222"/>
          <w:shd w:val="clear" w:color="auto" w:fill="FFFFFF"/>
        </w:rPr>
        <w:t xml:space="preserve">, 33. </w:t>
      </w:r>
      <w:hyperlink r:id="rId45" w:anchor="page=35" w:history="1">
        <w:r w:rsidRPr="00B9633D">
          <w:rPr>
            <w:rStyle w:val="Hipervnculo"/>
            <w:rFonts w:cs="Times New Roman"/>
            <w:shd w:val="clear" w:color="auto" w:fill="FFFFFF"/>
          </w:rPr>
          <w:t>https://repositorio.cepal.org/server/api/core/bitstreams/7ab7bae5-6170-4982-9d3f-11ec7520f4a4/content#page=35</w:t>
        </w:r>
      </w:hyperlink>
      <w:r w:rsidRPr="00B9633D">
        <w:rPr>
          <w:rFonts w:cs="Times New Roman"/>
          <w:color w:val="222222"/>
          <w:shd w:val="clear" w:color="auto" w:fill="FFFFFF"/>
        </w:rPr>
        <w:t xml:space="preserve"> </w:t>
      </w:r>
    </w:p>
    <w:p w14:paraId="7749483E" w14:textId="77777777" w:rsidR="00046137" w:rsidRPr="00B9633D" w:rsidRDefault="00046137" w:rsidP="00046137">
      <w:pPr>
        <w:ind w:left="709" w:hanging="709"/>
        <w:rPr>
          <w:rFonts w:cs="Times New Roman"/>
          <w:color w:val="EE0000"/>
        </w:rPr>
      </w:pPr>
      <w:r w:rsidRPr="00B9633D">
        <w:rPr>
          <w:rFonts w:cs="Times New Roman"/>
        </w:rPr>
        <w:t xml:space="preserve">Melamed-Varela, L., Ramírez-Giraldo, M., &amp; García-Gómez, J. (2018). Valor compartido, un nuevo paradigma en la gestión estratégica. </w:t>
      </w:r>
      <w:r w:rsidRPr="00B9633D">
        <w:rPr>
          <w:rFonts w:cs="Times New Roman"/>
          <w:i/>
          <w:iCs/>
        </w:rPr>
        <w:t>Estudios Gerenciales</w:t>
      </w:r>
      <w:r w:rsidRPr="00B9633D">
        <w:rPr>
          <w:rFonts w:cs="Times New Roman"/>
        </w:rPr>
        <w:t xml:space="preserve">, </w:t>
      </w:r>
      <w:r w:rsidRPr="00B9633D">
        <w:rPr>
          <w:rFonts w:cs="Times New Roman"/>
          <w:i/>
          <w:iCs/>
        </w:rPr>
        <w:t>34</w:t>
      </w:r>
      <w:r w:rsidRPr="00B9633D">
        <w:rPr>
          <w:rFonts w:cs="Times New Roman"/>
        </w:rPr>
        <w:t xml:space="preserve">(147), 214–222. </w:t>
      </w:r>
      <w:hyperlink r:id="rId46" w:history="1">
        <w:r w:rsidRPr="00B9633D">
          <w:rPr>
            <w:rStyle w:val="Hipervnculo"/>
            <w:rFonts w:cs="Times New Roman"/>
          </w:rPr>
          <w:t>https://doi.org/10.18046/j.estger.2018.147.2626</w:t>
        </w:r>
      </w:hyperlink>
      <w:r w:rsidRPr="00B9633D">
        <w:rPr>
          <w:rFonts w:cs="Times New Roman"/>
          <w:color w:val="EE0000"/>
        </w:rPr>
        <w:t xml:space="preserve"> </w:t>
      </w:r>
    </w:p>
    <w:p w14:paraId="51657127" w14:textId="77777777" w:rsidR="00046137" w:rsidRPr="00A432B9" w:rsidRDefault="00046137" w:rsidP="00046137">
      <w:pPr>
        <w:ind w:left="709" w:hanging="709"/>
        <w:rPr>
          <w:rFonts w:cs="Times New Roman"/>
          <w:lang w:val="en-US"/>
        </w:rPr>
      </w:pPr>
      <w:r w:rsidRPr="00B9633D">
        <w:rPr>
          <w:rFonts w:cs="Times New Roman"/>
        </w:rPr>
        <w:t xml:space="preserve">Miles, M. B., Huberman, A. M., &amp; Saldaña, J. (2014). </w:t>
      </w:r>
      <w:r w:rsidRPr="00A432B9">
        <w:rPr>
          <w:rFonts w:cs="Times New Roman"/>
          <w:i/>
          <w:iCs/>
          <w:lang w:val="en-US"/>
        </w:rPr>
        <w:t>Qualitative data analysis: A methods sourcebook</w:t>
      </w:r>
      <w:r w:rsidRPr="00A432B9">
        <w:rPr>
          <w:rFonts w:cs="Times New Roman"/>
          <w:lang w:val="en-US"/>
        </w:rPr>
        <w:t xml:space="preserve"> (3rd ed.). SAGE Publications. </w:t>
      </w:r>
      <w:hyperlink r:id="rId47" w:history="1">
        <w:r w:rsidRPr="00A432B9">
          <w:rPr>
            <w:rStyle w:val="Hipervnculo"/>
            <w:rFonts w:cs="Times New Roman"/>
            <w:lang w:val="en-US"/>
          </w:rPr>
          <w:t>https://www.metodos.work/wp-content/uploads/2024/01/Qualitative-Data-Analysis.pdf</w:t>
        </w:r>
      </w:hyperlink>
      <w:r w:rsidRPr="00A432B9">
        <w:rPr>
          <w:rFonts w:cs="Times New Roman"/>
          <w:lang w:val="en-US"/>
        </w:rPr>
        <w:t xml:space="preserve"> </w:t>
      </w:r>
    </w:p>
    <w:p w14:paraId="3BB2BE1C" w14:textId="77777777" w:rsidR="00046137" w:rsidRPr="00A432B9" w:rsidRDefault="00046137" w:rsidP="00046137">
      <w:pPr>
        <w:ind w:left="709" w:hanging="709"/>
        <w:rPr>
          <w:rFonts w:cs="Times New Roman"/>
          <w:lang w:val="en-US"/>
        </w:rPr>
      </w:pPr>
      <w:r w:rsidRPr="00A432B9">
        <w:rPr>
          <w:rFonts w:cs="Times New Roman"/>
          <w:lang w:val="en-US"/>
        </w:rPr>
        <w:t xml:space="preserve">Noe, R. A. (2020). </w:t>
      </w:r>
      <w:r w:rsidRPr="00A432B9">
        <w:rPr>
          <w:rFonts w:cs="Times New Roman"/>
          <w:i/>
          <w:iCs/>
          <w:lang w:val="en-US"/>
        </w:rPr>
        <w:t>Employee training and development</w:t>
      </w:r>
      <w:r w:rsidRPr="00A432B9">
        <w:rPr>
          <w:rFonts w:cs="Times New Roman"/>
          <w:lang w:val="en-US"/>
        </w:rPr>
        <w:t xml:space="preserve"> (8th ed.). McGraw-Hill Education. </w:t>
      </w:r>
      <w:hyperlink r:id="rId48" w:history="1">
        <w:r w:rsidRPr="00A432B9">
          <w:rPr>
            <w:rStyle w:val="Hipervnculo"/>
            <w:rFonts w:cs="Times New Roman"/>
            <w:lang w:val="en-US"/>
          </w:rPr>
          <w:t>https://learn.mheducation.com/noe_employment_training.html</w:t>
        </w:r>
      </w:hyperlink>
      <w:r w:rsidRPr="00A432B9">
        <w:rPr>
          <w:rFonts w:cs="Times New Roman"/>
          <w:lang w:val="en-US"/>
        </w:rPr>
        <w:t xml:space="preserve"> </w:t>
      </w:r>
    </w:p>
    <w:p w14:paraId="533402F3" w14:textId="77777777" w:rsidR="00046137" w:rsidRPr="00B9633D" w:rsidRDefault="00046137" w:rsidP="00046137">
      <w:pPr>
        <w:ind w:left="709" w:hanging="709"/>
        <w:rPr>
          <w:rFonts w:cs="Times New Roman"/>
        </w:rPr>
      </w:pPr>
      <w:r w:rsidRPr="00B9633D">
        <w:rPr>
          <w:rFonts w:cs="Times New Roman"/>
        </w:rPr>
        <w:t xml:space="preserve">ONU. (2015). </w:t>
      </w:r>
      <w:r w:rsidRPr="00B9633D">
        <w:rPr>
          <w:rFonts w:cs="Times New Roman"/>
          <w:i/>
          <w:iCs/>
        </w:rPr>
        <w:t>Transformar nuestro mundo: La Agenda 2030 para el Desarrollo Sostenible</w:t>
      </w:r>
      <w:r w:rsidRPr="00B9633D">
        <w:rPr>
          <w:rFonts w:cs="Times New Roman"/>
        </w:rPr>
        <w:t xml:space="preserve">. Naciones Unidas. </w:t>
      </w:r>
      <w:hyperlink r:id="rId49" w:history="1">
        <w:r w:rsidRPr="00B9633D">
          <w:rPr>
            <w:rStyle w:val="Hipervnculo"/>
            <w:rFonts w:cs="Times New Roman"/>
          </w:rPr>
          <w:t>https://unctad.org/system/files/official-document/ares70d1_es.pdf</w:t>
        </w:r>
      </w:hyperlink>
    </w:p>
    <w:p w14:paraId="0D6208C2" w14:textId="77777777" w:rsidR="00046137" w:rsidRPr="00A432B9" w:rsidRDefault="00046137" w:rsidP="00046137">
      <w:pPr>
        <w:ind w:left="709" w:hanging="709"/>
        <w:rPr>
          <w:rFonts w:cs="Times New Roman"/>
          <w:color w:val="000000"/>
          <w:lang w:val="en-US"/>
        </w:rPr>
      </w:pPr>
      <w:r w:rsidRPr="00B9633D">
        <w:rPr>
          <w:rFonts w:cs="Times New Roman"/>
        </w:rPr>
        <w:t xml:space="preserve">Osorio-Londoño, </w:t>
      </w:r>
      <w:hyperlink r:id="rId50" w:tooltip="Julia Naranjo-Valencia" w:history="1">
        <w:r w:rsidRPr="00B9633D">
          <w:rPr>
            <w:rFonts w:cs="Times New Roman"/>
          </w:rPr>
          <w:t>Naranjo-Valencia</w:t>
        </w:r>
      </w:hyperlink>
      <w:r w:rsidRPr="00B9633D">
        <w:rPr>
          <w:rFonts w:cs="Times New Roman"/>
        </w:rPr>
        <w:t> and </w:t>
      </w:r>
      <w:hyperlink r:id="rId51" w:tooltip="Gregorio Calderón-Hernández" w:history="1">
        <w:r w:rsidRPr="00B9633D">
          <w:rPr>
            <w:rFonts w:cs="Times New Roman"/>
          </w:rPr>
          <w:t>Calderón-Hernández</w:t>
        </w:r>
      </w:hyperlink>
      <w:r w:rsidRPr="00B9633D">
        <w:rPr>
          <w:rFonts w:cs="Times New Roman"/>
        </w:rPr>
        <w:t xml:space="preserve"> (2020). El rol Moderador Del Capital Humano En La Relación Entre Contenidos Específicos de la Formación y la </w:t>
      </w:r>
      <w:proofErr w:type="spellStart"/>
      <w:r w:rsidRPr="00B9633D">
        <w:rPr>
          <w:rFonts w:cs="Times New Roman"/>
        </w:rPr>
        <w:t>EstrategiaCompetitiva</w:t>
      </w:r>
      <w:proofErr w:type="spellEnd"/>
      <w:r w:rsidRPr="00B9633D">
        <w:rPr>
          <w:rFonts w:cs="Times New Roman"/>
        </w:rPr>
        <w:t>.</w:t>
      </w:r>
      <w:hyperlink r:id="rId52" w:history="1">
        <w:r w:rsidRPr="00A432B9">
          <w:rPr>
            <w:rStyle w:val="Hipervnculo"/>
            <w:rFonts w:cs="Times New Roman"/>
            <w:lang w:val="en-US"/>
          </w:rPr>
          <w:t>https://journals.aom.org/doi/abs/10.5465/amgblproc.mexico.2020.0344.abs</w:t>
        </w:r>
      </w:hyperlink>
      <w:r w:rsidRPr="00A432B9">
        <w:rPr>
          <w:rFonts w:cs="Times New Roman"/>
          <w:color w:val="000000"/>
          <w:lang w:val="en-US"/>
        </w:rPr>
        <w:t xml:space="preserve"> </w:t>
      </w:r>
    </w:p>
    <w:p w14:paraId="04F6C436" w14:textId="77777777" w:rsidR="00046137" w:rsidRPr="00A432B9" w:rsidRDefault="00046137" w:rsidP="00046137">
      <w:pPr>
        <w:ind w:left="709" w:hanging="709"/>
        <w:rPr>
          <w:rFonts w:cs="Times New Roman"/>
          <w:lang w:val="en-US"/>
        </w:rPr>
      </w:pPr>
      <w:r w:rsidRPr="00A432B9">
        <w:rPr>
          <w:rFonts w:cs="Times New Roman"/>
          <w:lang w:val="en-US"/>
        </w:rPr>
        <w:t xml:space="preserve">Palinkas, L. A., Horwitz, S. M., Green, C. A., Wisdom, J. P., Duan, N., &amp; </w:t>
      </w:r>
      <w:proofErr w:type="spellStart"/>
      <w:r w:rsidRPr="00A432B9">
        <w:rPr>
          <w:rFonts w:cs="Times New Roman"/>
          <w:lang w:val="en-US"/>
        </w:rPr>
        <w:t>Hoagwood</w:t>
      </w:r>
      <w:proofErr w:type="spellEnd"/>
      <w:r w:rsidRPr="00A432B9">
        <w:rPr>
          <w:rFonts w:cs="Times New Roman"/>
          <w:lang w:val="en-US"/>
        </w:rPr>
        <w:t xml:space="preserve">, K. (2015). </w:t>
      </w:r>
    </w:p>
    <w:p w14:paraId="09D1F4E8" w14:textId="77777777" w:rsidR="00046137" w:rsidRPr="00A432B9" w:rsidRDefault="00046137" w:rsidP="00046137">
      <w:pPr>
        <w:ind w:left="709" w:hanging="1"/>
        <w:rPr>
          <w:rFonts w:cs="Times New Roman"/>
          <w:lang w:val="en-US"/>
        </w:rPr>
      </w:pPr>
      <w:r w:rsidRPr="00A432B9">
        <w:rPr>
          <w:rFonts w:cs="Times New Roman"/>
          <w:lang w:val="en-US"/>
        </w:rPr>
        <w:t xml:space="preserve"> Purposeful sampling for qualitative data collection and analysis in mixed method implementation research. </w:t>
      </w:r>
      <w:r w:rsidRPr="00A432B9">
        <w:rPr>
          <w:rFonts w:cs="Times New Roman"/>
          <w:i/>
          <w:iCs/>
          <w:lang w:val="en-US"/>
        </w:rPr>
        <w:t>Administration and Policy in Mental Health and Mental Health Services Research</w:t>
      </w:r>
      <w:r w:rsidRPr="00A432B9">
        <w:rPr>
          <w:rFonts w:cs="Times New Roman"/>
          <w:lang w:val="en-US"/>
        </w:rPr>
        <w:t xml:space="preserve">, </w:t>
      </w:r>
      <w:r w:rsidRPr="00A432B9">
        <w:rPr>
          <w:rFonts w:cs="Times New Roman"/>
          <w:i/>
          <w:iCs/>
          <w:lang w:val="en-US"/>
        </w:rPr>
        <w:t>42</w:t>
      </w:r>
      <w:r w:rsidRPr="00A432B9">
        <w:rPr>
          <w:rFonts w:cs="Times New Roman"/>
          <w:lang w:val="en-US"/>
        </w:rPr>
        <w:t xml:space="preserve">(5), 533–544. </w:t>
      </w:r>
      <w:hyperlink r:id="rId53" w:history="1">
        <w:r w:rsidRPr="00A432B9">
          <w:rPr>
            <w:rStyle w:val="Hipervnculo"/>
            <w:rFonts w:cs="Times New Roman"/>
            <w:lang w:val="en-US"/>
          </w:rPr>
          <w:t>https://link.springer.com/article/10.1007/s10488-013-0528-y</w:t>
        </w:r>
      </w:hyperlink>
      <w:r w:rsidRPr="00A432B9">
        <w:rPr>
          <w:rFonts w:cs="Times New Roman"/>
          <w:lang w:val="en-US"/>
        </w:rPr>
        <w:t xml:space="preserve"> </w:t>
      </w:r>
    </w:p>
    <w:p w14:paraId="56AD1EFA" w14:textId="77777777" w:rsidR="00046137" w:rsidRPr="00B9633D" w:rsidRDefault="00046137" w:rsidP="00046137">
      <w:pPr>
        <w:ind w:left="709" w:hanging="709"/>
        <w:rPr>
          <w:rFonts w:cs="Times New Roman"/>
        </w:rPr>
      </w:pPr>
      <w:r w:rsidRPr="00A432B9">
        <w:rPr>
          <w:rFonts w:cs="Times New Roman"/>
          <w:lang w:val="en-US"/>
        </w:rPr>
        <w:lastRenderedPageBreak/>
        <w:t xml:space="preserve">Pastor Seller, E. (2004). </w:t>
      </w:r>
      <w:r w:rsidRPr="00B9633D">
        <w:rPr>
          <w:rFonts w:cs="Times New Roman"/>
        </w:rPr>
        <w:t xml:space="preserve">La sostenibilidad como valor compartido: Más allá del reporte de sostenibilidad. </w:t>
      </w:r>
      <w:r w:rsidRPr="00B9633D">
        <w:rPr>
          <w:rFonts w:cs="Times New Roman"/>
          <w:i/>
          <w:iCs/>
        </w:rPr>
        <w:t>Revista de Contabilidad y Dirección</w:t>
      </w:r>
      <w:r w:rsidRPr="00B9633D">
        <w:rPr>
          <w:rFonts w:cs="Times New Roman"/>
        </w:rPr>
        <w:t xml:space="preserve">, </w:t>
      </w:r>
      <w:r w:rsidRPr="00B9633D">
        <w:rPr>
          <w:rFonts w:cs="Times New Roman"/>
          <w:i/>
          <w:iCs/>
        </w:rPr>
        <w:t>1</w:t>
      </w:r>
      <w:r w:rsidRPr="00B9633D">
        <w:rPr>
          <w:rFonts w:cs="Times New Roman"/>
        </w:rPr>
        <w:t xml:space="preserve">, 149–166. </w:t>
      </w:r>
      <w:hyperlink r:id="rId54" w:history="1">
        <w:r w:rsidRPr="00B9633D">
          <w:rPr>
            <w:rStyle w:val="Hipervnculo"/>
            <w:rFonts w:cs="Times New Roman"/>
          </w:rPr>
          <w:t>http://www.scielo.org.co/scielo.php?pid=S0120-81602018000200037&amp;script=sci_arttext</w:t>
        </w:r>
      </w:hyperlink>
      <w:r w:rsidRPr="00B9633D">
        <w:rPr>
          <w:rFonts w:cs="Times New Roman"/>
        </w:rPr>
        <w:t xml:space="preserve"> </w:t>
      </w:r>
    </w:p>
    <w:p w14:paraId="4A8A4D96" w14:textId="77777777" w:rsidR="00046137" w:rsidRPr="00B9633D" w:rsidRDefault="00046137" w:rsidP="00046137">
      <w:pPr>
        <w:ind w:left="709" w:hanging="709"/>
        <w:rPr>
          <w:rFonts w:cs="Times New Roman"/>
        </w:rPr>
      </w:pPr>
      <w:r w:rsidRPr="00B9633D">
        <w:rPr>
          <w:rFonts w:cs="Times New Roman"/>
        </w:rPr>
        <w:t>Pérez Espinoza, M. J., Espinoza Carrión, C., &amp; Peralta Mocha, B. (2016). La responsabilidad social empresarial y su enfoque ambiental: una visión sostenible a futuro. </w:t>
      </w:r>
      <w:r w:rsidRPr="00B9633D">
        <w:rPr>
          <w:rFonts w:cs="Times New Roman"/>
          <w:i/>
          <w:iCs/>
        </w:rPr>
        <w:t>Revista universidad y sociedad</w:t>
      </w:r>
      <w:r w:rsidRPr="00B9633D">
        <w:rPr>
          <w:rFonts w:cs="Times New Roman"/>
        </w:rPr>
        <w:t>, </w:t>
      </w:r>
      <w:r w:rsidRPr="00B9633D">
        <w:rPr>
          <w:rFonts w:cs="Times New Roman"/>
          <w:i/>
          <w:iCs/>
        </w:rPr>
        <w:t>8</w:t>
      </w:r>
      <w:r w:rsidRPr="00B9633D">
        <w:rPr>
          <w:rFonts w:cs="Times New Roman"/>
        </w:rPr>
        <w:t xml:space="preserve">(3), 169-178. </w:t>
      </w:r>
      <w:hyperlink r:id="rId55" w:history="1">
        <w:r w:rsidRPr="00B9633D">
          <w:rPr>
            <w:rStyle w:val="Hipervnculo"/>
            <w:rFonts w:cs="Times New Roman"/>
          </w:rPr>
          <w:t>http://scielo.sld.cu/scielo.php?pid=S2218-36202016000300023&amp;script=sci_arttext</w:t>
        </w:r>
      </w:hyperlink>
      <w:r w:rsidRPr="00B9633D">
        <w:rPr>
          <w:rFonts w:cs="Times New Roman"/>
        </w:rPr>
        <w:t xml:space="preserve"> </w:t>
      </w:r>
    </w:p>
    <w:p w14:paraId="36CF5B7E" w14:textId="77777777" w:rsidR="00046137" w:rsidRPr="00A432B9" w:rsidRDefault="00046137" w:rsidP="00046137">
      <w:pPr>
        <w:ind w:left="709" w:hanging="709"/>
        <w:rPr>
          <w:rFonts w:cs="Times New Roman"/>
          <w:lang w:val="en-US"/>
        </w:rPr>
      </w:pPr>
      <w:r w:rsidRPr="00B9633D">
        <w:rPr>
          <w:rFonts w:cs="Times New Roman"/>
        </w:rPr>
        <w:t xml:space="preserve">Porter, M. E., &amp; Kramer, M. R. (2011). Creación de valor compartido: Cómo reinventar el capitalismo y dar rienda suelta a una ola de innovación y crecimiento. </w:t>
      </w:r>
      <w:r w:rsidRPr="00A432B9">
        <w:rPr>
          <w:rFonts w:cs="Times New Roman"/>
          <w:i/>
          <w:iCs/>
          <w:lang w:val="en-US"/>
        </w:rPr>
        <w:t>Harvard Business Review</w:t>
      </w:r>
      <w:r w:rsidRPr="00A432B9">
        <w:rPr>
          <w:rFonts w:cs="Times New Roman"/>
          <w:lang w:val="en-US"/>
        </w:rPr>
        <w:t xml:space="preserve">, </w:t>
      </w:r>
      <w:r w:rsidRPr="00A432B9">
        <w:rPr>
          <w:rFonts w:cs="Times New Roman"/>
          <w:i/>
          <w:iCs/>
          <w:lang w:val="en-US"/>
        </w:rPr>
        <w:t>89</w:t>
      </w:r>
      <w:r w:rsidRPr="00A432B9">
        <w:rPr>
          <w:rFonts w:cs="Times New Roman"/>
          <w:lang w:val="en-US"/>
        </w:rPr>
        <w:t xml:space="preserve">(1–2), 1–14. </w:t>
      </w:r>
      <w:hyperlink r:id="rId56" w:history="1">
        <w:r w:rsidRPr="00A432B9">
          <w:rPr>
            <w:rStyle w:val="Hipervnculo"/>
            <w:rFonts w:cs="Times New Roman"/>
            <w:lang w:val="en-US"/>
          </w:rPr>
          <w:t>https://dialnet.unirioja.es/servlet/articulo?codigo=3658419</w:t>
        </w:r>
      </w:hyperlink>
      <w:r w:rsidRPr="00A432B9">
        <w:rPr>
          <w:rFonts w:cs="Times New Roman"/>
          <w:lang w:val="en-US"/>
        </w:rPr>
        <w:t xml:space="preserve"> </w:t>
      </w:r>
    </w:p>
    <w:p w14:paraId="4BF5CF1C" w14:textId="77777777" w:rsidR="00046137" w:rsidRPr="00B9633D" w:rsidRDefault="00046137" w:rsidP="00046137">
      <w:pPr>
        <w:ind w:left="709" w:hanging="709"/>
        <w:rPr>
          <w:rFonts w:cs="Times New Roman"/>
          <w:color w:val="222222"/>
          <w:shd w:val="clear" w:color="auto" w:fill="FFFFFF"/>
        </w:rPr>
      </w:pPr>
      <w:r w:rsidRPr="00A432B9">
        <w:rPr>
          <w:rFonts w:cs="Times New Roman"/>
          <w:color w:val="222222"/>
          <w:shd w:val="clear" w:color="auto" w:fill="FFFFFF"/>
          <w:lang w:val="en-US"/>
        </w:rPr>
        <w:t>Portney, K. E. (2015). </w:t>
      </w:r>
      <w:r w:rsidRPr="00A432B9">
        <w:rPr>
          <w:rFonts w:cs="Times New Roman"/>
          <w:i/>
          <w:iCs/>
          <w:color w:val="222222"/>
          <w:shd w:val="clear" w:color="auto" w:fill="FFFFFF"/>
          <w:lang w:val="en-US"/>
        </w:rPr>
        <w:t>Sustainability</w:t>
      </w:r>
      <w:r w:rsidRPr="00A432B9">
        <w:rPr>
          <w:rFonts w:cs="Times New Roman"/>
          <w:color w:val="222222"/>
          <w:shd w:val="clear" w:color="auto" w:fill="FFFFFF"/>
          <w:lang w:val="en-US"/>
        </w:rPr>
        <w:t xml:space="preserve">. MIT Press. </w:t>
      </w:r>
      <w:hyperlink r:id="rId57" w:anchor="v=onepage&amp;q&amp;f=false" w:history="1">
        <w:r w:rsidRPr="00B9633D">
          <w:rPr>
            <w:rStyle w:val="Hipervnculo"/>
            <w:rFonts w:cs="Times New Roman"/>
            <w:shd w:val="clear" w:color="auto" w:fill="FFFFFF"/>
          </w:rPr>
          <w:t>https://books.google.com.co/books?hl=es&amp;lr=&amp;id=WXr6CgAAQBAJ&amp;oi=fnd&amp;pg=PP6&amp;dq=related:9S0ULF6E6uAJ:scholar.google.com/&amp;ots=umTuf-sUK7&amp;sig=SmhyxQhH0yUxkpzqGA1DhbHrik4&amp;redir_esc=y#v=onepage&amp;q&amp;f=false</w:t>
        </w:r>
      </w:hyperlink>
      <w:r w:rsidRPr="00B9633D">
        <w:rPr>
          <w:rFonts w:cs="Times New Roman"/>
          <w:color w:val="222222"/>
          <w:shd w:val="clear" w:color="auto" w:fill="FFFFFF"/>
        </w:rPr>
        <w:t xml:space="preserve"> </w:t>
      </w:r>
    </w:p>
    <w:p w14:paraId="301732F3" w14:textId="77777777" w:rsidR="00046137" w:rsidRPr="00B9633D" w:rsidRDefault="00046137" w:rsidP="00046137">
      <w:pPr>
        <w:ind w:left="709" w:hanging="709"/>
        <w:rPr>
          <w:rFonts w:cs="Times New Roman"/>
        </w:rPr>
      </w:pPr>
      <w:r w:rsidRPr="00B9633D">
        <w:rPr>
          <w:rFonts w:cs="Times New Roman"/>
        </w:rPr>
        <w:t xml:space="preserve">Programa de las Naciones Unidas para el Desarrollo (PNUD). (2023). </w:t>
      </w:r>
      <w:r w:rsidRPr="00B9633D">
        <w:rPr>
          <w:rFonts w:cs="Times New Roman"/>
          <w:i/>
          <w:iCs/>
        </w:rPr>
        <w:t>Informe sobre desarrollo humano en Colombia: Capacidades, equidad y sostenibilidad</w:t>
      </w:r>
      <w:r w:rsidRPr="00B9633D">
        <w:rPr>
          <w:rFonts w:cs="Times New Roman"/>
        </w:rPr>
        <w:t xml:space="preserve">. Naciones Unidas. </w:t>
      </w:r>
      <w:hyperlink r:id="rId58" w:tgtFrame="_blank" w:history="1">
        <w:r w:rsidRPr="00B9633D">
          <w:rPr>
            <w:rStyle w:val="Hipervnculo"/>
            <w:rFonts w:cs="Times New Roman"/>
          </w:rPr>
          <w:t>https://www.undp.org/es/colombia</w:t>
        </w:r>
      </w:hyperlink>
      <w:r w:rsidRPr="00B9633D">
        <w:rPr>
          <w:rFonts w:cs="Times New Roman"/>
        </w:rPr>
        <w:t xml:space="preserve"> </w:t>
      </w:r>
    </w:p>
    <w:p w14:paraId="050A5C96" w14:textId="77777777" w:rsidR="00046137" w:rsidRPr="00A432B9" w:rsidRDefault="00046137" w:rsidP="00046137">
      <w:pPr>
        <w:ind w:left="709" w:hanging="709"/>
        <w:rPr>
          <w:rFonts w:cs="Times New Roman"/>
          <w:color w:val="EE0000"/>
          <w:lang w:val="en-US"/>
        </w:rPr>
      </w:pPr>
      <w:r w:rsidRPr="00B9633D">
        <w:rPr>
          <w:rFonts w:cs="Times New Roman"/>
        </w:rPr>
        <w:t xml:space="preserve">Ren, S., Tang, G., &amp; Jackson, S. E. (2023). </w:t>
      </w:r>
      <w:r w:rsidRPr="00A432B9">
        <w:rPr>
          <w:rFonts w:cs="Times New Roman"/>
          <w:lang w:val="en-US"/>
        </w:rPr>
        <w:t xml:space="preserve">Green HRM and employee environmental behavior: A review and future directions. </w:t>
      </w:r>
      <w:r w:rsidRPr="00A432B9">
        <w:rPr>
          <w:rFonts w:cs="Times New Roman"/>
          <w:i/>
          <w:iCs/>
          <w:lang w:val="en-US"/>
        </w:rPr>
        <w:t>Journal of Cleaner Production, 395</w:t>
      </w:r>
      <w:r w:rsidRPr="00A432B9">
        <w:rPr>
          <w:rFonts w:cs="Times New Roman"/>
          <w:lang w:val="en-US"/>
        </w:rPr>
        <w:t xml:space="preserve">, 136–152 </w:t>
      </w:r>
      <w:hyperlink r:id="rId59" w:history="1">
        <w:r w:rsidRPr="00A432B9">
          <w:rPr>
            <w:rStyle w:val="Hipervnculo"/>
            <w:rFonts w:cs="Times New Roman"/>
            <w:lang w:val="en-US"/>
          </w:rPr>
          <w:t>https://www.elgaronline.com/edcollchap/edcoll/9781784712259/9781784712259.00019.xml</w:t>
        </w:r>
      </w:hyperlink>
      <w:r w:rsidRPr="00A432B9">
        <w:rPr>
          <w:rFonts w:cs="Times New Roman"/>
          <w:color w:val="EE0000"/>
          <w:lang w:val="en-US"/>
        </w:rPr>
        <w:t xml:space="preserve"> </w:t>
      </w:r>
    </w:p>
    <w:p w14:paraId="798EA4D4" w14:textId="77777777" w:rsidR="00046137" w:rsidRPr="00A432B9" w:rsidRDefault="00046137" w:rsidP="00046137">
      <w:pPr>
        <w:ind w:left="709" w:hanging="709"/>
        <w:rPr>
          <w:rFonts w:cs="Times New Roman"/>
          <w:lang w:val="en-US"/>
        </w:rPr>
      </w:pPr>
      <w:r w:rsidRPr="00A432B9">
        <w:rPr>
          <w:rFonts w:cs="Times New Roman"/>
          <w:lang w:val="en-US"/>
        </w:rPr>
        <w:t xml:space="preserve">Renwick, D. W., Redman, T., &amp; Maguire, S. (2013). Green human resource management: A review and research agenda. </w:t>
      </w:r>
      <w:r w:rsidRPr="00A432B9">
        <w:rPr>
          <w:rFonts w:cs="Times New Roman"/>
          <w:i/>
          <w:iCs/>
          <w:lang w:val="en-US"/>
        </w:rPr>
        <w:t>Journal of Organizational Behavior</w:t>
      </w:r>
      <w:r w:rsidRPr="00A432B9">
        <w:rPr>
          <w:rFonts w:cs="Times New Roman"/>
          <w:lang w:val="en-US"/>
        </w:rPr>
        <w:t xml:space="preserve">, </w:t>
      </w:r>
      <w:r w:rsidRPr="00A432B9">
        <w:rPr>
          <w:rFonts w:cs="Times New Roman"/>
          <w:i/>
          <w:iCs/>
          <w:lang w:val="en-US"/>
        </w:rPr>
        <w:t>34</w:t>
      </w:r>
      <w:r w:rsidRPr="00A432B9">
        <w:rPr>
          <w:rFonts w:cs="Times New Roman"/>
          <w:lang w:val="en-US"/>
        </w:rPr>
        <w:t xml:space="preserve">(2), 271–291. </w:t>
      </w:r>
      <w:hyperlink r:id="rId60" w:history="1">
        <w:r w:rsidRPr="00A432B9">
          <w:rPr>
            <w:rStyle w:val="Hipervnculo"/>
            <w:rFonts w:cs="Times New Roman"/>
            <w:lang w:val="en-US"/>
          </w:rPr>
          <w:t>https://onlinelibrary.wiley.com/doi/abs/10.1111/j.1468-2370.2011.00328.x</w:t>
        </w:r>
      </w:hyperlink>
      <w:r w:rsidRPr="00A432B9">
        <w:rPr>
          <w:rFonts w:cs="Times New Roman"/>
          <w:lang w:val="en-US"/>
        </w:rPr>
        <w:t xml:space="preserve"> </w:t>
      </w:r>
    </w:p>
    <w:p w14:paraId="70565E03" w14:textId="77777777" w:rsidR="00046137" w:rsidRPr="00B9633D" w:rsidRDefault="00046137" w:rsidP="00046137">
      <w:pPr>
        <w:ind w:left="709" w:hanging="709"/>
        <w:rPr>
          <w:rFonts w:cs="Times New Roman"/>
          <w:color w:val="EE0000"/>
        </w:rPr>
      </w:pPr>
      <w:r w:rsidRPr="00B9633D">
        <w:rPr>
          <w:rFonts w:cs="Times New Roman"/>
          <w:color w:val="222222"/>
          <w:shd w:val="clear" w:color="auto" w:fill="FFFFFF"/>
        </w:rPr>
        <w:t xml:space="preserve">Rincón Gaona, H. J. (2024). Diseño de una propuesta de evaluación de la sostenibilidad, aplicable a vías concesionadas en el departamento de Antioquia. </w:t>
      </w:r>
      <w:hyperlink r:id="rId61" w:history="1">
        <w:r w:rsidRPr="00B9633D">
          <w:rPr>
            <w:rStyle w:val="Hipervnculo"/>
            <w:rFonts w:cs="Times New Roman"/>
            <w:shd w:val="clear" w:color="auto" w:fill="FFFFFF"/>
          </w:rPr>
          <w:t>https://repository.udem.edu.co/handle/11407/8386</w:t>
        </w:r>
      </w:hyperlink>
      <w:r w:rsidRPr="00B9633D">
        <w:rPr>
          <w:rFonts w:cs="Times New Roman"/>
          <w:color w:val="222222"/>
          <w:shd w:val="clear" w:color="auto" w:fill="FFFFFF"/>
        </w:rPr>
        <w:t xml:space="preserve"> </w:t>
      </w:r>
    </w:p>
    <w:p w14:paraId="3C6182D0" w14:textId="77777777" w:rsidR="00046137" w:rsidRPr="00B9633D" w:rsidRDefault="00046137" w:rsidP="00046137">
      <w:pPr>
        <w:ind w:left="709" w:hanging="709"/>
        <w:rPr>
          <w:rFonts w:cs="Times New Roman"/>
          <w:color w:val="EE0000"/>
        </w:rPr>
      </w:pPr>
      <w:r w:rsidRPr="00B9633D">
        <w:rPr>
          <w:rFonts w:cs="Times New Roman"/>
          <w:color w:val="222222"/>
          <w:shd w:val="clear" w:color="auto" w:fill="FFFFFF"/>
        </w:rPr>
        <w:t>Rosa Leal, M. E. D. L. (2021). El enfoque de sostenibilidad en las teorías organizacionales. </w:t>
      </w:r>
      <w:r w:rsidRPr="00B9633D">
        <w:rPr>
          <w:rFonts w:cs="Times New Roman"/>
          <w:i/>
          <w:iCs/>
          <w:color w:val="222222"/>
          <w:shd w:val="clear" w:color="auto" w:fill="FFFFFF"/>
        </w:rPr>
        <w:t>Trascender, contabilidad y gestión</w:t>
      </w:r>
      <w:r w:rsidRPr="00B9633D">
        <w:rPr>
          <w:rFonts w:cs="Times New Roman"/>
          <w:color w:val="222222"/>
          <w:shd w:val="clear" w:color="auto" w:fill="FFFFFF"/>
        </w:rPr>
        <w:t>, </w:t>
      </w:r>
      <w:r w:rsidRPr="00B9633D">
        <w:rPr>
          <w:rFonts w:cs="Times New Roman"/>
          <w:i/>
          <w:iCs/>
          <w:color w:val="222222"/>
          <w:shd w:val="clear" w:color="auto" w:fill="FFFFFF"/>
        </w:rPr>
        <w:t>6</w:t>
      </w:r>
      <w:r w:rsidRPr="00B9633D">
        <w:rPr>
          <w:rFonts w:cs="Times New Roman"/>
          <w:color w:val="222222"/>
          <w:shd w:val="clear" w:color="auto" w:fill="FFFFFF"/>
        </w:rPr>
        <w:t xml:space="preserve">(17), 87-102. </w:t>
      </w:r>
      <w:hyperlink r:id="rId62" w:history="1">
        <w:r w:rsidRPr="00B9633D">
          <w:rPr>
            <w:rStyle w:val="Hipervnculo"/>
            <w:rFonts w:cs="Times New Roman"/>
            <w:shd w:val="clear" w:color="auto" w:fill="FFFFFF"/>
          </w:rPr>
          <w:t>https://www.scielo.org.mx/scielo.php?pid=S2448-63882021000200087&amp;script=sci_arttext</w:t>
        </w:r>
      </w:hyperlink>
      <w:r w:rsidRPr="00B9633D">
        <w:rPr>
          <w:rFonts w:cs="Times New Roman"/>
          <w:color w:val="222222"/>
          <w:shd w:val="clear" w:color="auto" w:fill="FFFFFF"/>
        </w:rPr>
        <w:t xml:space="preserve"> </w:t>
      </w:r>
    </w:p>
    <w:p w14:paraId="03E44ACB" w14:textId="77777777" w:rsidR="00046137" w:rsidRPr="00B9633D" w:rsidRDefault="00046137" w:rsidP="00046137">
      <w:pPr>
        <w:ind w:left="709" w:hanging="709"/>
        <w:rPr>
          <w:rFonts w:cs="Times New Roman"/>
          <w:color w:val="EE0000"/>
        </w:rPr>
      </w:pPr>
      <w:r w:rsidRPr="00B9633D">
        <w:rPr>
          <w:rFonts w:cs="Times New Roman"/>
        </w:rPr>
        <w:lastRenderedPageBreak/>
        <w:t xml:space="preserve">Sachs, J. D. (2015). </w:t>
      </w:r>
      <w:r w:rsidRPr="00B9633D">
        <w:rPr>
          <w:rFonts w:cs="Times New Roman"/>
          <w:i/>
          <w:iCs/>
        </w:rPr>
        <w:t>La era del desarrollo sostenible</w:t>
      </w:r>
      <w:r w:rsidRPr="00B9633D">
        <w:rPr>
          <w:rFonts w:cs="Times New Roman"/>
        </w:rPr>
        <w:t xml:space="preserve">. Ediciones Deusto. </w:t>
      </w:r>
    </w:p>
    <w:p w14:paraId="6816106E" w14:textId="77777777" w:rsidR="00046137" w:rsidRPr="00A432B9" w:rsidRDefault="00046137" w:rsidP="00046137">
      <w:pPr>
        <w:ind w:left="709" w:hanging="709"/>
        <w:rPr>
          <w:rFonts w:cs="Times New Roman"/>
          <w:lang w:val="en-US"/>
        </w:rPr>
      </w:pPr>
      <w:r w:rsidRPr="00B9633D">
        <w:rPr>
          <w:rFonts w:cs="Times New Roman"/>
        </w:rPr>
        <w:t xml:space="preserve">Salas, E., Tannenbaum, S. I., &amp; </w:t>
      </w:r>
      <w:proofErr w:type="spellStart"/>
      <w:r w:rsidRPr="00B9633D">
        <w:rPr>
          <w:rFonts w:cs="Times New Roman"/>
        </w:rPr>
        <w:t>Kraiger</w:t>
      </w:r>
      <w:proofErr w:type="spellEnd"/>
      <w:r w:rsidRPr="00B9633D">
        <w:rPr>
          <w:rFonts w:cs="Times New Roman"/>
        </w:rPr>
        <w:t xml:space="preserve">, K. (2012). </w:t>
      </w:r>
      <w:r w:rsidRPr="00A432B9">
        <w:rPr>
          <w:rFonts w:cs="Times New Roman"/>
          <w:lang w:val="en-US"/>
        </w:rPr>
        <w:t xml:space="preserve">The science of training and development: A guide to the literature. </w:t>
      </w:r>
      <w:r w:rsidRPr="00A432B9">
        <w:rPr>
          <w:rFonts w:cs="Times New Roman"/>
          <w:i/>
          <w:iCs/>
          <w:lang w:val="en-US"/>
        </w:rPr>
        <w:t>Annual Review of Psychology</w:t>
      </w:r>
      <w:r w:rsidRPr="00A432B9">
        <w:rPr>
          <w:rFonts w:cs="Times New Roman"/>
          <w:lang w:val="en-US"/>
        </w:rPr>
        <w:t xml:space="preserve">, </w:t>
      </w:r>
      <w:r w:rsidRPr="00A432B9">
        <w:rPr>
          <w:rFonts w:cs="Times New Roman"/>
          <w:i/>
          <w:iCs/>
          <w:lang w:val="en-US"/>
        </w:rPr>
        <w:t>63</w:t>
      </w:r>
      <w:r w:rsidRPr="00A432B9">
        <w:rPr>
          <w:rFonts w:cs="Times New Roman"/>
          <w:lang w:val="en-US"/>
        </w:rPr>
        <w:t xml:space="preserve">, 101–125. </w:t>
      </w:r>
      <w:hyperlink r:id="rId63" w:history="1">
        <w:r w:rsidRPr="00A432B9">
          <w:rPr>
            <w:rStyle w:val="Hipervnculo"/>
            <w:rFonts w:cs="Times New Roman"/>
            <w:lang w:val="en-US"/>
          </w:rPr>
          <w:t>https://journals.sagepub.com/doi/10.1177/1529100612436661</w:t>
        </w:r>
      </w:hyperlink>
      <w:r w:rsidRPr="00A432B9">
        <w:rPr>
          <w:rFonts w:cs="Times New Roman"/>
          <w:lang w:val="en-US"/>
        </w:rPr>
        <w:t xml:space="preserve"> </w:t>
      </w:r>
    </w:p>
    <w:p w14:paraId="31813F20" w14:textId="77777777" w:rsidR="00046137" w:rsidRPr="00B9633D" w:rsidRDefault="00046137" w:rsidP="00046137">
      <w:pPr>
        <w:ind w:left="709" w:hanging="709"/>
        <w:rPr>
          <w:rFonts w:cs="Times New Roman"/>
        </w:rPr>
      </w:pPr>
      <w:r w:rsidRPr="00A432B9">
        <w:rPr>
          <w:rFonts w:cs="Times New Roman"/>
          <w:lang w:val="en-US"/>
        </w:rPr>
        <w:t xml:space="preserve">Schein, E. H. (2010). </w:t>
      </w:r>
      <w:r w:rsidRPr="00A432B9">
        <w:rPr>
          <w:rFonts w:cs="Times New Roman"/>
          <w:i/>
          <w:iCs/>
          <w:lang w:val="en-US"/>
        </w:rPr>
        <w:t>Organizational culture and leadership</w:t>
      </w:r>
      <w:r w:rsidRPr="00A432B9">
        <w:rPr>
          <w:rFonts w:cs="Times New Roman"/>
          <w:lang w:val="en-US"/>
        </w:rPr>
        <w:t xml:space="preserve">. Jossey-Bass. </w:t>
      </w:r>
      <w:hyperlink r:id="rId64" w:history="1">
        <w:r w:rsidRPr="00B9633D">
          <w:rPr>
            <w:rStyle w:val="Hipervnculo"/>
            <w:rFonts w:cs="Times New Roman"/>
          </w:rPr>
          <w:t>https://ia800805.us.archive.org/9/items/EdgarHScheinOrganizationalCultureAndLeadership/Edgar_H_Schein_Organizational_culture_and_leadership.pdf?utm_source</w:t>
        </w:r>
      </w:hyperlink>
      <w:r w:rsidRPr="00B9633D">
        <w:rPr>
          <w:rFonts w:cs="Times New Roman"/>
        </w:rPr>
        <w:t xml:space="preserve"> </w:t>
      </w:r>
    </w:p>
    <w:p w14:paraId="465F8F6F" w14:textId="77777777" w:rsidR="00046137" w:rsidRPr="00A432B9" w:rsidRDefault="00046137" w:rsidP="00046137">
      <w:pPr>
        <w:ind w:left="709" w:hanging="709"/>
        <w:rPr>
          <w:rFonts w:cs="Times New Roman"/>
          <w:lang w:val="en-US"/>
        </w:rPr>
      </w:pPr>
      <w:r w:rsidRPr="00A432B9">
        <w:rPr>
          <w:rFonts w:cs="Times New Roman"/>
          <w:lang w:val="en-US"/>
        </w:rPr>
        <w:t xml:space="preserve">Sen, A. (1999). </w:t>
      </w:r>
      <w:r w:rsidRPr="00A432B9">
        <w:rPr>
          <w:rFonts w:cs="Times New Roman"/>
          <w:i/>
          <w:iCs/>
          <w:lang w:val="en-US"/>
        </w:rPr>
        <w:t>Development as freedom</w:t>
      </w:r>
      <w:r w:rsidRPr="00A432B9">
        <w:rPr>
          <w:rFonts w:cs="Times New Roman"/>
          <w:lang w:val="en-US"/>
        </w:rPr>
        <w:t xml:space="preserve">. Knopf. </w:t>
      </w:r>
      <w:hyperlink r:id="rId65" w:history="1">
        <w:r w:rsidRPr="00A432B9">
          <w:rPr>
            <w:rStyle w:val="Hipervnculo"/>
            <w:rFonts w:cs="Times New Roman"/>
            <w:lang w:val="en-US"/>
          </w:rPr>
          <w:t>https://dpp2014.wordpress.com/wp-content/uploads/2014/06/developmentasfreedomintronch1new-c-2.pdf?utm_source</w:t>
        </w:r>
      </w:hyperlink>
      <w:r w:rsidRPr="00A432B9">
        <w:rPr>
          <w:rFonts w:cs="Times New Roman"/>
          <w:lang w:val="en-US"/>
        </w:rPr>
        <w:t xml:space="preserve"> </w:t>
      </w:r>
    </w:p>
    <w:p w14:paraId="5B0E62E0" w14:textId="77777777" w:rsidR="00046137" w:rsidRPr="00A432B9" w:rsidRDefault="00046137" w:rsidP="00046137">
      <w:pPr>
        <w:ind w:left="709" w:hanging="709"/>
        <w:rPr>
          <w:rFonts w:cs="Times New Roman"/>
          <w:color w:val="EE0000"/>
          <w:lang w:val="en-US"/>
        </w:rPr>
      </w:pPr>
      <w:proofErr w:type="spellStart"/>
      <w:r w:rsidRPr="00A432B9">
        <w:rPr>
          <w:rFonts w:cs="Times New Roman"/>
          <w:lang w:val="en-US"/>
        </w:rPr>
        <w:t>Šlaus</w:t>
      </w:r>
      <w:proofErr w:type="spellEnd"/>
      <w:r w:rsidRPr="00A432B9">
        <w:rPr>
          <w:rFonts w:cs="Times New Roman"/>
          <w:lang w:val="en-US"/>
        </w:rPr>
        <w:t xml:space="preserve">, I., &amp; Jacobs, G. (2011). Human capital and sustainability: A global perspective. </w:t>
      </w:r>
      <w:r w:rsidRPr="00A432B9">
        <w:rPr>
          <w:rFonts w:cs="Times New Roman"/>
          <w:i/>
          <w:iCs/>
          <w:lang w:val="en-US"/>
        </w:rPr>
        <w:t>World Academy of Science, Engineering and Technology</w:t>
      </w:r>
      <w:r w:rsidRPr="00A432B9">
        <w:rPr>
          <w:rFonts w:cs="Times New Roman"/>
          <w:lang w:val="en-US"/>
        </w:rPr>
        <w:t xml:space="preserve">, </w:t>
      </w:r>
      <w:hyperlink r:id="rId66" w:history="1">
        <w:r w:rsidRPr="00A432B9">
          <w:rPr>
            <w:rStyle w:val="Hipervnculo"/>
            <w:rFonts w:cs="Times New Roman"/>
            <w:lang w:val="en-US"/>
          </w:rPr>
          <w:t>https://www.mdpi.com/2071-1050/3/1/97</w:t>
        </w:r>
      </w:hyperlink>
      <w:r w:rsidRPr="00A432B9">
        <w:rPr>
          <w:rFonts w:cs="Times New Roman"/>
          <w:color w:val="EE0000"/>
          <w:lang w:val="en-US"/>
        </w:rPr>
        <w:t xml:space="preserve"> </w:t>
      </w:r>
    </w:p>
    <w:p w14:paraId="51F40523" w14:textId="77777777" w:rsidR="00046137" w:rsidRPr="00A432B9" w:rsidRDefault="00046137" w:rsidP="00046137">
      <w:pPr>
        <w:ind w:left="709" w:hanging="709"/>
        <w:rPr>
          <w:rFonts w:cs="Times New Roman"/>
          <w:lang w:val="en-US"/>
        </w:rPr>
      </w:pPr>
      <w:r w:rsidRPr="00A432B9">
        <w:rPr>
          <w:rFonts w:cs="Times New Roman"/>
          <w:lang w:val="en-US"/>
        </w:rPr>
        <w:t xml:space="preserve">Suchman, M. (1995). Managing legitimacy: Strategic and institutional approaches. </w:t>
      </w:r>
      <w:r w:rsidRPr="00A432B9">
        <w:rPr>
          <w:rFonts w:cs="Times New Roman"/>
          <w:i/>
          <w:iCs/>
          <w:lang w:val="en-US"/>
        </w:rPr>
        <w:t>Academy of Management Review, 20</w:t>
      </w:r>
      <w:r w:rsidRPr="00A432B9">
        <w:rPr>
          <w:rFonts w:cs="Times New Roman"/>
          <w:lang w:val="en-US"/>
        </w:rPr>
        <w:t xml:space="preserve">(3), 571–610. </w:t>
      </w:r>
      <w:hyperlink r:id="rId67" w:history="1">
        <w:r w:rsidRPr="00A432B9">
          <w:rPr>
            <w:rStyle w:val="Hipervnculo"/>
            <w:rFonts w:cs="Times New Roman"/>
            <w:lang w:val="en-US"/>
          </w:rPr>
          <w:t>https://www.jstor.org/stable/258788?utm_source</w:t>
        </w:r>
      </w:hyperlink>
      <w:r w:rsidRPr="00A432B9">
        <w:rPr>
          <w:rFonts w:cs="Times New Roman"/>
          <w:lang w:val="en-US"/>
        </w:rPr>
        <w:t xml:space="preserve"> </w:t>
      </w:r>
    </w:p>
    <w:p w14:paraId="197600C9" w14:textId="77777777" w:rsidR="00046137" w:rsidRPr="00A432B9" w:rsidRDefault="00046137" w:rsidP="00046137">
      <w:pPr>
        <w:ind w:left="709" w:hanging="709"/>
        <w:rPr>
          <w:rFonts w:cs="Times New Roman"/>
          <w:lang w:val="en-US"/>
        </w:rPr>
      </w:pPr>
      <w:r w:rsidRPr="00A432B9">
        <w:rPr>
          <w:rFonts w:cs="Times New Roman"/>
          <w:lang w:val="en-US"/>
        </w:rPr>
        <w:t xml:space="preserve">Swanson, R. A., &amp; Holton, E. F. (2001). </w:t>
      </w:r>
      <w:r w:rsidRPr="00A432B9">
        <w:rPr>
          <w:rFonts w:cs="Times New Roman"/>
          <w:i/>
          <w:iCs/>
          <w:lang w:val="en-US"/>
        </w:rPr>
        <w:t>Foundations of human resource development</w:t>
      </w:r>
      <w:r w:rsidRPr="00A432B9">
        <w:rPr>
          <w:rFonts w:cs="Times New Roman"/>
          <w:lang w:val="en-US"/>
        </w:rPr>
        <w:t xml:space="preserve">. Berrett-Koehler Publishers. </w:t>
      </w:r>
      <w:hyperlink r:id="rId68" w:history="1">
        <w:r w:rsidRPr="00A432B9">
          <w:rPr>
            <w:rStyle w:val="Hipervnculo"/>
            <w:rFonts w:cs="Times New Roman"/>
            <w:lang w:val="en-US"/>
          </w:rPr>
          <w:t>https://lsms.ac/wp-content/uploads/2023/02/18.pdf</w:t>
        </w:r>
      </w:hyperlink>
      <w:r w:rsidRPr="00A432B9">
        <w:rPr>
          <w:rFonts w:cs="Times New Roman"/>
          <w:lang w:val="en-US"/>
        </w:rPr>
        <w:t xml:space="preserve"> </w:t>
      </w:r>
    </w:p>
    <w:p w14:paraId="5F08D62A" w14:textId="77777777" w:rsidR="00046137" w:rsidRPr="00A432B9" w:rsidRDefault="00046137" w:rsidP="00046137">
      <w:pPr>
        <w:ind w:left="709" w:hanging="709"/>
        <w:rPr>
          <w:rFonts w:cs="Times New Roman"/>
          <w:lang w:val="en-US"/>
        </w:rPr>
      </w:pPr>
      <w:r w:rsidRPr="00A432B9">
        <w:rPr>
          <w:rFonts w:cs="Times New Roman"/>
          <w:lang w:val="en-US"/>
        </w:rPr>
        <w:t xml:space="preserve">United Nations Development </w:t>
      </w:r>
      <w:proofErr w:type="spellStart"/>
      <w:r w:rsidRPr="00A432B9">
        <w:rPr>
          <w:rFonts w:cs="Times New Roman"/>
          <w:lang w:val="en-US"/>
        </w:rPr>
        <w:t>Programme</w:t>
      </w:r>
      <w:proofErr w:type="spellEnd"/>
      <w:r w:rsidRPr="00A432B9">
        <w:rPr>
          <w:rFonts w:cs="Times New Roman"/>
          <w:lang w:val="en-US"/>
        </w:rPr>
        <w:t xml:space="preserve"> (UNDP). (2022). </w:t>
      </w:r>
      <w:r w:rsidRPr="00A432B9">
        <w:rPr>
          <w:rFonts w:cs="Times New Roman"/>
          <w:i/>
          <w:iCs/>
          <w:lang w:val="en-US"/>
        </w:rPr>
        <w:t>Human Development Report 2021/2022: Uncertain times, unsettled lives — Shaping our future in a transforming world</w:t>
      </w:r>
      <w:r w:rsidRPr="00A432B9">
        <w:rPr>
          <w:rFonts w:cs="Times New Roman"/>
          <w:lang w:val="en-US"/>
        </w:rPr>
        <w:t xml:space="preserve">. United Nations Development </w:t>
      </w:r>
      <w:proofErr w:type="spellStart"/>
      <w:r w:rsidRPr="00A432B9">
        <w:rPr>
          <w:rFonts w:cs="Times New Roman"/>
          <w:lang w:val="en-US"/>
        </w:rPr>
        <w:t>Programme</w:t>
      </w:r>
      <w:proofErr w:type="spellEnd"/>
      <w:r w:rsidRPr="00A432B9">
        <w:rPr>
          <w:rFonts w:cs="Times New Roman"/>
          <w:lang w:val="en-US"/>
        </w:rPr>
        <w:t xml:space="preserve">. </w:t>
      </w:r>
      <w:hyperlink r:id="rId69" w:history="1">
        <w:r w:rsidRPr="00A432B9">
          <w:rPr>
            <w:rStyle w:val="Hipervnculo"/>
            <w:rFonts w:cs="Times New Roman"/>
            <w:lang w:val="en-US"/>
          </w:rPr>
          <w:t>https://hdr.undp.org/content/human-development-report-2021-22</w:t>
        </w:r>
      </w:hyperlink>
      <w:r w:rsidRPr="00A432B9">
        <w:rPr>
          <w:rFonts w:cs="Times New Roman"/>
          <w:lang w:val="en-US"/>
        </w:rPr>
        <w:t xml:space="preserve"> </w:t>
      </w:r>
    </w:p>
    <w:p w14:paraId="710CFD78" w14:textId="77777777" w:rsidR="00046137" w:rsidRPr="00A432B9" w:rsidRDefault="00046137" w:rsidP="00046137">
      <w:pPr>
        <w:ind w:left="709" w:hanging="709"/>
        <w:rPr>
          <w:rFonts w:cs="Times New Roman"/>
          <w:color w:val="EE0000"/>
          <w:lang w:val="en-US"/>
        </w:rPr>
      </w:pPr>
      <w:r w:rsidRPr="00A432B9">
        <w:rPr>
          <w:rFonts w:cs="Times New Roman"/>
          <w:lang w:val="en-US"/>
        </w:rPr>
        <w:t xml:space="preserve">United Nations Development </w:t>
      </w:r>
      <w:proofErr w:type="spellStart"/>
      <w:r w:rsidRPr="00A432B9">
        <w:rPr>
          <w:rFonts w:cs="Times New Roman"/>
          <w:lang w:val="en-US"/>
        </w:rPr>
        <w:t>Programme</w:t>
      </w:r>
      <w:proofErr w:type="spellEnd"/>
      <w:r w:rsidRPr="00A432B9">
        <w:rPr>
          <w:rFonts w:cs="Times New Roman"/>
          <w:lang w:val="en-US"/>
        </w:rPr>
        <w:t xml:space="preserve">. (2023). </w:t>
      </w:r>
      <w:r w:rsidRPr="00A432B9">
        <w:rPr>
          <w:rFonts w:cs="Times New Roman"/>
          <w:i/>
          <w:iCs/>
          <w:lang w:val="en-US"/>
        </w:rPr>
        <w:t xml:space="preserve">Informe </w:t>
      </w:r>
      <w:proofErr w:type="spellStart"/>
      <w:r w:rsidRPr="00A432B9">
        <w:rPr>
          <w:rFonts w:cs="Times New Roman"/>
          <w:i/>
          <w:iCs/>
          <w:lang w:val="en-US"/>
        </w:rPr>
        <w:t>anual</w:t>
      </w:r>
      <w:proofErr w:type="spellEnd"/>
      <w:r w:rsidRPr="00A432B9">
        <w:rPr>
          <w:rFonts w:cs="Times New Roman"/>
          <w:i/>
          <w:iCs/>
          <w:lang w:val="en-US"/>
        </w:rPr>
        <w:t xml:space="preserve"> 2023</w:t>
      </w:r>
      <w:r w:rsidRPr="00A432B9">
        <w:rPr>
          <w:rFonts w:cs="Times New Roman"/>
          <w:lang w:val="en-US"/>
        </w:rPr>
        <w:t xml:space="preserve">. United Nations Development </w:t>
      </w:r>
      <w:proofErr w:type="spellStart"/>
      <w:r w:rsidRPr="00A432B9">
        <w:rPr>
          <w:rFonts w:cs="Times New Roman"/>
          <w:lang w:val="en-US"/>
        </w:rPr>
        <w:t>Programme</w:t>
      </w:r>
      <w:proofErr w:type="spellEnd"/>
      <w:r w:rsidRPr="00A432B9">
        <w:rPr>
          <w:rFonts w:cs="Times New Roman"/>
          <w:color w:val="EE0000"/>
          <w:lang w:val="en-US"/>
        </w:rPr>
        <w:t xml:space="preserve">. </w:t>
      </w:r>
      <w:hyperlink r:id="rId70" w:tgtFrame="_new" w:history="1">
        <w:r w:rsidRPr="00A432B9">
          <w:rPr>
            <w:rStyle w:val="Hipervnculo"/>
            <w:rFonts w:cs="Times New Roman"/>
            <w:lang w:val="en-US"/>
          </w:rPr>
          <w:t>https://www.undp.org/sites/g/files/zskgke326/files/2024-08/undp_co_pub_informe_anual_pnud_2023.pdf</w:t>
        </w:r>
      </w:hyperlink>
      <w:r w:rsidRPr="00A432B9">
        <w:rPr>
          <w:rFonts w:cs="Times New Roman"/>
          <w:color w:val="EE0000"/>
          <w:lang w:val="en-US"/>
        </w:rPr>
        <w:t xml:space="preserve">  </w:t>
      </w:r>
    </w:p>
    <w:p w14:paraId="1A64DA3C" w14:textId="77777777" w:rsidR="00046137" w:rsidRPr="00A432B9" w:rsidRDefault="00046137" w:rsidP="00046137">
      <w:pPr>
        <w:ind w:left="709" w:hanging="709"/>
        <w:rPr>
          <w:rFonts w:cs="Times New Roman"/>
          <w:lang w:val="en-US"/>
        </w:rPr>
      </w:pPr>
      <w:r w:rsidRPr="00A432B9">
        <w:rPr>
          <w:rFonts w:cs="Times New Roman"/>
          <w:lang w:val="en-US"/>
        </w:rPr>
        <w:t xml:space="preserve">WCED. (1987). </w:t>
      </w:r>
      <w:r w:rsidRPr="00A432B9">
        <w:rPr>
          <w:rFonts w:cs="Times New Roman"/>
          <w:i/>
          <w:iCs/>
          <w:lang w:val="en-US"/>
        </w:rPr>
        <w:t>Our common future</w:t>
      </w:r>
      <w:r w:rsidRPr="00A432B9">
        <w:rPr>
          <w:rFonts w:cs="Times New Roman"/>
          <w:lang w:val="en-US"/>
        </w:rPr>
        <w:t xml:space="preserve">. Oxford University Press. </w:t>
      </w:r>
      <w:hyperlink r:id="rId71" w:history="1">
        <w:r w:rsidRPr="00A432B9">
          <w:rPr>
            <w:rStyle w:val="Hipervnculo"/>
            <w:rFonts w:cs="Times New Roman"/>
            <w:lang w:val="en-US"/>
          </w:rPr>
          <w:t>https://biblio.flacsoandes.edu.ec/libros/digital/58701.pdf?utm_source</w:t>
        </w:r>
      </w:hyperlink>
      <w:r w:rsidRPr="00A432B9">
        <w:rPr>
          <w:rFonts w:cs="Times New Roman"/>
          <w:lang w:val="en-US"/>
        </w:rPr>
        <w:t xml:space="preserve"> </w:t>
      </w:r>
    </w:p>
    <w:p w14:paraId="4636E962" w14:textId="2A14EA2B" w:rsidR="00C727EA" w:rsidRPr="00241FB2" w:rsidRDefault="00046137" w:rsidP="00046137">
      <w:pPr>
        <w:ind w:left="709" w:hanging="709"/>
        <w:rPr>
          <w:rFonts w:cs="Times New Roman"/>
          <w:szCs w:val="24"/>
        </w:rPr>
      </w:pPr>
      <w:r w:rsidRPr="00A432B9">
        <w:rPr>
          <w:rFonts w:cs="Times New Roman"/>
          <w:lang w:val="en-US"/>
        </w:rPr>
        <w:t xml:space="preserve">Wright, P. M., &amp; McMahan, G. C. (2011). </w:t>
      </w:r>
      <w:hyperlink r:id="rId72" w:history="1">
        <w:r w:rsidRPr="00A432B9">
          <w:rPr>
            <w:rFonts w:cs="Times New Roman"/>
            <w:lang w:val="en-US"/>
          </w:rPr>
          <w:t>Exploring human capital: putting ‘human’back into strategic human resource management</w:t>
        </w:r>
      </w:hyperlink>
      <w:r w:rsidRPr="00A432B9">
        <w:rPr>
          <w:rFonts w:cs="Times New Roman"/>
          <w:lang w:val="en-US"/>
        </w:rPr>
        <w:t xml:space="preserve"> </w:t>
      </w:r>
      <w:hyperlink r:id="rId73" w:history="1">
        <w:r w:rsidRPr="00A432B9">
          <w:rPr>
            <w:rStyle w:val="Hipervnculo"/>
            <w:rFonts w:cs="Times New Roman"/>
            <w:lang w:val="en-US"/>
          </w:rPr>
          <w:t>https://scholar.google.com/citations?view_op=view_citation&amp;hl=es&amp;user=46dPChkAAAAJ&amp;citation_for_view=46dPChkAAAAJ:isC4tDSrTZIC</w:t>
        </w:r>
      </w:hyperlink>
    </w:p>
    <w:p w14:paraId="58D4DBE6" w14:textId="3E3BD721" w:rsidR="001E65B5" w:rsidRDefault="001E65B5">
      <w:pPr>
        <w:spacing w:after="160" w:line="259" w:lineRule="auto"/>
        <w:jc w:val="left"/>
        <w:rPr>
          <w:b/>
        </w:rPr>
      </w:pPr>
      <w:bookmarkStart w:id="21" w:name="_Toc440985144"/>
      <w:bookmarkEnd w:id="21"/>
    </w:p>
    <w:sectPr w:rsidR="001E65B5" w:rsidSect="00667840">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5CD55" w14:textId="77777777" w:rsidR="006E7320" w:rsidRDefault="006E7320" w:rsidP="00237190">
      <w:pPr>
        <w:spacing w:line="240" w:lineRule="auto"/>
      </w:pPr>
      <w:r>
        <w:separator/>
      </w:r>
    </w:p>
  </w:endnote>
  <w:endnote w:type="continuationSeparator" w:id="0">
    <w:p w14:paraId="08B07217" w14:textId="77777777" w:rsidR="006E7320" w:rsidRDefault="006E7320" w:rsidP="00237190">
      <w:pPr>
        <w:spacing w:line="240" w:lineRule="auto"/>
      </w:pPr>
      <w:r>
        <w:continuationSeparator/>
      </w:r>
    </w:p>
  </w:endnote>
  <w:endnote w:type="continuationNotice" w:id="1">
    <w:p w14:paraId="7A558EE2" w14:textId="77777777" w:rsidR="006E7320" w:rsidRDefault="006E732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53FD58" w14:textId="77777777" w:rsidR="006E7320" w:rsidRDefault="006E7320" w:rsidP="00237190">
      <w:pPr>
        <w:spacing w:line="240" w:lineRule="auto"/>
      </w:pPr>
      <w:r>
        <w:separator/>
      </w:r>
    </w:p>
  </w:footnote>
  <w:footnote w:type="continuationSeparator" w:id="0">
    <w:p w14:paraId="18B112D5" w14:textId="77777777" w:rsidR="006E7320" w:rsidRDefault="006E7320" w:rsidP="00237190">
      <w:pPr>
        <w:spacing w:line="240" w:lineRule="auto"/>
      </w:pPr>
      <w:r>
        <w:continuationSeparator/>
      </w:r>
    </w:p>
  </w:footnote>
  <w:footnote w:type="continuationNotice" w:id="1">
    <w:p w14:paraId="297239D4" w14:textId="77777777" w:rsidR="006E7320" w:rsidRDefault="006E7320">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7"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75550117">
    <w:abstractNumId w:val="4"/>
  </w:num>
  <w:num w:numId="2" w16cid:durableId="743406959">
    <w:abstractNumId w:val="5"/>
  </w:num>
  <w:num w:numId="3" w16cid:durableId="1382561465">
    <w:abstractNumId w:val="7"/>
  </w:num>
  <w:num w:numId="4" w16cid:durableId="769205034">
    <w:abstractNumId w:val="0"/>
  </w:num>
  <w:num w:numId="5" w16cid:durableId="299651937">
    <w:abstractNumId w:val="1"/>
  </w:num>
  <w:num w:numId="6" w16cid:durableId="850878686">
    <w:abstractNumId w:val="6"/>
  </w:num>
  <w:num w:numId="7" w16cid:durableId="1576012074">
    <w:abstractNumId w:val="2"/>
  </w:num>
  <w:num w:numId="8" w16cid:durableId="990714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3B0A"/>
    <w:rsid w:val="0001409B"/>
    <w:rsid w:val="00022EFF"/>
    <w:rsid w:val="000259D9"/>
    <w:rsid w:val="00027630"/>
    <w:rsid w:val="00030306"/>
    <w:rsid w:val="0003149E"/>
    <w:rsid w:val="000351B3"/>
    <w:rsid w:val="0004114F"/>
    <w:rsid w:val="00044274"/>
    <w:rsid w:val="00046137"/>
    <w:rsid w:val="00051410"/>
    <w:rsid w:val="000528EA"/>
    <w:rsid w:val="0005312B"/>
    <w:rsid w:val="00053673"/>
    <w:rsid w:val="00061AA8"/>
    <w:rsid w:val="000636C1"/>
    <w:rsid w:val="000650D9"/>
    <w:rsid w:val="000710A5"/>
    <w:rsid w:val="00071476"/>
    <w:rsid w:val="0007354F"/>
    <w:rsid w:val="000739FE"/>
    <w:rsid w:val="00074C3E"/>
    <w:rsid w:val="00083434"/>
    <w:rsid w:val="0008571F"/>
    <w:rsid w:val="0008704D"/>
    <w:rsid w:val="000878F1"/>
    <w:rsid w:val="000902B4"/>
    <w:rsid w:val="000903E4"/>
    <w:rsid w:val="000935C0"/>
    <w:rsid w:val="00093D32"/>
    <w:rsid w:val="00093EA0"/>
    <w:rsid w:val="00094584"/>
    <w:rsid w:val="00095D9F"/>
    <w:rsid w:val="000964F3"/>
    <w:rsid w:val="000A067E"/>
    <w:rsid w:val="000A7240"/>
    <w:rsid w:val="000B22B3"/>
    <w:rsid w:val="000B235B"/>
    <w:rsid w:val="000C1B51"/>
    <w:rsid w:val="000C43D5"/>
    <w:rsid w:val="000C6A97"/>
    <w:rsid w:val="000C6FE5"/>
    <w:rsid w:val="000D0D5C"/>
    <w:rsid w:val="000D2C76"/>
    <w:rsid w:val="000D3AFF"/>
    <w:rsid w:val="000D4CC8"/>
    <w:rsid w:val="000D7F14"/>
    <w:rsid w:val="000E1C91"/>
    <w:rsid w:val="000E31A7"/>
    <w:rsid w:val="000E4177"/>
    <w:rsid w:val="000E5422"/>
    <w:rsid w:val="000E6C6F"/>
    <w:rsid w:val="000F58CC"/>
    <w:rsid w:val="000F796B"/>
    <w:rsid w:val="000F7D39"/>
    <w:rsid w:val="0010029D"/>
    <w:rsid w:val="0010117D"/>
    <w:rsid w:val="00101988"/>
    <w:rsid w:val="00104841"/>
    <w:rsid w:val="001061D1"/>
    <w:rsid w:val="0010663A"/>
    <w:rsid w:val="00113987"/>
    <w:rsid w:val="00113FB6"/>
    <w:rsid w:val="001150D2"/>
    <w:rsid w:val="0012040D"/>
    <w:rsid w:val="00120AFD"/>
    <w:rsid w:val="00121184"/>
    <w:rsid w:val="001237D0"/>
    <w:rsid w:val="001242B7"/>
    <w:rsid w:val="001248E7"/>
    <w:rsid w:val="00124BB6"/>
    <w:rsid w:val="001277A1"/>
    <w:rsid w:val="001279DF"/>
    <w:rsid w:val="00130F60"/>
    <w:rsid w:val="001324D0"/>
    <w:rsid w:val="001327D7"/>
    <w:rsid w:val="001338F8"/>
    <w:rsid w:val="001373C8"/>
    <w:rsid w:val="0013798E"/>
    <w:rsid w:val="0014678B"/>
    <w:rsid w:val="00147259"/>
    <w:rsid w:val="00147A96"/>
    <w:rsid w:val="00152400"/>
    <w:rsid w:val="00153DE2"/>
    <w:rsid w:val="001559D5"/>
    <w:rsid w:val="00155B36"/>
    <w:rsid w:val="00155E7B"/>
    <w:rsid w:val="00157EC1"/>
    <w:rsid w:val="0016108F"/>
    <w:rsid w:val="001612A8"/>
    <w:rsid w:val="00161731"/>
    <w:rsid w:val="0016280A"/>
    <w:rsid w:val="00164696"/>
    <w:rsid w:val="0017231B"/>
    <w:rsid w:val="00173AE4"/>
    <w:rsid w:val="00174087"/>
    <w:rsid w:val="0017465E"/>
    <w:rsid w:val="00176E92"/>
    <w:rsid w:val="0018204C"/>
    <w:rsid w:val="001829F9"/>
    <w:rsid w:val="00184991"/>
    <w:rsid w:val="001A0243"/>
    <w:rsid w:val="001A0EB1"/>
    <w:rsid w:val="001A789E"/>
    <w:rsid w:val="001B008E"/>
    <w:rsid w:val="001B1789"/>
    <w:rsid w:val="001B53A9"/>
    <w:rsid w:val="001B6109"/>
    <w:rsid w:val="001B6421"/>
    <w:rsid w:val="001B7AA1"/>
    <w:rsid w:val="001C005F"/>
    <w:rsid w:val="001C283E"/>
    <w:rsid w:val="001C5495"/>
    <w:rsid w:val="001C5E73"/>
    <w:rsid w:val="001C6876"/>
    <w:rsid w:val="001D0F34"/>
    <w:rsid w:val="001D2107"/>
    <w:rsid w:val="001D3398"/>
    <w:rsid w:val="001E50F7"/>
    <w:rsid w:val="001E65B5"/>
    <w:rsid w:val="001E67AA"/>
    <w:rsid w:val="001F154E"/>
    <w:rsid w:val="001F5704"/>
    <w:rsid w:val="001F5D16"/>
    <w:rsid w:val="001F6B3F"/>
    <w:rsid w:val="0020053C"/>
    <w:rsid w:val="00202B75"/>
    <w:rsid w:val="00203357"/>
    <w:rsid w:val="00210009"/>
    <w:rsid w:val="0021027B"/>
    <w:rsid w:val="002146FB"/>
    <w:rsid w:val="0021571A"/>
    <w:rsid w:val="00216165"/>
    <w:rsid w:val="00217733"/>
    <w:rsid w:val="00222D82"/>
    <w:rsid w:val="00225612"/>
    <w:rsid w:val="00227980"/>
    <w:rsid w:val="0023065C"/>
    <w:rsid w:val="00235563"/>
    <w:rsid w:val="00236943"/>
    <w:rsid w:val="00237190"/>
    <w:rsid w:val="00240623"/>
    <w:rsid w:val="00240E03"/>
    <w:rsid w:val="00241441"/>
    <w:rsid w:val="00242DF8"/>
    <w:rsid w:val="00244BD9"/>
    <w:rsid w:val="0024756D"/>
    <w:rsid w:val="0025251E"/>
    <w:rsid w:val="00253221"/>
    <w:rsid w:val="00254337"/>
    <w:rsid w:val="0025628D"/>
    <w:rsid w:val="002610D7"/>
    <w:rsid w:val="0026693D"/>
    <w:rsid w:val="0027312B"/>
    <w:rsid w:val="002756AD"/>
    <w:rsid w:val="0027584D"/>
    <w:rsid w:val="00281428"/>
    <w:rsid w:val="00283F63"/>
    <w:rsid w:val="002843F5"/>
    <w:rsid w:val="00290B07"/>
    <w:rsid w:val="00296B9C"/>
    <w:rsid w:val="002A13FF"/>
    <w:rsid w:val="002A331C"/>
    <w:rsid w:val="002A5462"/>
    <w:rsid w:val="002A5F7A"/>
    <w:rsid w:val="002A6CF1"/>
    <w:rsid w:val="002B18E5"/>
    <w:rsid w:val="002B2759"/>
    <w:rsid w:val="002B2CC2"/>
    <w:rsid w:val="002B41A8"/>
    <w:rsid w:val="002C61D4"/>
    <w:rsid w:val="002D72E1"/>
    <w:rsid w:val="002D7383"/>
    <w:rsid w:val="002E03A8"/>
    <w:rsid w:val="002E09A9"/>
    <w:rsid w:val="002E1AC2"/>
    <w:rsid w:val="002E46D0"/>
    <w:rsid w:val="002E63D0"/>
    <w:rsid w:val="002E65F9"/>
    <w:rsid w:val="002E7C36"/>
    <w:rsid w:val="002F0225"/>
    <w:rsid w:val="002F0E2B"/>
    <w:rsid w:val="002F1279"/>
    <w:rsid w:val="002F19DF"/>
    <w:rsid w:val="002F3E39"/>
    <w:rsid w:val="002F4442"/>
    <w:rsid w:val="00303F77"/>
    <w:rsid w:val="003043BD"/>
    <w:rsid w:val="00304E0D"/>
    <w:rsid w:val="00306FFB"/>
    <w:rsid w:val="00310526"/>
    <w:rsid w:val="00310B23"/>
    <w:rsid w:val="00311F3C"/>
    <w:rsid w:val="003143FE"/>
    <w:rsid w:val="0031633B"/>
    <w:rsid w:val="0032340C"/>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65B8"/>
    <w:rsid w:val="003868E9"/>
    <w:rsid w:val="00390E0A"/>
    <w:rsid w:val="00394EE6"/>
    <w:rsid w:val="0039636F"/>
    <w:rsid w:val="003B1E14"/>
    <w:rsid w:val="003B29FC"/>
    <w:rsid w:val="003B40FD"/>
    <w:rsid w:val="003B4309"/>
    <w:rsid w:val="003B614D"/>
    <w:rsid w:val="003B7EB4"/>
    <w:rsid w:val="003C34A7"/>
    <w:rsid w:val="003D06ED"/>
    <w:rsid w:val="003D089B"/>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5169F"/>
    <w:rsid w:val="00451865"/>
    <w:rsid w:val="00460E1C"/>
    <w:rsid w:val="004614F1"/>
    <w:rsid w:val="004706EE"/>
    <w:rsid w:val="0047216F"/>
    <w:rsid w:val="004731F8"/>
    <w:rsid w:val="004761FA"/>
    <w:rsid w:val="00476E60"/>
    <w:rsid w:val="004771CF"/>
    <w:rsid w:val="00480720"/>
    <w:rsid w:val="004817A7"/>
    <w:rsid w:val="00481C70"/>
    <w:rsid w:val="0048246E"/>
    <w:rsid w:val="00483B16"/>
    <w:rsid w:val="0048735A"/>
    <w:rsid w:val="00490DB6"/>
    <w:rsid w:val="004A0BEA"/>
    <w:rsid w:val="004A2428"/>
    <w:rsid w:val="004B0D2A"/>
    <w:rsid w:val="004B2BE2"/>
    <w:rsid w:val="004B4B7A"/>
    <w:rsid w:val="004C101F"/>
    <w:rsid w:val="004C2E32"/>
    <w:rsid w:val="004C332D"/>
    <w:rsid w:val="004C7A6B"/>
    <w:rsid w:val="004D1BEB"/>
    <w:rsid w:val="004D5500"/>
    <w:rsid w:val="004D7BDB"/>
    <w:rsid w:val="004E1517"/>
    <w:rsid w:val="004F14A8"/>
    <w:rsid w:val="004F3286"/>
    <w:rsid w:val="004F3892"/>
    <w:rsid w:val="004F6AC0"/>
    <w:rsid w:val="004F72F2"/>
    <w:rsid w:val="00500C84"/>
    <w:rsid w:val="0050256F"/>
    <w:rsid w:val="00504A94"/>
    <w:rsid w:val="00511434"/>
    <w:rsid w:val="00511890"/>
    <w:rsid w:val="00516B86"/>
    <w:rsid w:val="00516DD4"/>
    <w:rsid w:val="005252DD"/>
    <w:rsid w:val="00525DF7"/>
    <w:rsid w:val="0052785B"/>
    <w:rsid w:val="00527D6D"/>
    <w:rsid w:val="0053059F"/>
    <w:rsid w:val="0053362F"/>
    <w:rsid w:val="005338C3"/>
    <w:rsid w:val="00533F33"/>
    <w:rsid w:val="0053465F"/>
    <w:rsid w:val="00536C6C"/>
    <w:rsid w:val="00537679"/>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F45"/>
    <w:rsid w:val="00575AA9"/>
    <w:rsid w:val="00580937"/>
    <w:rsid w:val="00580BC3"/>
    <w:rsid w:val="005819B9"/>
    <w:rsid w:val="005879DE"/>
    <w:rsid w:val="005935D0"/>
    <w:rsid w:val="00593A4C"/>
    <w:rsid w:val="0059476B"/>
    <w:rsid w:val="00594CB8"/>
    <w:rsid w:val="005A0ED0"/>
    <w:rsid w:val="005A1759"/>
    <w:rsid w:val="005A1E65"/>
    <w:rsid w:val="005A5000"/>
    <w:rsid w:val="005B3182"/>
    <w:rsid w:val="005B4214"/>
    <w:rsid w:val="005B422F"/>
    <w:rsid w:val="005B42FF"/>
    <w:rsid w:val="005C3718"/>
    <w:rsid w:val="005C43FB"/>
    <w:rsid w:val="005C4C21"/>
    <w:rsid w:val="005C608E"/>
    <w:rsid w:val="005D2510"/>
    <w:rsid w:val="005D26C1"/>
    <w:rsid w:val="005D64DD"/>
    <w:rsid w:val="005D694A"/>
    <w:rsid w:val="005E11A9"/>
    <w:rsid w:val="005E11CA"/>
    <w:rsid w:val="005E12C5"/>
    <w:rsid w:val="005E3960"/>
    <w:rsid w:val="005E42EA"/>
    <w:rsid w:val="005E6588"/>
    <w:rsid w:val="005E6C90"/>
    <w:rsid w:val="005F07C5"/>
    <w:rsid w:val="005F5ACE"/>
    <w:rsid w:val="005F635A"/>
    <w:rsid w:val="006006C0"/>
    <w:rsid w:val="0060298E"/>
    <w:rsid w:val="00610462"/>
    <w:rsid w:val="006121A0"/>
    <w:rsid w:val="0061232E"/>
    <w:rsid w:val="00613417"/>
    <w:rsid w:val="006140F3"/>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2F1D"/>
    <w:rsid w:val="0067547D"/>
    <w:rsid w:val="006763AD"/>
    <w:rsid w:val="006763E8"/>
    <w:rsid w:val="006766C0"/>
    <w:rsid w:val="0068033B"/>
    <w:rsid w:val="006859D0"/>
    <w:rsid w:val="00690FEE"/>
    <w:rsid w:val="00691F2C"/>
    <w:rsid w:val="0069209A"/>
    <w:rsid w:val="0069377A"/>
    <w:rsid w:val="00695320"/>
    <w:rsid w:val="006A201C"/>
    <w:rsid w:val="006A3CAF"/>
    <w:rsid w:val="006A47EA"/>
    <w:rsid w:val="006A5082"/>
    <w:rsid w:val="006A59A8"/>
    <w:rsid w:val="006A74C1"/>
    <w:rsid w:val="006A7CE2"/>
    <w:rsid w:val="006B269D"/>
    <w:rsid w:val="006B29B9"/>
    <w:rsid w:val="006B5504"/>
    <w:rsid w:val="006B5611"/>
    <w:rsid w:val="006C17CD"/>
    <w:rsid w:val="006C4903"/>
    <w:rsid w:val="006D0F7C"/>
    <w:rsid w:val="006D11A6"/>
    <w:rsid w:val="006D5DC2"/>
    <w:rsid w:val="006D770A"/>
    <w:rsid w:val="006E305F"/>
    <w:rsid w:val="006E447D"/>
    <w:rsid w:val="006E4583"/>
    <w:rsid w:val="006E6A81"/>
    <w:rsid w:val="006E6D13"/>
    <w:rsid w:val="006E7320"/>
    <w:rsid w:val="006F374E"/>
    <w:rsid w:val="006F5820"/>
    <w:rsid w:val="006F5CF6"/>
    <w:rsid w:val="006F7206"/>
    <w:rsid w:val="007028E1"/>
    <w:rsid w:val="0070701E"/>
    <w:rsid w:val="007122C8"/>
    <w:rsid w:val="00714165"/>
    <w:rsid w:val="00714638"/>
    <w:rsid w:val="00714FE1"/>
    <w:rsid w:val="007178A0"/>
    <w:rsid w:val="00721D63"/>
    <w:rsid w:val="007252FA"/>
    <w:rsid w:val="00732653"/>
    <w:rsid w:val="00734601"/>
    <w:rsid w:val="00740358"/>
    <w:rsid w:val="00740E4C"/>
    <w:rsid w:val="00745904"/>
    <w:rsid w:val="00745C37"/>
    <w:rsid w:val="007460D2"/>
    <w:rsid w:val="00750A21"/>
    <w:rsid w:val="007515B0"/>
    <w:rsid w:val="00751E4F"/>
    <w:rsid w:val="00753BD6"/>
    <w:rsid w:val="007548F9"/>
    <w:rsid w:val="007643F5"/>
    <w:rsid w:val="00765B01"/>
    <w:rsid w:val="00771742"/>
    <w:rsid w:val="00773906"/>
    <w:rsid w:val="007811A7"/>
    <w:rsid w:val="0078131D"/>
    <w:rsid w:val="00781859"/>
    <w:rsid w:val="00781DC0"/>
    <w:rsid w:val="007829D9"/>
    <w:rsid w:val="00784A5D"/>
    <w:rsid w:val="00787165"/>
    <w:rsid w:val="00791A65"/>
    <w:rsid w:val="00791B00"/>
    <w:rsid w:val="007922D7"/>
    <w:rsid w:val="00792650"/>
    <w:rsid w:val="00792C33"/>
    <w:rsid w:val="00792F31"/>
    <w:rsid w:val="007A068F"/>
    <w:rsid w:val="007A48C0"/>
    <w:rsid w:val="007A5118"/>
    <w:rsid w:val="007A71AA"/>
    <w:rsid w:val="007A7E39"/>
    <w:rsid w:val="007A7ED1"/>
    <w:rsid w:val="007B3409"/>
    <w:rsid w:val="007B752A"/>
    <w:rsid w:val="007B798F"/>
    <w:rsid w:val="007C08FA"/>
    <w:rsid w:val="007C77F6"/>
    <w:rsid w:val="007C7D78"/>
    <w:rsid w:val="007D361B"/>
    <w:rsid w:val="007D452C"/>
    <w:rsid w:val="007D5EA4"/>
    <w:rsid w:val="007E22E8"/>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E5B"/>
    <w:rsid w:val="00813886"/>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63E3B"/>
    <w:rsid w:val="008644D8"/>
    <w:rsid w:val="00864B2A"/>
    <w:rsid w:val="00865307"/>
    <w:rsid w:val="008663FA"/>
    <w:rsid w:val="008702B7"/>
    <w:rsid w:val="00870452"/>
    <w:rsid w:val="0087284F"/>
    <w:rsid w:val="008739D1"/>
    <w:rsid w:val="00874332"/>
    <w:rsid w:val="00874982"/>
    <w:rsid w:val="00876B10"/>
    <w:rsid w:val="00877230"/>
    <w:rsid w:val="0087763F"/>
    <w:rsid w:val="00884970"/>
    <w:rsid w:val="00884B13"/>
    <w:rsid w:val="008873DF"/>
    <w:rsid w:val="008900AD"/>
    <w:rsid w:val="0089016E"/>
    <w:rsid w:val="00891866"/>
    <w:rsid w:val="0089337C"/>
    <w:rsid w:val="00894997"/>
    <w:rsid w:val="008960FF"/>
    <w:rsid w:val="008A02B7"/>
    <w:rsid w:val="008A4539"/>
    <w:rsid w:val="008B16B5"/>
    <w:rsid w:val="008B242B"/>
    <w:rsid w:val="008B4231"/>
    <w:rsid w:val="008B4B15"/>
    <w:rsid w:val="008B5848"/>
    <w:rsid w:val="008B6881"/>
    <w:rsid w:val="008C00AE"/>
    <w:rsid w:val="008C179A"/>
    <w:rsid w:val="008C294E"/>
    <w:rsid w:val="008C2D37"/>
    <w:rsid w:val="008C33D2"/>
    <w:rsid w:val="008C5BCB"/>
    <w:rsid w:val="008C6797"/>
    <w:rsid w:val="008C7984"/>
    <w:rsid w:val="008D04E0"/>
    <w:rsid w:val="008D07DC"/>
    <w:rsid w:val="008D26DB"/>
    <w:rsid w:val="008D3C0F"/>
    <w:rsid w:val="008D48C2"/>
    <w:rsid w:val="008D62E6"/>
    <w:rsid w:val="008D768A"/>
    <w:rsid w:val="008E0765"/>
    <w:rsid w:val="008E1C44"/>
    <w:rsid w:val="008E248D"/>
    <w:rsid w:val="008E3618"/>
    <w:rsid w:val="008E71B5"/>
    <w:rsid w:val="008F0D01"/>
    <w:rsid w:val="008F1761"/>
    <w:rsid w:val="008F2246"/>
    <w:rsid w:val="008F33A3"/>
    <w:rsid w:val="008F3787"/>
    <w:rsid w:val="008F6939"/>
    <w:rsid w:val="008F7BEE"/>
    <w:rsid w:val="00902162"/>
    <w:rsid w:val="009029E0"/>
    <w:rsid w:val="0091018A"/>
    <w:rsid w:val="00910BBE"/>
    <w:rsid w:val="0091158C"/>
    <w:rsid w:val="00911B37"/>
    <w:rsid w:val="00912C62"/>
    <w:rsid w:val="00914B74"/>
    <w:rsid w:val="009152C2"/>
    <w:rsid w:val="009206FC"/>
    <w:rsid w:val="00924E5C"/>
    <w:rsid w:val="009304DD"/>
    <w:rsid w:val="00936525"/>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5D21"/>
    <w:rsid w:val="00983348"/>
    <w:rsid w:val="00986140"/>
    <w:rsid w:val="00990586"/>
    <w:rsid w:val="00993645"/>
    <w:rsid w:val="00994433"/>
    <w:rsid w:val="009975C0"/>
    <w:rsid w:val="009A00EC"/>
    <w:rsid w:val="009A0209"/>
    <w:rsid w:val="009A2AB1"/>
    <w:rsid w:val="009A3C05"/>
    <w:rsid w:val="009A5321"/>
    <w:rsid w:val="009B4043"/>
    <w:rsid w:val="009B6D7C"/>
    <w:rsid w:val="009B70DF"/>
    <w:rsid w:val="009C22C9"/>
    <w:rsid w:val="009C3034"/>
    <w:rsid w:val="009D121F"/>
    <w:rsid w:val="009D3953"/>
    <w:rsid w:val="009D4276"/>
    <w:rsid w:val="009D5192"/>
    <w:rsid w:val="009D6B94"/>
    <w:rsid w:val="009D7ACB"/>
    <w:rsid w:val="009D7B18"/>
    <w:rsid w:val="009E124D"/>
    <w:rsid w:val="009E4A38"/>
    <w:rsid w:val="009E6F82"/>
    <w:rsid w:val="009F0ED0"/>
    <w:rsid w:val="009F179E"/>
    <w:rsid w:val="009F3591"/>
    <w:rsid w:val="009F37B3"/>
    <w:rsid w:val="009F6B9A"/>
    <w:rsid w:val="00A009DE"/>
    <w:rsid w:val="00A00C4D"/>
    <w:rsid w:val="00A05640"/>
    <w:rsid w:val="00A11A42"/>
    <w:rsid w:val="00A15BDD"/>
    <w:rsid w:val="00A175D6"/>
    <w:rsid w:val="00A239AE"/>
    <w:rsid w:val="00A25352"/>
    <w:rsid w:val="00A27BEF"/>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6541"/>
    <w:rsid w:val="00A8071F"/>
    <w:rsid w:val="00A824A4"/>
    <w:rsid w:val="00A8297F"/>
    <w:rsid w:val="00A82DC2"/>
    <w:rsid w:val="00A85C31"/>
    <w:rsid w:val="00A86BE5"/>
    <w:rsid w:val="00A87717"/>
    <w:rsid w:val="00A92D7D"/>
    <w:rsid w:val="00A9407F"/>
    <w:rsid w:val="00A9502F"/>
    <w:rsid w:val="00AA49C2"/>
    <w:rsid w:val="00AB11E1"/>
    <w:rsid w:val="00AB3A1C"/>
    <w:rsid w:val="00AC3097"/>
    <w:rsid w:val="00AC3A60"/>
    <w:rsid w:val="00AC3CB7"/>
    <w:rsid w:val="00AC516F"/>
    <w:rsid w:val="00AC5FC3"/>
    <w:rsid w:val="00AD08D4"/>
    <w:rsid w:val="00AD1938"/>
    <w:rsid w:val="00AD1C6D"/>
    <w:rsid w:val="00AD2620"/>
    <w:rsid w:val="00AD3089"/>
    <w:rsid w:val="00AD6214"/>
    <w:rsid w:val="00AD6AB1"/>
    <w:rsid w:val="00AE189E"/>
    <w:rsid w:val="00AE27EA"/>
    <w:rsid w:val="00AE382C"/>
    <w:rsid w:val="00AE5140"/>
    <w:rsid w:val="00AF0C4B"/>
    <w:rsid w:val="00AF0FF7"/>
    <w:rsid w:val="00AF4136"/>
    <w:rsid w:val="00AF582C"/>
    <w:rsid w:val="00AF5C9D"/>
    <w:rsid w:val="00B0031B"/>
    <w:rsid w:val="00B01133"/>
    <w:rsid w:val="00B03C7A"/>
    <w:rsid w:val="00B04E17"/>
    <w:rsid w:val="00B1133D"/>
    <w:rsid w:val="00B125C0"/>
    <w:rsid w:val="00B12F98"/>
    <w:rsid w:val="00B15A42"/>
    <w:rsid w:val="00B169BC"/>
    <w:rsid w:val="00B17009"/>
    <w:rsid w:val="00B21448"/>
    <w:rsid w:val="00B23F95"/>
    <w:rsid w:val="00B30F7F"/>
    <w:rsid w:val="00B318C4"/>
    <w:rsid w:val="00B3450D"/>
    <w:rsid w:val="00B366F8"/>
    <w:rsid w:val="00B368EF"/>
    <w:rsid w:val="00B408B7"/>
    <w:rsid w:val="00B414A9"/>
    <w:rsid w:val="00B44585"/>
    <w:rsid w:val="00B446F9"/>
    <w:rsid w:val="00B46193"/>
    <w:rsid w:val="00B501CA"/>
    <w:rsid w:val="00B5187A"/>
    <w:rsid w:val="00B535A8"/>
    <w:rsid w:val="00B5576E"/>
    <w:rsid w:val="00B56CFB"/>
    <w:rsid w:val="00B56E9D"/>
    <w:rsid w:val="00B57AA7"/>
    <w:rsid w:val="00B62410"/>
    <w:rsid w:val="00B65D0B"/>
    <w:rsid w:val="00B66A5B"/>
    <w:rsid w:val="00B73687"/>
    <w:rsid w:val="00B75EC1"/>
    <w:rsid w:val="00B7663F"/>
    <w:rsid w:val="00B77C97"/>
    <w:rsid w:val="00B94759"/>
    <w:rsid w:val="00B9498F"/>
    <w:rsid w:val="00BA08D8"/>
    <w:rsid w:val="00BA2E2F"/>
    <w:rsid w:val="00BA5877"/>
    <w:rsid w:val="00BA636D"/>
    <w:rsid w:val="00BA6496"/>
    <w:rsid w:val="00BA7875"/>
    <w:rsid w:val="00BB18FF"/>
    <w:rsid w:val="00BC537E"/>
    <w:rsid w:val="00BC5FCE"/>
    <w:rsid w:val="00BD1461"/>
    <w:rsid w:val="00BD1742"/>
    <w:rsid w:val="00BD24B2"/>
    <w:rsid w:val="00BD2E69"/>
    <w:rsid w:val="00BD421F"/>
    <w:rsid w:val="00BD7141"/>
    <w:rsid w:val="00BE0F6F"/>
    <w:rsid w:val="00BF0209"/>
    <w:rsid w:val="00BF1229"/>
    <w:rsid w:val="00BF4BC7"/>
    <w:rsid w:val="00C00E01"/>
    <w:rsid w:val="00C041DD"/>
    <w:rsid w:val="00C054CF"/>
    <w:rsid w:val="00C05CD8"/>
    <w:rsid w:val="00C06861"/>
    <w:rsid w:val="00C07CAC"/>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7305"/>
    <w:rsid w:val="00C63257"/>
    <w:rsid w:val="00C632FA"/>
    <w:rsid w:val="00C63F0A"/>
    <w:rsid w:val="00C66ABF"/>
    <w:rsid w:val="00C71CCB"/>
    <w:rsid w:val="00C72608"/>
    <w:rsid w:val="00C727EA"/>
    <w:rsid w:val="00C76416"/>
    <w:rsid w:val="00C76E0D"/>
    <w:rsid w:val="00C77193"/>
    <w:rsid w:val="00C778A3"/>
    <w:rsid w:val="00C82F89"/>
    <w:rsid w:val="00C83143"/>
    <w:rsid w:val="00C854B2"/>
    <w:rsid w:val="00C903AA"/>
    <w:rsid w:val="00C90764"/>
    <w:rsid w:val="00C90CF3"/>
    <w:rsid w:val="00C91C4E"/>
    <w:rsid w:val="00C9250D"/>
    <w:rsid w:val="00C9639A"/>
    <w:rsid w:val="00CA13BC"/>
    <w:rsid w:val="00CA5D69"/>
    <w:rsid w:val="00CA7FDC"/>
    <w:rsid w:val="00CB1AF3"/>
    <w:rsid w:val="00CB1E9F"/>
    <w:rsid w:val="00CB1EBB"/>
    <w:rsid w:val="00CB2D7D"/>
    <w:rsid w:val="00CB4CF6"/>
    <w:rsid w:val="00CB63EC"/>
    <w:rsid w:val="00CB7326"/>
    <w:rsid w:val="00CC01E6"/>
    <w:rsid w:val="00CC0F70"/>
    <w:rsid w:val="00CC1AB3"/>
    <w:rsid w:val="00CC2AB8"/>
    <w:rsid w:val="00CC3A66"/>
    <w:rsid w:val="00CC6B94"/>
    <w:rsid w:val="00CD03DF"/>
    <w:rsid w:val="00CD1DDA"/>
    <w:rsid w:val="00CD527B"/>
    <w:rsid w:val="00CD6F4D"/>
    <w:rsid w:val="00CE435A"/>
    <w:rsid w:val="00CE4D50"/>
    <w:rsid w:val="00CF13E2"/>
    <w:rsid w:val="00CF3FA6"/>
    <w:rsid w:val="00D10D51"/>
    <w:rsid w:val="00D15EB7"/>
    <w:rsid w:val="00D16784"/>
    <w:rsid w:val="00D22971"/>
    <w:rsid w:val="00D238D5"/>
    <w:rsid w:val="00D23956"/>
    <w:rsid w:val="00D25611"/>
    <w:rsid w:val="00D36BB9"/>
    <w:rsid w:val="00D37494"/>
    <w:rsid w:val="00D37E4C"/>
    <w:rsid w:val="00D423BF"/>
    <w:rsid w:val="00D4273D"/>
    <w:rsid w:val="00D44255"/>
    <w:rsid w:val="00D479E4"/>
    <w:rsid w:val="00D47EDA"/>
    <w:rsid w:val="00D52C7E"/>
    <w:rsid w:val="00D539C1"/>
    <w:rsid w:val="00D57022"/>
    <w:rsid w:val="00D616C0"/>
    <w:rsid w:val="00D61C4C"/>
    <w:rsid w:val="00D70988"/>
    <w:rsid w:val="00D71C27"/>
    <w:rsid w:val="00D73D55"/>
    <w:rsid w:val="00D77351"/>
    <w:rsid w:val="00D77588"/>
    <w:rsid w:val="00D77C83"/>
    <w:rsid w:val="00D84231"/>
    <w:rsid w:val="00D84462"/>
    <w:rsid w:val="00D85DCC"/>
    <w:rsid w:val="00D95BF4"/>
    <w:rsid w:val="00D960D1"/>
    <w:rsid w:val="00D97639"/>
    <w:rsid w:val="00DA210F"/>
    <w:rsid w:val="00DA2729"/>
    <w:rsid w:val="00DA3A85"/>
    <w:rsid w:val="00DA5C8B"/>
    <w:rsid w:val="00DA65E6"/>
    <w:rsid w:val="00DB0AA0"/>
    <w:rsid w:val="00DB0EF2"/>
    <w:rsid w:val="00DB360B"/>
    <w:rsid w:val="00DB5911"/>
    <w:rsid w:val="00DB6DAC"/>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F1C6E"/>
    <w:rsid w:val="00DF45BE"/>
    <w:rsid w:val="00E021DA"/>
    <w:rsid w:val="00E05F11"/>
    <w:rsid w:val="00E11AEF"/>
    <w:rsid w:val="00E163E9"/>
    <w:rsid w:val="00E170DA"/>
    <w:rsid w:val="00E21D67"/>
    <w:rsid w:val="00E276DA"/>
    <w:rsid w:val="00E33CD3"/>
    <w:rsid w:val="00E4026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74604"/>
    <w:rsid w:val="00E8223D"/>
    <w:rsid w:val="00E82532"/>
    <w:rsid w:val="00E82EFC"/>
    <w:rsid w:val="00E85494"/>
    <w:rsid w:val="00E910A8"/>
    <w:rsid w:val="00E937E9"/>
    <w:rsid w:val="00E945E8"/>
    <w:rsid w:val="00E95B76"/>
    <w:rsid w:val="00E96ED9"/>
    <w:rsid w:val="00EA0D9C"/>
    <w:rsid w:val="00EA1643"/>
    <w:rsid w:val="00EA2FBC"/>
    <w:rsid w:val="00EA5CBE"/>
    <w:rsid w:val="00EB2034"/>
    <w:rsid w:val="00EB2762"/>
    <w:rsid w:val="00EB5708"/>
    <w:rsid w:val="00EB7F8C"/>
    <w:rsid w:val="00EC0821"/>
    <w:rsid w:val="00EC1AD2"/>
    <w:rsid w:val="00EC2339"/>
    <w:rsid w:val="00EC3104"/>
    <w:rsid w:val="00EC405C"/>
    <w:rsid w:val="00EC4CC2"/>
    <w:rsid w:val="00ED7000"/>
    <w:rsid w:val="00EE1E9B"/>
    <w:rsid w:val="00EE1FD0"/>
    <w:rsid w:val="00EE210F"/>
    <w:rsid w:val="00EE7927"/>
    <w:rsid w:val="00EF218F"/>
    <w:rsid w:val="00EF3672"/>
    <w:rsid w:val="00EF700A"/>
    <w:rsid w:val="00F007C1"/>
    <w:rsid w:val="00F01E26"/>
    <w:rsid w:val="00F02C00"/>
    <w:rsid w:val="00F03028"/>
    <w:rsid w:val="00F0436C"/>
    <w:rsid w:val="00F05CEB"/>
    <w:rsid w:val="00F12985"/>
    <w:rsid w:val="00F152F3"/>
    <w:rsid w:val="00F17BF0"/>
    <w:rsid w:val="00F22D0F"/>
    <w:rsid w:val="00F25F84"/>
    <w:rsid w:val="00F26D25"/>
    <w:rsid w:val="00F31C4D"/>
    <w:rsid w:val="00F35471"/>
    <w:rsid w:val="00F360DF"/>
    <w:rsid w:val="00F37821"/>
    <w:rsid w:val="00F37F6A"/>
    <w:rsid w:val="00F4333F"/>
    <w:rsid w:val="00F46A93"/>
    <w:rsid w:val="00F5126D"/>
    <w:rsid w:val="00F5449C"/>
    <w:rsid w:val="00F577F7"/>
    <w:rsid w:val="00F609AD"/>
    <w:rsid w:val="00F63384"/>
    <w:rsid w:val="00F646D2"/>
    <w:rsid w:val="00F7001B"/>
    <w:rsid w:val="00F7069D"/>
    <w:rsid w:val="00F71824"/>
    <w:rsid w:val="00F91E3D"/>
    <w:rsid w:val="00F93977"/>
    <w:rsid w:val="00F94999"/>
    <w:rsid w:val="00F97950"/>
    <w:rsid w:val="00FA40FD"/>
    <w:rsid w:val="00FA50FD"/>
    <w:rsid w:val="00FB0E9E"/>
    <w:rsid w:val="00FB35CF"/>
    <w:rsid w:val="00FB52ED"/>
    <w:rsid w:val="00FB5E63"/>
    <w:rsid w:val="00FC1A47"/>
    <w:rsid w:val="00FC1AA5"/>
    <w:rsid w:val="00FC2531"/>
    <w:rsid w:val="00FC2ACC"/>
    <w:rsid w:val="00FC4DE8"/>
    <w:rsid w:val="00FD5239"/>
    <w:rsid w:val="00FD73B8"/>
    <w:rsid w:val="00FE2FEB"/>
    <w:rsid w:val="00FE37E1"/>
    <w:rsid w:val="00FE5B73"/>
    <w:rsid w:val="00FE67BA"/>
    <w:rsid w:val="00FF0314"/>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15:docId w15:val="{662DD4CC-88A2-47A2-AEE3-44E2685F4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table" w:styleId="Tablanormal2">
    <w:name w:val="Plain Table 2"/>
    <w:basedOn w:val="Tablanormal"/>
    <w:uiPriority w:val="42"/>
    <w:rsid w:val="0088497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morebooks.shop/store/us/book/desarrollo-humano-y-sostenibilidad-en-las-organizaciones-contempor&#225;neas/isbn/9786203848208" TargetMode="External"/><Relationship Id="rId21" Type="http://schemas.openxmlformats.org/officeDocument/2006/relationships/hyperlink" Target="https://revistas.unimilitar.edu.co/index.php/rfce/article/view/1731" TargetMode="External"/><Relationship Id="rId42" Type="http://schemas.openxmlformats.org/officeDocument/2006/relationships/hyperlink" Target="https://www.iso.org/iso-26000-social-responsibility.html" TargetMode="External"/><Relationship Id="rId47" Type="http://schemas.openxmlformats.org/officeDocument/2006/relationships/hyperlink" Target="https://www.metodos.work/wp-content/uploads/2024/01/Qualitative-Data-Analysis.pdf" TargetMode="External"/><Relationship Id="rId63" Type="http://schemas.openxmlformats.org/officeDocument/2006/relationships/hyperlink" Target="https://journals.sagepub.com/doi/10.1177/1529100612436661" TargetMode="External"/><Relationship Id="rId68" Type="http://schemas.openxmlformats.org/officeDocument/2006/relationships/hyperlink" Target="https://lsms.ac/wp-content/uploads/2023/02/18.pdf" TargetMode="External"/><Relationship Id="rId2" Type="http://schemas.openxmlformats.org/officeDocument/2006/relationships/numbering" Target="numbering.xml"/><Relationship Id="rId16" Type="http://schemas.openxmlformats.org/officeDocument/2006/relationships/hyperlink" Target="https://repositorio.upct.es/entities/publication/96458e88-4a88-42e3-b26e-b58d830f62b2" TargetMode="External"/><Relationship Id="rId29" Type="http://schemas.openxmlformats.org/officeDocument/2006/relationships/hyperlink" Target="https://www.dnp.gov.co" TargetMode="External"/><Relationship Id="rId11" Type="http://schemas.openxmlformats.org/officeDocument/2006/relationships/image" Target="media/image3.png"/><Relationship Id="rId24" Type="http://schemas.openxmlformats.org/officeDocument/2006/relationships/hyperlink" Target="https://produccioncientificaluz.org/index.php/rcs/article/view/22085" TargetMode="External"/><Relationship Id="rId32" Type="http://schemas.openxmlformats.org/officeDocument/2006/relationships/hyperlink" Target="https://doi.org/10.4324/9781351280120" TargetMode="External"/><Relationship Id="rId37" Type="http://schemas.openxmlformats.org/officeDocument/2006/relationships/hyperlink" Target="https://doi.org/10.1177/1534484319828865" TargetMode="External"/><Relationship Id="rId40" Type="http://schemas.openxmlformats.org/officeDocument/2006/relationships/hyperlink" Target="https://www.redalyc.org/journal/818/81860976002/html/?utm_source=chatgpt.com" TargetMode="External"/><Relationship Id="rId45" Type="http://schemas.openxmlformats.org/officeDocument/2006/relationships/hyperlink" Target="https://repositorio.cepal.org/server/api/core/bitstreams/7ab7bae5-6170-4982-9d3f-11ec7520f4a4/content" TargetMode="External"/><Relationship Id="rId53" Type="http://schemas.openxmlformats.org/officeDocument/2006/relationships/hyperlink" Target="https://link.springer.com/article/10.1007/s10488-013-0528-y" TargetMode="External"/><Relationship Id="rId58" Type="http://schemas.openxmlformats.org/officeDocument/2006/relationships/hyperlink" Target="https://www.undp.org/es/colombia" TargetMode="External"/><Relationship Id="rId66" Type="http://schemas.openxmlformats.org/officeDocument/2006/relationships/hyperlink" Target="https://www.mdpi.com/2071-1050/3/1/97"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repository.udem.edu.co/handle/11407/8386" TargetMode="External"/><Relationship Id="rId19" Type="http://schemas.openxmlformats.org/officeDocument/2006/relationships/hyperlink" Target="https://doi.org/10.5465/256712" TargetMode="External"/><Relationship Id="rId14" Type="http://schemas.openxmlformats.org/officeDocument/2006/relationships/hyperlink" Target="https://doi.org/10.47212/rtcAlinin.2.224.7" TargetMode="External"/><Relationship Id="rId22" Type="http://schemas.openxmlformats.org/officeDocument/2006/relationships/hyperlink" Target="https://www.espacio.digital.upel.edu.ve/index.php/TD/article/view/902" TargetMode="External"/><Relationship Id="rId27" Type="http://schemas.openxmlformats.org/officeDocument/2006/relationships/hyperlink" Target="https://onlinelibrary.wiley.com/doi/10.1111/1748-8583.12137?medium=article&amp;utm_source=researchgate.net" TargetMode="External"/><Relationship Id="rId30" Type="http://schemas.openxmlformats.org/officeDocument/2006/relationships/hyperlink" Target="https://newsociety.com/products/cannibals-with-forks" TargetMode="External"/><Relationship Id="rId35" Type="http://schemas.openxmlformats.org/officeDocument/2006/relationships/hyperlink" Target="https://doi.org/10.1108/03090599510095816" TargetMode="External"/><Relationship Id="rId43" Type="http://schemas.openxmlformats.org/officeDocument/2006/relationships/hyperlink" Target="https://www.emerald.com/er/article-abstract/41/5/1098/38641/Participatory-HRM-and-firm-performanceUnlocking?redirectedFrom=fulltext" TargetMode="External"/><Relationship Id="rId48" Type="http://schemas.openxmlformats.org/officeDocument/2006/relationships/hyperlink" Target="https://learn.mheducation.com/noe_employment_training.html" TargetMode="External"/><Relationship Id="rId56" Type="http://schemas.openxmlformats.org/officeDocument/2006/relationships/hyperlink" Target="https://dialnet.unirioja.es/servlet/articulo?codigo=3658419" TargetMode="External"/><Relationship Id="rId64" Type="http://schemas.openxmlformats.org/officeDocument/2006/relationships/hyperlink" Target="https://ia800805.us.archive.org/9/items/EdgarHScheinOrganizationalCultureAndLeadership/Edgar_H_Schein_Organizational_culture_and_leadership.pdf?utm_source" TargetMode="External"/><Relationship Id="rId69" Type="http://schemas.openxmlformats.org/officeDocument/2006/relationships/hyperlink" Target="https://hdr.undp.org/content/human-development-report-2021-22" TargetMode="External"/><Relationship Id="rId8" Type="http://schemas.openxmlformats.org/officeDocument/2006/relationships/image" Target="media/image1.png"/><Relationship Id="rId51" Type="http://schemas.openxmlformats.org/officeDocument/2006/relationships/hyperlink" Target="https://journals.aom.org/doi/abs/10.5465/amgblproc.mexico.2020.0344.abs" TargetMode="External"/><Relationship Id="rId72" Type="http://schemas.openxmlformats.org/officeDocument/2006/relationships/hyperlink" Target="https://onlinelibrary.wiley.com/doi/abs/10.1111/j.1748-8583.2010.00165.x" TargetMode="External"/><Relationship Id="rId3" Type="http://schemas.openxmlformats.org/officeDocument/2006/relationships/styles" Target="styles.xml"/><Relationship Id="rId12" Type="http://schemas.openxmlformats.org/officeDocument/2006/relationships/hyperlink" Target="https://doi.org/10.1177/0149206317691575" TargetMode="External"/><Relationship Id="rId17" Type="http://schemas.openxmlformats.org/officeDocument/2006/relationships/hyperlink" Target="https://doi.org/10.1177/014920639101700108" TargetMode="External"/><Relationship Id="rId25" Type="http://schemas.openxmlformats.org/officeDocument/2006/relationships/hyperlink" Target="https://us.sagepub.com/en-us/nam/qualitative-inquiry-and-research-design/book235677" TargetMode="External"/><Relationship Id="rId33" Type="http://schemas.openxmlformats.org/officeDocument/2006/relationships/hyperlink" Target="https://unaula.edu.co/editorial/colecciones/sentipensar-con-la-tierra" TargetMode="External"/><Relationship Id="rId38" Type="http://schemas.openxmlformats.org/officeDocument/2006/relationships/hyperlink" Target="https://doi.org/10.1002/smj.4250171110" TargetMode="External"/><Relationship Id="rId46" Type="http://schemas.openxmlformats.org/officeDocument/2006/relationships/hyperlink" Target="https://doi.org/10.18046/j.estger.2018.147.2626" TargetMode="External"/><Relationship Id="rId59" Type="http://schemas.openxmlformats.org/officeDocument/2006/relationships/hyperlink" Target="https://www.elgaronline.com/edcollchap/edcoll/9781784712259/9781784712259.00019.xml" TargetMode="External"/><Relationship Id="rId67" Type="http://schemas.openxmlformats.org/officeDocument/2006/relationships/hyperlink" Target="https://www.jstor.org/stable/258788?utm_source" TargetMode="External"/><Relationship Id="rId20" Type="http://schemas.openxmlformats.org/officeDocument/2006/relationships/hyperlink" Target="https://hbsp.harvard.edu/product/4460-HBK-ENG" TargetMode="External"/><Relationship Id="rId41" Type="http://schemas.openxmlformats.org/officeDocument/2006/relationships/hyperlink" Target="https://doi.org/10.1002/hrdq.3920070103" TargetMode="External"/><Relationship Id="rId54" Type="http://schemas.openxmlformats.org/officeDocument/2006/relationships/hyperlink" Target="http://www.scielo.org.co/scielo.php?pid=S0120-81602018000200037&amp;script=sci_arttext" TargetMode="External"/><Relationship Id="rId62" Type="http://schemas.openxmlformats.org/officeDocument/2006/relationships/hyperlink" Target="https://www.scielo.org.mx/scielo.php?pid=S2448-63882021000200087&amp;script=sci_arttext" TargetMode="External"/><Relationship Id="rId70" Type="http://schemas.openxmlformats.org/officeDocument/2006/relationships/hyperlink" Target="https://www.undp.org/sites/g/files/zskgke326/files/2024-08/undp_co_pub_informe_anual_pnud_2023.pdf?utm_source=chatgpt.com" TargetMode="External"/><Relationship Id="rId75"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16/j.jclepro.2019.119131" TargetMode="External"/><Relationship Id="rId23" Type="http://schemas.openxmlformats.org/officeDocument/2006/relationships/hyperlink" Target="https://produccioncientificaluz.org/index.php/rcs/article/view/36071" TargetMode="External"/><Relationship Id="rId28" Type="http://schemas.openxmlformats.org/officeDocument/2006/relationships/hyperlink" Target="https://us.sagepub.com/en-us/nam/the-sage-handbook-of-qualitative-research/book249046" TargetMode="External"/><Relationship Id="rId36" Type="http://schemas.openxmlformats.org/officeDocument/2006/relationships/hyperlink" Target="https://doi.org/10.1177/1523422310394757" TargetMode="External"/><Relationship Id="rId49" Type="http://schemas.openxmlformats.org/officeDocument/2006/relationships/hyperlink" Target="https://unctad.org/system/files/official-document/ares70d1_es.pdf" TargetMode="External"/><Relationship Id="rId57" Type="http://schemas.openxmlformats.org/officeDocument/2006/relationships/hyperlink" Target="https://books.google.com.co/books?hl=es&amp;lr=&amp;id=WXr6CgAAQBAJ&amp;oi=fnd&amp;pg=PP6&amp;dq=related:9S0ULF6E6uAJ:scholar.google.com/&amp;ots=umTuf-sUK7&amp;sig=SmhyxQhH0yUxkpzqGA1DhbHrik4&amp;redir_esc=y" TargetMode="External"/><Relationship Id="rId10" Type="http://schemas.openxmlformats.org/officeDocument/2006/relationships/image" Target="media/image2.jpeg"/><Relationship Id="rId31" Type="http://schemas.openxmlformats.org/officeDocument/2006/relationships/hyperlink" Target="https://zicklin.baruch.cuny.edu" TargetMode="External"/><Relationship Id="rId44" Type="http://schemas.openxmlformats.org/officeDocument/2006/relationships/hyperlink" Target="https://doi.org/10.1007/s10551-022-05187-3" TargetMode="External"/><Relationship Id="rId52" Type="http://schemas.openxmlformats.org/officeDocument/2006/relationships/hyperlink" Target="https://journals.aom.org/doi/abs/10.5465/amgblproc.mexico.2020.0344.abs" TargetMode="External"/><Relationship Id="rId60" Type="http://schemas.openxmlformats.org/officeDocument/2006/relationships/hyperlink" Target="https://onlinelibrary.wiley.com/doi/abs/10.1111/j.1468-2370.2011.00328.x" TargetMode="External"/><Relationship Id="rId65" Type="http://schemas.openxmlformats.org/officeDocument/2006/relationships/hyperlink" Target="https://dpp2014.wordpress.com/wp-content/uploads/2014/06/developmentasfreedomintronch1new-c-2.pdf?utm_source" TargetMode="External"/><Relationship Id="rId73" Type="http://schemas.openxmlformats.org/officeDocument/2006/relationships/hyperlink" Target="https://scholar.google.com/citations?view_op=view_citation&amp;hl=es&amp;user=46dPChkAAAAJ&amp;citation_for_view=46dPChkAAAAJ:isC4tDSrTZIC" TargetMode="Externa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3" Type="http://schemas.openxmlformats.org/officeDocument/2006/relationships/hyperlink" Target="https://revistapublicando.org/revista/index.php/crv/article/view/739" TargetMode="External"/><Relationship Id="rId18" Type="http://schemas.openxmlformats.org/officeDocument/2006/relationships/hyperlink" Target="https://openurl.ebsco.com/EPDB%3Agcd%3A12%3A30803212/detailv2?sid=ebsco%3Aplink%3Ascholar&amp;id=ebsco%3Agcd%3A182172247&amp;crl=c&amp;link_origin=scholar.google.com" TargetMode="External"/><Relationship Id="rId39" Type="http://schemas.openxmlformats.org/officeDocument/2006/relationships/hyperlink" Target="https://doi.org/10.1111/j.1747-4469.2004.tb00338.x?utm_source=chatgpt.com" TargetMode="External"/><Relationship Id="rId34" Type="http://schemas.openxmlformats.org/officeDocument/2006/relationships/hyperlink" Target="https://psycnet.apa.org/doi/10.18574/nyu/9780814732939.001.0001" TargetMode="External"/><Relationship Id="rId50" Type="http://schemas.openxmlformats.org/officeDocument/2006/relationships/hyperlink" Target="https://journals.aom.org/doi/abs/10.5465/amgblproc.mexico.2020.0344.abs" TargetMode="External"/><Relationship Id="rId55" Type="http://schemas.openxmlformats.org/officeDocument/2006/relationships/hyperlink" Target="http://scielo.sld.cu/scielo.php?pid=S2218-36202016000300023&amp;script=sci_arttext"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biblio.flacsoandes.edu.ec/libros/digital/58701.pdf?utm_source=chatgpt.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BFD63770E96D43A7B1BB999D203B6427"/>
        <w:category>
          <w:name w:val="General"/>
          <w:gallery w:val="placeholder"/>
        </w:category>
        <w:types>
          <w:type w:val="bbPlcHdr"/>
        </w:types>
        <w:behaviors>
          <w:behavior w:val="content"/>
        </w:behaviors>
        <w:guid w:val="{EC518FFC-96C7-45B2-A2CC-7E32AF1F8CD6}"/>
      </w:docPartPr>
      <w:docPartBody>
        <w:p w:rsidR="004807D9" w:rsidRDefault="00D71C27" w:rsidP="00D71C27">
          <w:pPr>
            <w:pStyle w:val="BFD63770E96D43A7B1BB999D203B6427"/>
          </w:pPr>
          <w:r w:rsidRPr="005F024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A5583E754E584574A7BD0BA5A404BBDA"/>
        <w:category>
          <w:name w:val="General"/>
          <w:gallery w:val="placeholder"/>
        </w:category>
        <w:types>
          <w:type w:val="bbPlcHdr"/>
        </w:types>
        <w:behaviors>
          <w:behavior w:val="content"/>
        </w:behaviors>
        <w:guid w:val="{EAF2A6EC-A900-4A04-B02F-280C84EDD4FB}"/>
      </w:docPartPr>
      <w:docPartBody>
        <w:p w:rsidR="004807D9" w:rsidRDefault="00D71C27" w:rsidP="00D71C27">
          <w:pPr>
            <w:pStyle w:val="A5583E754E584574A7BD0BA5A404BBDA"/>
          </w:pPr>
          <w:r w:rsidRPr="007A2281">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
      <w:docPartPr>
        <w:name w:val="FD751A1F1D1247E686DDB3FD9EB38FC1"/>
        <w:category>
          <w:name w:val="General"/>
          <w:gallery w:val="placeholder"/>
        </w:category>
        <w:types>
          <w:type w:val="bbPlcHdr"/>
        </w:types>
        <w:behaviors>
          <w:behavior w:val="content"/>
        </w:behaviors>
        <w:guid w:val="{3603CD5A-E2AA-42CF-B734-3ADB1B7BE61E}"/>
      </w:docPartPr>
      <w:docPartBody>
        <w:p w:rsidR="003B1609" w:rsidRDefault="00A400D0" w:rsidP="00A400D0">
          <w:pPr>
            <w:pStyle w:val="FD751A1F1D1247E686DDB3FD9EB38FC1"/>
          </w:pPr>
          <w:r w:rsidRPr="00770E7A">
            <w:rPr>
              <w:rStyle w:val="Textodelmarcadordeposicin"/>
            </w:rPr>
            <w:t>Elija un elemento.</w:t>
          </w:r>
        </w:p>
      </w:docPartBody>
    </w:docPart>
    <w:docPart>
      <w:docPartPr>
        <w:name w:val="B3B3E5D1F42F4DFAB97D94F412B9B2EC"/>
        <w:category>
          <w:name w:val="General"/>
          <w:gallery w:val="placeholder"/>
        </w:category>
        <w:types>
          <w:type w:val="bbPlcHdr"/>
        </w:types>
        <w:behaviors>
          <w:behavior w:val="content"/>
        </w:behaviors>
        <w:guid w:val="{777C6B6E-BFD3-483A-A45A-2EE5814F29C3}"/>
      </w:docPartPr>
      <w:docPartBody>
        <w:p w:rsidR="003B1609" w:rsidRDefault="00A400D0" w:rsidP="00A400D0">
          <w:pPr>
            <w:pStyle w:val="B3B3E5D1F42F4DFAB97D94F412B9B2EC"/>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50147"/>
    <w:rsid w:val="00090370"/>
    <w:rsid w:val="000E12BD"/>
    <w:rsid w:val="000E364E"/>
    <w:rsid w:val="000E5BCE"/>
    <w:rsid w:val="000F53B8"/>
    <w:rsid w:val="00110A23"/>
    <w:rsid w:val="0015181A"/>
    <w:rsid w:val="001853AB"/>
    <w:rsid w:val="001A521F"/>
    <w:rsid w:val="001C283E"/>
    <w:rsid w:val="001C5FCF"/>
    <w:rsid w:val="001D1741"/>
    <w:rsid w:val="001E0D9B"/>
    <w:rsid w:val="001F4E89"/>
    <w:rsid w:val="002147F2"/>
    <w:rsid w:val="00236EE3"/>
    <w:rsid w:val="00250AD6"/>
    <w:rsid w:val="00254F68"/>
    <w:rsid w:val="00257847"/>
    <w:rsid w:val="00276BA5"/>
    <w:rsid w:val="00305944"/>
    <w:rsid w:val="003158C6"/>
    <w:rsid w:val="0036366E"/>
    <w:rsid w:val="0038397F"/>
    <w:rsid w:val="003B1609"/>
    <w:rsid w:val="003C269B"/>
    <w:rsid w:val="003E6FD7"/>
    <w:rsid w:val="003F262C"/>
    <w:rsid w:val="003F5C44"/>
    <w:rsid w:val="0041007A"/>
    <w:rsid w:val="004119A3"/>
    <w:rsid w:val="0042427A"/>
    <w:rsid w:val="004643AD"/>
    <w:rsid w:val="00470B79"/>
    <w:rsid w:val="004807D9"/>
    <w:rsid w:val="0048200D"/>
    <w:rsid w:val="00486653"/>
    <w:rsid w:val="004C0907"/>
    <w:rsid w:val="004D1F07"/>
    <w:rsid w:val="004F6D10"/>
    <w:rsid w:val="00510680"/>
    <w:rsid w:val="00526FD4"/>
    <w:rsid w:val="00527ECD"/>
    <w:rsid w:val="005534BD"/>
    <w:rsid w:val="0056192E"/>
    <w:rsid w:val="00574C98"/>
    <w:rsid w:val="005808EF"/>
    <w:rsid w:val="005A62F2"/>
    <w:rsid w:val="005F0A32"/>
    <w:rsid w:val="005F31F7"/>
    <w:rsid w:val="00603B4A"/>
    <w:rsid w:val="00607F80"/>
    <w:rsid w:val="00610F6D"/>
    <w:rsid w:val="00621097"/>
    <w:rsid w:val="006539CA"/>
    <w:rsid w:val="00655943"/>
    <w:rsid w:val="00673377"/>
    <w:rsid w:val="006771A4"/>
    <w:rsid w:val="00686771"/>
    <w:rsid w:val="00686ED9"/>
    <w:rsid w:val="006D0086"/>
    <w:rsid w:val="006D3228"/>
    <w:rsid w:val="006E6480"/>
    <w:rsid w:val="00704E17"/>
    <w:rsid w:val="00723B43"/>
    <w:rsid w:val="00726596"/>
    <w:rsid w:val="007369EA"/>
    <w:rsid w:val="00773A81"/>
    <w:rsid w:val="00781AB4"/>
    <w:rsid w:val="00790A26"/>
    <w:rsid w:val="007C0520"/>
    <w:rsid w:val="007C2333"/>
    <w:rsid w:val="008138D1"/>
    <w:rsid w:val="00816F39"/>
    <w:rsid w:val="00837B49"/>
    <w:rsid w:val="00847292"/>
    <w:rsid w:val="008733C4"/>
    <w:rsid w:val="0087499A"/>
    <w:rsid w:val="00875DE9"/>
    <w:rsid w:val="00883DA8"/>
    <w:rsid w:val="00885122"/>
    <w:rsid w:val="008903F8"/>
    <w:rsid w:val="008E60E9"/>
    <w:rsid w:val="008E64A4"/>
    <w:rsid w:val="009029E0"/>
    <w:rsid w:val="0091025B"/>
    <w:rsid w:val="00912C62"/>
    <w:rsid w:val="00927071"/>
    <w:rsid w:val="00940CBB"/>
    <w:rsid w:val="00950B31"/>
    <w:rsid w:val="00964F63"/>
    <w:rsid w:val="00980864"/>
    <w:rsid w:val="00985A2B"/>
    <w:rsid w:val="009910FF"/>
    <w:rsid w:val="009A60CD"/>
    <w:rsid w:val="00A04A5B"/>
    <w:rsid w:val="00A141B8"/>
    <w:rsid w:val="00A335AB"/>
    <w:rsid w:val="00A362EA"/>
    <w:rsid w:val="00A400D0"/>
    <w:rsid w:val="00A43E65"/>
    <w:rsid w:val="00A53BC2"/>
    <w:rsid w:val="00A746A1"/>
    <w:rsid w:val="00AD2AC0"/>
    <w:rsid w:val="00AE5CF3"/>
    <w:rsid w:val="00AF0E95"/>
    <w:rsid w:val="00B20C15"/>
    <w:rsid w:val="00B21722"/>
    <w:rsid w:val="00B33BC9"/>
    <w:rsid w:val="00B363DC"/>
    <w:rsid w:val="00B57A42"/>
    <w:rsid w:val="00B879C0"/>
    <w:rsid w:val="00B963A8"/>
    <w:rsid w:val="00B96D62"/>
    <w:rsid w:val="00BA14F7"/>
    <w:rsid w:val="00BC5FCE"/>
    <w:rsid w:val="00C27C4D"/>
    <w:rsid w:val="00C31B00"/>
    <w:rsid w:val="00C44081"/>
    <w:rsid w:val="00C51E23"/>
    <w:rsid w:val="00C53B32"/>
    <w:rsid w:val="00C94813"/>
    <w:rsid w:val="00CC3209"/>
    <w:rsid w:val="00CD0331"/>
    <w:rsid w:val="00CF6A00"/>
    <w:rsid w:val="00D47DED"/>
    <w:rsid w:val="00D51711"/>
    <w:rsid w:val="00D51B87"/>
    <w:rsid w:val="00D65733"/>
    <w:rsid w:val="00D71C27"/>
    <w:rsid w:val="00D95810"/>
    <w:rsid w:val="00DB045B"/>
    <w:rsid w:val="00DB282D"/>
    <w:rsid w:val="00DD36E5"/>
    <w:rsid w:val="00DE360D"/>
    <w:rsid w:val="00E15A46"/>
    <w:rsid w:val="00E25A1B"/>
    <w:rsid w:val="00E34AC7"/>
    <w:rsid w:val="00E57122"/>
    <w:rsid w:val="00E70DB9"/>
    <w:rsid w:val="00E835FC"/>
    <w:rsid w:val="00EB295D"/>
    <w:rsid w:val="00ED0664"/>
    <w:rsid w:val="00ED509C"/>
    <w:rsid w:val="00ED7328"/>
    <w:rsid w:val="00EF4FD9"/>
    <w:rsid w:val="00F51D34"/>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400D0"/>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BFD63770E96D43A7B1BB999D203B6427">
    <w:name w:val="BFD63770E96D43A7B1BB999D203B6427"/>
    <w:rsid w:val="00D71C27"/>
    <w:pPr>
      <w:spacing w:line="278" w:lineRule="auto"/>
    </w:pPr>
    <w:rPr>
      <w:kern w:val="2"/>
      <w:sz w:val="24"/>
      <w:szCs w:val="24"/>
      <w14:ligatures w14:val="standardContextual"/>
    </w:rPr>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A5583E754E584574A7BD0BA5A404BBDA">
    <w:name w:val="A5583E754E584574A7BD0BA5A404BBDA"/>
    <w:rsid w:val="00D71C27"/>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 w:type="paragraph" w:customStyle="1" w:styleId="FD751A1F1D1247E686DDB3FD9EB38FC1">
    <w:name w:val="FD751A1F1D1247E686DDB3FD9EB38FC1"/>
    <w:rsid w:val="00A400D0"/>
    <w:pPr>
      <w:spacing w:line="278" w:lineRule="auto"/>
    </w:pPr>
    <w:rPr>
      <w:kern w:val="2"/>
      <w:sz w:val="24"/>
      <w:szCs w:val="24"/>
      <w14:ligatures w14:val="standardContextual"/>
    </w:rPr>
  </w:style>
  <w:style w:type="paragraph" w:customStyle="1" w:styleId="B3B3E5D1F42F4DFAB97D94F412B9B2EC">
    <w:name w:val="B3B3E5D1F42F4DFAB97D94F412B9B2EC"/>
    <w:rsid w:val="00A400D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DCF6C-11DD-40D9-B8A2-AD2241A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29</Pages>
  <Words>11118</Words>
  <Characters>61150</Characters>
  <Application>Microsoft Office Word</Application>
  <DocSecurity>0</DocSecurity>
  <Lines>509</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LEIDY RODRIGUEZ HERRERA</cp:lastModifiedBy>
  <cp:revision>4</cp:revision>
  <cp:lastPrinted>2026-03-04T03:36:00Z</cp:lastPrinted>
  <dcterms:created xsi:type="dcterms:W3CDTF">2026-03-04T01:37:00Z</dcterms:created>
  <dcterms:modified xsi:type="dcterms:W3CDTF">2026-03-04T03:37:00Z</dcterms:modified>
</cp:coreProperties>
</file>