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A96CFC" w14:textId="77777777" w:rsidR="000E5B14" w:rsidRPr="00556A8B" w:rsidRDefault="000E5B14" w:rsidP="006A39D9">
      <w:pPr>
        <w:pStyle w:val="Sinespaciado"/>
      </w:pPr>
      <w:r w:rsidRPr="00556A8B">
        <w:rPr>
          <w:noProof/>
          <w:lang w:val="en-US"/>
        </w:rPr>
        <w:drawing>
          <wp:inline distT="0" distB="0" distL="0" distR="0" wp14:anchorId="78F35D59" wp14:editId="2B5116D8">
            <wp:extent cx="1293779" cy="1293779"/>
            <wp:effectExtent l="0" t="0" r="1905" b="1905"/>
            <wp:docPr id="19393122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12201" name="Imagen 19393122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330" cy="1299330"/>
                    </a:xfrm>
                    <a:prstGeom prst="rect">
                      <a:avLst/>
                    </a:prstGeom>
                  </pic:spPr>
                </pic:pic>
              </a:graphicData>
            </a:graphic>
          </wp:inline>
        </w:drawing>
      </w:r>
    </w:p>
    <w:p w14:paraId="17C6F87C" w14:textId="77777777" w:rsidR="000E5B14" w:rsidRPr="00556A8B" w:rsidRDefault="000E5B14" w:rsidP="00073580">
      <w:pPr>
        <w:jc w:val="center"/>
        <w:rPr>
          <w:rFonts w:cs="Times New Roman"/>
          <w:b/>
          <w:bCs/>
        </w:rPr>
      </w:pPr>
    </w:p>
    <w:p w14:paraId="4737671E" w14:textId="77777777" w:rsidR="000E5B14" w:rsidRPr="00556A8B" w:rsidRDefault="000E5B14" w:rsidP="00073580">
      <w:pPr>
        <w:jc w:val="center"/>
        <w:rPr>
          <w:rFonts w:cs="Times New Roman"/>
          <w:b/>
          <w:bCs/>
        </w:rPr>
      </w:pPr>
    </w:p>
    <w:p w14:paraId="71695CF8" w14:textId="77777777" w:rsidR="00CC5C88" w:rsidRPr="00556A8B" w:rsidRDefault="00CC5C88" w:rsidP="00073580">
      <w:pPr>
        <w:jc w:val="center"/>
        <w:rPr>
          <w:rFonts w:cs="Times New Roman"/>
        </w:rPr>
      </w:pPr>
    </w:p>
    <w:p w14:paraId="370A3855" w14:textId="1B093CAC" w:rsidR="00D65640" w:rsidRPr="00556A8B" w:rsidRDefault="00D65640" w:rsidP="00073580">
      <w:pPr>
        <w:jc w:val="center"/>
        <w:rPr>
          <w:rFonts w:cs="Times New Roman"/>
          <w:b/>
          <w:bCs/>
        </w:rPr>
      </w:pPr>
      <w:r w:rsidRPr="00556A8B">
        <w:rPr>
          <w:rFonts w:cs="Times New Roman"/>
          <w:b/>
          <w:bCs/>
        </w:rPr>
        <w:t>El sujeto saludable: prácticas discursivas de la psicología y formas de subjetividad en el campo de la salud mental</w:t>
      </w:r>
    </w:p>
    <w:p w14:paraId="7DCA7EBE" w14:textId="77777777" w:rsidR="00D65640" w:rsidRPr="00556A8B" w:rsidRDefault="00D65640" w:rsidP="00073580">
      <w:pPr>
        <w:jc w:val="center"/>
        <w:rPr>
          <w:rFonts w:cs="Times New Roman"/>
        </w:rPr>
      </w:pPr>
    </w:p>
    <w:p w14:paraId="7658600F" w14:textId="77777777" w:rsidR="000E5B14" w:rsidRPr="00556A8B" w:rsidRDefault="000E5B14" w:rsidP="00073580">
      <w:pPr>
        <w:jc w:val="center"/>
        <w:rPr>
          <w:rFonts w:cs="Times New Roman"/>
        </w:rPr>
      </w:pPr>
      <w:bookmarkStart w:id="0" w:name="_Hlk65067898"/>
      <w:r w:rsidRPr="00556A8B">
        <w:rPr>
          <w:rFonts w:cs="Times New Roman"/>
        </w:rPr>
        <w:t>Juan Sebastián Marín Rodríguez</w:t>
      </w:r>
    </w:p>
    <w:p w14:paraId="376A0E92" w14:textId="77777777" w:rsidR="000E5B14" w:rsidRPr="00556A8B" w:rsidRDefault="000E5B14" w:rsidP="00073580">
      <w:pPr>
        <w:rPr>
          <w:rFonts w:cs="Times New Roman"/>
        </w:rPr>
      </w:pPr>
    </w:p>
    <w:p w14:paraId="7ABDB8E6" w14:textId="77777777" w:rsidR="000E5B14" w:rsidRPr="00556A8B" w:rsidRDefault="000E5B14" w:rsidP="00073580">
      <w:pPr>
        <w:rPr>
          <w:rFonts w:cs="Times New Roman"/>
        </w:rPr>
      </w:pPr>
    </w:p>
    <w:bookmarkStart w:id="1" w:name="_Hlk68542115"/>
    <w:p w14:paraId="5B6B42CB" w14:textId="77777777" w:rsidR="000E5B14" w:rsidRPr="00556A8B" w:rsidRDefault="00000000" w:rsidP="00073580">
      <w:pPr>
        <w:jc w:val="center"/>
        <w:rPr>
          <w:rFonts w:cs="Times New Roman"/>
        </w:rPr>
      </w:pPr>
      <w:sdt>
        <w:sdtPr>
          <w:rPr>
            <w:rStyle w:val="nfasisintenso"/>
            <w:rFonts w:cs="Times New Roman"/>
            <w:color w:val="auto"/>
          </w:rPr>
          <w:alias w:val="Tipo de documento"/>
          <w:tag w:val="Tipo de documento"/>
          <w:id w:val="1127737763"/>
          <w:placeholder>
            <w:docPart w:val="B2BAD4A66AB0454D9D36A2114E91F1F4"/>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i w:val="0"/>
            <w:iCs w:val="0"/>
          </w:rPr>
        </w:sdtEndPr>
        <w:sdtContent>
          <w:r w:rsidR="000E5B14" w:rsidRPr="00556A8B">
            <w:rPr>
              <w:rStyle w:val="nfasisintenso"/>
              <w:rFonts w:cs="Times New Roman"/>
              <w:color w:val="auto"/>
            </w:rPr>
            <w:t>Tesis doctoral presentada</w:t>
          </w:r>
        </w:sdtContent>
      </w:sdt>
      <w:r w:rsidR="000E5B14" w:rsidRPr="00556A8B">
        <w:rPr>
          <w:rFonts w:cs="Times New Roman"/>
        </w:rPr>
        <w:t xml:space="preserve"> para optar al título de </w:t>
      </w:r>
      <w:sdt>
        <w:sdtPr>
          <w:rPr>
            <w:rFonts w:cs="Times New Roman"/>
          </w:rPr>
          <w:alias w:val="Título"/>
          <w:tag w:val="Título"/>
          <w:id w:val="907349457"/>
          <w:placeholder>
            <w:docPart w:val="A2FE0CDF8DED4C0DA91DD1E06C47758B"/>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Content>
          <w:r w:rsidR="000E5B14" w:rsidRPr="00556A8B">
            <w:rPr>
              <w:rFonts w:cs="Times New Roman"/>
            </w:rPr>
            <w:t>Doctor en Psicología</w:t>
          </w:r>
        </w:sdtContent>
      </w:sdt>
    </w:p>
    <w:p w14:paraId="3CEE4DAC" w14:textId="77777777" w:rsidR="000E5B14" w:rsidRPr="00556A8B" w:rsidRDefault="000E5B14" w:rsidP="00073580">
      <w:pPr>
        <w:jc w:val="center"/>
        <w:rPr>
          <w:rFonts w:cs="Times New Roman"/>
        </w:rPr>
      </w:pPr>
    </w:p>
    <w:bookmarkStart w:id="2" w:name="_Hlk65077587"/>
    <w:bookmarkEnd w:id="1"/>
    <w:p w14:paraId="1D2696DA" w14:textId="7AD85E6C" w:rsidR="000E5B14" w:rsidRPr="00556A8B" w:rsidRDefault="00000000" w:rsidP="00073580">
      <w:pPr>
        <w:jc w:val="center"/>
        <w:rPr>
          <w:rFonts w:cs="Times New Roman"/>
        </w:rPr>
      </w:pPr>
      <w:sdt>
        <w:sdtPr>
          <w:rPr>
            <w:rFonts w:cs="Times New Roman"/>
          </w:rPr>
          <w:alias w:val="Tipo de orientador(es)"/>
          <w:tag w:val="Tipo de orientador(es)"/>
          <w:id w:val="-2029240515"/>
          <w:placeholder>
            <w:docPart w:val="0B228E1F59694CD68114D1F647567BDA"/>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Content>
          <w:r w:rsidR="000E5B14" w:rsidRPr="00556A8B">
            <w:rPr>
              <w:rFonts w:cs="Times New Roman"/>
            </w:rPr>
            <w:t>Director</w:t>
          </w:r>
        </w:sdtContent>
      </w:sdt>
      <w:r w:rsidR="000E5B14" w:rsidRPr="00556A8B">
        <w:rPr>
          <w:rFonts w:cs="Times New Roman"/>
        </w:rPr>
        <w:t>:</w:t>
      </w:r>
      <w:bookmarkEnd w:id="2"/>
      <w:r w:rsidR="000E5B14" w:rsidRPr="00556A8B">
        <w:rPr>
          <w:rFonts w:cs="Times New Roman"/>
        </w:rPr>
        <w:t xml:space="preserve"> Gonzalo Tamayo Giraldo, </w:t>
      </w:r>
      <w:r w:rsidR="00D16BBD" w:rsidRPr="00556A8B">
        <w:rPr>
          <w:rStyle w:val="CitadestacadaCar"/>
          <w:rFonts w:cs="Times New Roman"/>
          <w:color w:val="auto"/>
        </w:rPr>
        <w:t>PostDoctor (PostDoc)</w:t>
      </w:r>
      <w:r w:rsidR="000E5B14" w:rsidRPr="00556A8B">
        <w:rPr>
          <w:rFonts w:cs="Times New Roman"/>
        </w:rPr>
        <w:t xml:space="preserve"> en Psicología</w:t>
      </w:r>
    </w:p>
    <w:p w14:paraId="6C75FB17" w14:textId="77777777" w:rsidR="000E5B14" w:rsidRPr="00556A8B" w:rsidRDefault="000E5B14" w:rsidP="00073580">
      <w:pPr>
        <w:jc w:val="center"/>
        <w:rPr>
          <w:rStyle w:val="CitaCar"/>
          <w:rFonts w:cs="Times New Roman"/>
          <w:color w:val="auto"/>
        </w:rPr>
      </w:pPr>
    </w:p>
    <w:p w14:paraId="052E8FA7" w14:textId="77777777" w:rsidR="000E5B14" w:rsidRPr="00556A8B" w:rsidRDefault="000E5B14" w:rsidP="00073580">
      <w:pPr>
        <w:jc w:val="center"/>
        <w:rPr>
          <w:rStyle w:val="SubttuloCar"/>
          <w:rFonts w:cs="Times New Roman"/>
          <w:color w:val="auto"/>
        </w:rPr>
      </w:pPr>
      <w:r w:rsidRPr="00556A8B">
        <w:rPr>
          <w:rStyle w:val="SubttuloCar"/>
          <w:rFonts w:cs="Times New Roman"/>
          <w:color w:val="auto"/>
        </w:rPr>
        <w:br/>
      </w:r>
      <w:r w:rsidRPr="00556A8B">
        <w:rPr>
          <w:rStyle w:val="SubttuloCar"/>
          <w:rFonts w:cs="Times New Roman"/>
          <w:color w:val="auto"/>
        </w:rPr>
        <w:tab/>
      </w:r>
    </w:p>
    <w:p w14:paraId="6649BB87" w14:textId="77777777" w:rsidR="000E5B14" w:rsidRPr="00556A8B" w:rsidRDefault="000E5B14" w:rsidP="00073580">
      <w:pPr>
        <w:jc w:val="center"/>
        <w:rPr>
          <w:rStyle w:val="SubttuloCar"/>
          <w:rFonts w:cs="Times New Roman"/>
          <w:color w:val="auto"/>
        </w:rPr>
      </w:pPr>
    </w:p>
    <w:p w14:paraId="35AC1D49" w14:textId="77777777" w:rsidR="000E5B14" w:rsidRPr="00556A8B" w:rsidRDefault="000E5B14" w:rsidP="00073580">
      <w:pPr>
        <w:jc w:val="center"/>
        <w:rPr>
          <w:rFonts w:cs="Times New Roman"/>
        </w:rPr>
      </w:pPr>
      <w:r w:rsidRPr="003344E9">
        <w:rPr>
          <w:rStyle w:val="SubttuloCar"/>
          <w:rFonts w:cs="Times New Roman"/>
          <w:color w:val="auto"/>
        </w:rPr>
        <w:t>Universidad de Manizales</w:t>
      </w:r>
      <w:r w:rsidRPr="00556A8B">
        <w:rPr>
          <w:rStyle w:val="SubttuloCar"/>
          <w:rFonts w:cs="Times New Roman"/>
          <w:color w:val="auto"/>
        </w:rPr>
        <w:br/>
      </w:r>
      <w:sdt>
        <w:sdtPr>
          <w:rPr>
            <w:rFonts w:cs="Times New Roman"/>
          </w:rPr>
          <w:alias w:val="Facultad"/>
          <w:tag w:val="Facultad"/>
          <w:id w:val="1362708455"/>
          <w:placeholder>
            <w:docPart w:val="97AB2C2B7983452090586A9B32CC543B"/>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Content>
          <w:r w:rsidRPr="00556A8B">
            <w:rPr>
              <w:rFonts w:cs="Times New Roman"/>
            </w:rPr>
            <w:t>Facultad de Ciencias Sociales y Humanas</w:t>
          </w:r>
        </w:sdtContent>
      </w:sdt>
    </w:p>
    <w:p w14:paraId="26EC3AEF" w14:textId="77777777" w:rsidR="000E5B14" w:rsidRPr="00556A8B" w:rsidRDefault="00000000" w:rsidP="00073580">
      <w:pPr>
        <w:jc w:val="center"/>
        <w:rPr>
          <w:rFonts w:cs="Times New Roman"/>
        </w:rPr>
      </w:pPr>
      <w:sdt>
        <w:sdtPr>
          <w:rPr>
            <w:rFonts w:cs="Times New Roman"/>
          </w:rPr>
          <w:alias w:val="Programa"/>
          <w:tag w:val="Programa"/>
          <w:id w:val="-1492942475"/>
          <w:placeholder>
            <w:docPart w:val="11F23D57CEEC4BFAA2107B441CBD1F37"/>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sicología" w:value="Psicología"/>
          </w:dropDownList>
        </w:sdtPr>
        <w:sdtContent>
          <w:r w:rsidR="000E5B14" w:rsidRPr="00556A8B">
            <w:rPr>
              <w:rFonts w:cs="Times New Roman"/>
            </w:rPr>
            <w:t>Doctorado en Psicología</w:t>
          </w:r>
        </w:sdtContent>
      </w:sdt>
    </w:p>
    <w:p w14:paraId="4F9DAC41" w14:textId="77777777" w:rsidR="000E5B14" w:rsidRPr="00556A8B" w:rsidRDefault="000E5B14" w:rsidP="00073580">
      <w:pPr>
        <w:jc w:val="center"/>
        <w:rPr>
          <w:rFonts w:cs="Times New Roman"/>
        </w:rPr>
      </w:pPr>
      <w:r w:rsidRPr="00556A8B">
        <w:rPr>
          <w:rFonts w:cs="Times New Roman"/>
        </w:rPr>
        <w:t xml:space="preserve"> Manizales, Caldas, Colombia</w:t>
      </w:r>
    </w:p>
    <w:p w14:paraId="6EE613C0" w14:textId="77777777" w:rsidR="000E5B14" w:rsidRPr="00556A8B" w:rsidRDefault="00000000" w:rsidP="00073580">
      <w:pPr>
        <w:jc w:val="center"/>
        <w:rPr>
          <w:rFonts w:cs="Times New Roman"/>
        </w:rPr>
      </w:pPr>
      <w:sdt>
        <w:sdtPr>
          <w:rPr>
            <w:rFonts w:cs="Times New Roman"/>
          </w:rPr>
          <w:alias w:val="Año grado"/>
          <w:tag w:val="Año grado"/>
          <w:id w:val="-1455008069"/>
          <w:placeholder>
            <w:docPart w:val="AC5A7D5036A64CF58C509073FFF49B48"/>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Content>
          <w:r w:rsidR="000E5B14" w:rsidRPr="00556A8B">
            <w:rPr>
              <w:rFonts w:cs="Times New Roman"/>
            </w:rPr>
            <w:t>2026</w:t>
          </w:r>
        </w:sdtContent>
      </w:sdt>
      <w:r w:rsidR="000E5B14" w:rsidRPr="00556A8B">
        <w:rPr>
          <w:rFonts w:cs="Times New Roman"/>
        </w:rPr>
        <w:t xml:space="preserve"> </w:t>
      </w:r>
      <w:bookmarkEnd w:id="0"/>
    </w:p>
    <w:p w14:paraId="0B909A4C" w14:textId="77777777" w:rsidR="000E5B14" w:rsidRPr="00556A8B" w:rsidRDefault="000E5B14" w:rsidP="00073580">
      <w:pPr>
        <w:jc w:val="center"/>
        <w:rPr>
          <w:rFonts w:cs="Times New Roman"/>
        </w:rPr>
      </w:pPr>
    </w:p>
    <w:tbl>
      <w:tblPr>
        <w:tblW w:w="0" w:type="auto"/>
        <w:jc w:val="center"/>
        <w:tblLook w:val="04A0" w:firstRow="1" w:lastRow="0" w:firstColumn="1" w:lastColumn="0" w:noHBand="0" w:noVBand="1"/>
      </w:tblPr>
      <w:tblGrid>
        <w:gridCol w:w="2351"/>
        <w:gridCol w:w="7053"/>
      </w:tblGrid>
      <w:tr w:rsidR="00556A8B" w:rsidRPr="00556A8B" w14:paraId="3B8E0DA9" w14:textId="77777777" w:rsidTr="008F13C9">
        <w:trPr>
          <w:trHeight w:val="397"/>
          <w:jc w:val="center"/>
        </w:trPr>
        <w:tc>
          <w:tcPr>
            <w:tcW w:w="2351" w:type="dxa"/>
            <w:tcBorders>
              <w:top w:val="single" w:sz="12" w:space="0" w:color="3A7C22" w:themeColor="accent6" w:themeShade="BF"/>
              <w:bottom w:val="single" w:sz="12" w:space="0" w:color="3A7C22" w:themeColor="accent6" w:themeShade="BF"/>
            </w:tcBorders>
            <w:vAlign w:val="center"/>
          </w:tcPr>
          <w:p w14:paraId="457C1EAA" w14:textId="77777777" w:rsidR="000E5B14" w:rsidRPr="00556A8B" w:rsidRDefault="000E5B14" w:rsidP="00073580">
            <w:pPr>
              <w:spacing w:before="60" w:after="60"/>
              <w:jc w:val="center"/>
              <w:rPr>
                <w:rFonts w:cs="Times New Roman"/>
                <w:b/>
                <w:bCs/>
              </w:rPr>
            </w:pPr>
            <w:bookmarkStart w:id="3" w:name="_Hlk65068309"/>
            <w:r w:rsidRPr="00556A8B">
              <w:rPr>
                <w:rFonts w:cs="Times New Roman"/>
              </w:rPr>
              <w:br w:type="page"/>
            </w:r>
            <w:r w:rsidRPr="00556A8B">
              <w:rPr>
                <w:rFonts w:cs="Times New Roman"/>
                <w:b/>
                <w:bCs/>
              </w:rPr>
              <w:t>Cita</w:t>
            </w:r>
          </w:p>
        </w:tc>
        <w:tc>
          <w:tcPr>
            <w:tcW w:w="7053" w:type="dxa"/>
            <w:tcBorders>
              <w:top w:val="single" w:sz="12" w:space="0" w:color="3A7C22" w:themeColor="accent6" w:themeShade="BF"/>
              <w:bottom w:val="single" w:sz="12" w:space="0" w:color="3A7C22" w:themeColor="accent6" w:themeShade="BF"/>
            </w:tcBorders>
            <w:vAlign w:val="center"/>
          </w:tcPr>
          <w:p w14:paraId="45B13D6B" w14:textId="77777777" w:rsidR="000E5B14" w:rsidRPr="00556A8B" w:rsidRDefault="000E5B14" w:rsidP="00073580">
            <w:pPr>
              <w:spacing w:before="60" w:after="60"/>
              <w:rPr>
                <w:rFonts w:cs="Times New Roman"/>
              </w:rPr>
            </w:pPr>
            <w:r w:rsidRPr="00556A8B">
              <w:rPr>
                <w:rFonts w:cs="Times New Roman"/>
              </w:rPr>
              <w:t>(Marín-Rodríguez, 2025)</w:t>
            </w:r>
          </w:p>
        </w:tc>
      </w:tr>
      <w:tr w:rsidR="00556A8B" w:rsidRPr="00556A8B" w14:paraId="5692FFE1" w14:textId="77777777" w:rsidTr="008F13C9">
        <w:trPr>
          <w:trHeight w:val="983"/>
          <w:jc w:val="center"/>
        </w:trPr>
        <w:tc>
          <w:tcPr>
            <w:tcW w:w="2351" w:type="dxa"/>
            <w:tcBorders>
              <w:top w:val="single" w:sz="12" w:space="0" w:color="3A7C22" w:themeColor="accent6" w:themeShade="BF"/>
              <w:bottom w:val="single" w:sz="12" w:space="0" w:color="3A7C22" w:themeColor="accent6" w:themeShade="BF"/>
            </w:tcBorders>
            <w:vAlign w:val="center"/>
          </w:tcPr>
          <w:p w14:paraId="53AED36D" w14:textId="77777777" w:rsidR="000E5B14" w:rsidRPr="00556A8B" w:rsidRDefault="000E5B14" w:rsidP="00073580">
            <w:pPr>
              <w:spacing w:before="60"/>
              <w:jc w:val="center"/>
              <w:rPr>
                <w:rFonts w:cs="Times New Roman"/>
                <w:b/>
                <w:bCs/>
              </w:rPr>
            </w:pPr>
            <w:r w:rsidRPr="00556A8B">
              <w:rPr>
                <w:rFonts w:cs="Times New Roman"/>
                <w:b/>
                <w:bCs/>
              </w:rPr>
              <w:t>Referencia</w:t>
            </w:r>
          </w:p>
          <w:p w14:paraId="74F1DDED" w14:textId="77777777" w:rsidR="000E5B14" w:rsidRPr="00556A8B" w:rsidRDefault="000E5B14" w:rsidP="00073580">
            <w:pPr>
              <w:jc w:val="center"/>
              <w:rPr>
                <w:rFonts w:cs="Times New Roman"/>
              </w:rPr>
            </w:pPr>
          </w:p>
          <w:p w14:paraId="7DDBCB6C" w14:textId="77777777" w:rsidR="000E5B14" w:rsidRPr="00556A8B" w:rsidRDefault="000E5B14" w:rsidP="00073580">
            <w:pPr>
              <w:jc w:val="center"/>
              <w:rPr>
                <w:rFonts w:cs="Times New Roman"/>
              </w:rPr>
            </w:pPr>
            <w:r w:rsidRPr="00556A8B">
              <w:rPr>
                <w:rFonts w:cs="Times New Roman"/>
                <w:b/>
                <w:bCs/>
              </w:rPr>
              <w:lastRenderedPageBreak/>
              <w:t>Estilo APA 7 (2020)</w:t>
            </w:r>
          </w:p>
        </w:tc>
        <w:tc>
          <w:tcPr>
            <w:tcW w:w="7053" w:type="dxa"/>
            <w:tcBorders>
              <w:top w:val="single" w:sz="12" w:space="0" w:color="3A7C22" w:themeColor="accent6" w:themeShade="BF"/>
              <w:bottom w:val="single" w:sz="12" w:space="0" w:color="3A7C22" w:themeColor="accent6" w:themeShade="BF"/>
            </w:tcBorders>
          </w:tcPr>
          <w:p w14:paraId="7417F806" w14:textId="349B8298" w:rsidR="000E5B14" w:rsidRPr="00556A8B" w:rsidRDefault="000E5B14" w:rsidP="006A6DB0">
            <w:pPr>
              <w:spacing w:before="60" w:after="60"/>
              <w:ind w:left="709" w:hanging="709"/>
              <w:rPr>
                <w:rFonts w:cs="Times New Roman"/>
              </w:rPr>
            </w:pPr>
            <w:r w:rsidRPr="00556A8B">
              <w:rPr>
                <w:rFonts w:cs="Times New Roman"/>
              </w:rPr>
              <w:lastRenderedPageBreak/>
              <w:t xml:space="preserve">Marín - Rodríguez, J. S. (2025). </w:t>
            </w:r>
            <w:r w:rsidR="006A6DB0" w:rsidRPr="006A6DB0">
              <w:rPr>
                <w:rFonts w:cs="Times New Roman"/>
              </w:rPr>
              <w:t xml:space="preserve">El sujeto saludable: prácticas discursivas de la psicología y formas de subjetividad en el </w:t>
            </w:r>
            <w:r w:rsidR="006A6DB0" w:rsidRPr="006A6DB0">
              <w:rPr>
                <w:rFonts w:cs="Times New Roman"/>
              </w:rPr>
              <w:lastRenderedPageBreak/>
              <w:t>campo de la salud mental</w:t>
            </w:r>
            <w:r w:rsidR="006A6DB0">
              <w:rPr>
                <w:rFonts w:cs="Times New Roman"/>
              </w:rPr>
              <w:t xml:space="preserve">. </w:t>
            </w:r>
            <w:r w:rsidRPr="00556A8B">
              <w:rPr>
                <w:rFonts w:cs="Times New Roman"/>
                <w:iCs/>
              </w:rPr>
              <w:t>[</w:t>
            </w:r>
            <w:sdt>
              <w:sdtPr>
                <w:rPr>
                  <w:rFonts w:cs="Times New Roman"/>
                </w:rPr>
                <w:alias w:val="Modalidad de grado"/>
                <w:tag w:val="Tipo de artículo"/>
                <w:id w:val="1337426040"/>
                <w:placeholder>
                  <w:docPart w:val="B5041EEA7CC7478186F86142692694B7"/>
                </w:placeholder>
                <w15:color w:val="008000"/>
                <w:dropDownList>
                  <w:listItem w:displayText="Seleccione modalidad de grado" w:value="Seleccione modalidad de grado"/>
                  <w:listItem w:displayText="Informe de práctica" w:value="Informe de práctica"/>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Content>
                <w:r w:rsidR="00534091">
                  <w:rPr>
                    <w:rFonts w:cs="Times New Roman"/>
                  </w:rPr>
                  <w:t>Tesis doctoral</w:t>
                </w:r>
              </w:sdtContent>
            </w:sdt>
            <w:r w:rsidRPr="00556A8B">
              <w:rPr>
                <w:rFonts w:cs="Times New Roman"/>
              </w:rPr>
              <w:t>]. Universidad de Manizales. RIDUM: Repositorio Institucional Universidad de Manizales.</w:t>
            </w:r>
            <w:r w:rsidRPr="00556A8B">
              <w:rPr>
                <w:rFonts w:cs="Times New Roman"/>
                <w:iCs/>
              </w:rPr>
              <w:t xml:space="preserve"> </w:t>
            </w:r>
          </w:p>
        </w:tc>
      </w:tr>
    </w:tbl>
    <w:p w14:paraId="606F44C3" w14:textId="77777777" w:rsidR="000E5B14" w:rsidRPr="00556A8B" w:rsidRDefault="000E5B14" w:rsidP="00073580">
      <w:pPr>
        <w:rPr>
          <w:rFonts w:cs="Times New Roman"/>
          <w:b/>
          <w:noProof/>
        </w:rPr>
      </w:pPr>
      <w:r w:rsidRPr="00556A8B">
        <w:rPr>
          <w:rFonts w:cs="Times New Roman"/>
          <w:b/>
          <w:noProof/>
          <w:lang w:val="en-US"/>
        </w:rPr>
        <w:lastRenderedPageBreak/>
        <w:drawing>
          <wp:inline distT="0" distB="0" distL="0" distR="0" wp14:anchorId="60E62B84" wp14:editId="792058FE">
            <wp:extent cx="762000" cy="287979"/>
            <wp:effectExtent l="0" t="0" r="0" b="0"/>
            <wp:docPr id="2" name="Imagen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56A8B">
        <w:rPr>
          <w:rFonts w:cs="Times New Roman"/>
          <w:b/>
          <w:noProof/>
        </w:rPr>
        <w:t xml:space="preserve"> </w:t>
      </w:r>
      <w:r w:rsidRPr="00556A8B">
        <w:rPr>
          <w:rFonts w:cs="Times New Roman"/>
          <w:noProof/>
          <w:lang w:val="en-US"/>
        </w:rPr>
        <w:drawing>
          <wp:inline distT="0" distB="0" distL="0" distR="0" wp14:anchorId="6902F3A5" wp14:editId="3149E605">
            <wp:extent cx="736600" cy="256427"/>
            <wp:effectExtent l="0" t="0" r="6350" b="0"/>
            <wp:docPr id="12" name="Imagen 12" descr="Creative Commons en periodismo: qué es y cómo usarl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9"/>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27ADC781" w14:textId="77777777" w:rsidR="000E5B14" w:rsidRPr="00556A8B" w:rsidRDefault="000E5B14" w:rsidP="00073580">
      <w:pPr>
        <w:rPr>
          <w:rFonts w:cs="Times New Roman"/>
        </w:rPr>
      </w:pPr>
      <w:bookmarkStart w:id="4" w:name="_Hlk65069342"/>
      <w:bookmarkEnd w:id="3"/>
    </w:p>
    <w:p w14:paraId="50CB7176" w14:textId="77777777" w:rsidR="000E5B14" w:rsidRPr="00556A8B" w:rsidRDefault="000E5B14" w:rsidP="00073580">
      <w:pPr>
        <w:rPr>
          <w:rFonts w:cs="Times New Roman"/>
        </w:rPr>
      </w:pPr>
    </w:p>
    <w:bookmarkStart w:id="5" w:name="_Hlk66967260"/>
    <w:p w14:paraId="27CC8E4A" w14:textId="77777777" w:rsidR="000E5B14" w:rsidRPr="00556A8B" w:rsidRDefault="00000000" w:rsidP="00073580">
      <w:pPr>
        <w:rPr>
          <w:rFonts w:cs="Times New Roman"/>
        </w:rPr>
      </w:pPr>
      <w:sdt>
        <w:sdtPr>
          <w:rPr>
            <w:rFonts w:cs="Times New Roman"/>
          </w:rPr>
          <w:alias w:val="Programa"/>
          <w:tag w:val="Programa"/>
          <w:id w:val="-723830706"/>
          <w:placeholder>
            <w:docPart w:val="D825C1B0A7024856B775A2AF78FD131F"/>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CAFAM" w:value="Maestría en Educación desde la Diversidad - CAFAM"/>
            <w:listItem w:displayText="Maestría en Educación desde la Diversidad - A Distancia" w:value="Maestría en Educación desde la Diversidad - A Distancia"/>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dropDownList>
        </w:sdtPr>
        <w:sdtContent>
          <w:r w:rsidR="000E5B14" w:rsidRPr="00556A8B">
            <w:rPr>
              <w:rFonts w:cs="Times New Roman"/>
            </w:rPr>
            <w:t>Doctorado en Psicología</w:t>
          </w:r>
        </w:sdtContent>
      </w:sdt>
      <w:r w:rsidR="000E5B14" w:rsidRPr="00556A8B">
        <w:rPr>
          <w:rFonts w:cs="Times New Roman"/>
        </w:rPr>
        <w:t xml:space="preserve">, </w:t>
      </w:r>
      <w:sdt>
        <w:sdtPr>
          <w:rPr>
            <w:rStyle w:val="SubttuloCar"/>
            <w:rFonts w:cs="Times New Roman"/>
            <w:color w:val="auto"/>
          </w:rPr>
          <w:alias w:val="Cohorte"/>
          <w:tag w:val="Cohorte"/>
          <w:id w:val="-1774845340"/>
          <w:placeholder>
            <w:docPart w:val="397C9F74B36B445FB531ECFA8510572B"/>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eastAsiaTheme="minorHAnsi"/>
            <w:spacing w:val="0"/>
            <w:sz w:val="24"/>
            <w:szCs w:val="24"/>
          </w:rPr>
        </w:sdtEndPr>
        <w:sdtContent>
          <w:r w:rsidR="000E5B14" w:rsidRPr="00556A8B">
            <w:rPr>
              <w:rStyle w:val="SubttuloCar"/>
              <w:rFonts w:cs="Times New Roman"/>
              <w:color w:val="auto"/>
            </w:rPr>
            <w:t>I</w:t>
          </w:r>
        </w:sdtContent>
      </w:sdt>
      <w:r w:rsidR="000E5B14" w:rsidRPr="00556A8B">
        <w:rPr>
          <w:rFonts w:cs="Times New Roman"/>
        </w:rPr>
        <w:t xml:space="preserve"> </w:t>
      </w:r>
    </w:p>
    <w:bookmarkStart w:id="6" w:name="_Hlk66967311"/>
    <w:bookmarkStart w:id="7" w:name="_Hlk66967277"/>
    <w:bookmarkStart w:id="8" w:name="_Hlk64031905"/>
    <w:bookmarkStart w:id="9" w:name="_Hlk65683077"/>
    <w:p w14:paraId="6D7B7F3A" w14:textId="725E1C09" w:rsidR="000E5B14" w:rsidRPr="00556A8B" w:rsidRDefault="00000000" w:rsidP="00073580">
      <w:pPr>
        <w:spacing w:before="120" w:after="120"/>
        <w:rPr>
          <w:rFonts w:cs="Times New Roman"/>
        </w:rPr>
      </w:pPr>
      <w:sdt>
        <w:sdtPr>
          <w:rPr>
            <w:rStyle w:val="CitaCar"/>
            <w:rFonts w:cs="Times New Roman"/>
            <w:color w:val="auto"/>
          </w:rPr>
          <w:id w:val="1684392674"/>
          <w:placeholder>
            <w:docPart w:val="2C34C33B995049E7A735DA4D03DB7054"/>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i w:val="0"/>
            <w:iCs w:val="0"/>
          </w:rPr>
        </w:sdtEndPr>
        <w:sdtContent>
          <w:r w:rsidR="00534091">
            <w:rPr>
              <w:rStyle w:val="CitaCar"/>
              <w:rFonts w:cs="Times New Roman"/>
              <w:color w:val="auto"/>
            </w:rPr>
            <w:t>Grupo de Investigación Psicología del Desarrollo</w:t>
          </w:r>
        </w:sdtContent>
      </w:sdt>
    </w:p>
    <w:bookmarkStart w:id="10" w:name="_Hlk66967298"/>
    <w:bookmarkStart w:id="11" w:name="_Hlk65187326"/>
    <w:bookmarkEnd w:id="6"/>
    <w:p w14:paraId="35CCC5D0" w14:textId="3B60419A" w:rsidR="000E5B14" w:rsidRPr="00556A8B" w:rsidRDefault="00000000" w:rsidP="00073580">
      <w:pPr>
        <w:spacing w:before="120" w:after="120"/>
        <w:rPr>
          <w:rFonts w:cs="Times New Roman"/>
        </w:rPr>
      </w:pPr>
      <w:sdt>
        <w:sdtPr>
          <w:rPr>
            <w:rStyle w:val="CitaCar"/>
            <w:rFonts w:cs="Times New Roman"/>
            <w:color w:val="auto"/>
          </w:rPr>
          <w:alias w:val="Grupo"/>
          <w:tag w:val="Grupo"/>
          <w:id w:val="1851758388"/>
          <w:placeholder>
            <w:docPart w:val="05A17A23AEE54BA1BD3564E084408618"/>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i w:val="0"/>
            <w:iCs w:val="0"/>
          </w:rPr>
        </w:sdtEndPr>
        <w:sdtContent>
          <w:r w:rsidR="00534091">
            <w:rPr>
              <w:rStyle w:val="CitaCar"/>
              <w:rFonts w:cs="Times New Roman"/>
              <w:color w:val="auto"/>
            </w:rPr>
            <w:t>Línea de Investigación Procesos Psicológicos</w:t>
          </w:r>
        </w:sdtContent>
      </w:sdt>
      <w:bookmarkEnd w:id="10"/>
      <w:r w:rsidR="000E5B14" w:rsidRPr="00556A8B">
        <w:rPr>
          <w:rFonts w:cs="Times New Roman"/>
        </w:rPr>
        <w:t>.</w:t>
      </w:r>
      <w:bookmarkEnd w:id="11"/>
      <w:r w:rsidR="000E5B14" w:rsidRPr="00556A8B">
        <w:rPr>
          <w:rFonts w:cs="Times New Roman"/>
        </w:rPr>
        <w:t xml:space="preserve">  </w:t>
      </w:r>
    </w:p>
    <w:bookmarkEnd w:id="7"/>
    <w:p w14:paraId="0BCD8C37" w14:textId="779D4DB8" w:rsidR="000E5B14" w:rsidRPr="00556A8B" w:rsidRDefault="00000000" w:rsidP="00073580">
      <w:pPr>
        <w:spacing w:before="120" w:after="120"/>
        <w:rPr>
          <w:rFonts w:cs="Times New Roman"/>
        </w:rPr>
      </w:pPr>
      <w:sdt>
        <w:sdtPr>
          <w:rPr>
            <w:rFonts w:cs="Times New Roman"/>
          </w:rPr>
          <w:alias w:val="Centro de investigación"/>
          <w:tag w:val="Centro de investigación"/>
          <w:id w:val="-958727137"/>
          <w:placeholder>
            <w:docPart w:val="FC5BE1BF3F4C4075AF14C821501F4DE5"/>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00534091">
            <w:rPr>
              <w:rFonts w:cs="Times New Roman"/>
            </w:rPr>
            <w:t>Seleccione centro de investigación UManizales (A-Z)</w:t>
          </w:r>
        </w:sdtContent>
      </w:sdt>
      <w:r w:rsidR="000E5B14" w:rsidRPr="00556A8B">
        <w:rPr>
          <w:rFonts w:cs="Times New Roman"/>
        </w:rPr>
        <w:t xml:space="preserve">. </w:t>
      </w:r>
    </w:p>
    <w:bookmarkEnd w:id="5"/>
    <w:p w14:paraId="6788D0AD" w14:textId="77777777" w:rsidR="000E5B14" w:rsidRPr="00556A8B" w:rsidRDefault="000E5B14" w:rsidP="00073580">
      <w:pPr>
        <w:spacing w:before="120" w:after="120"/>
        <w:rPr>
          <w:rFonts w:cs="Times New Roman"/>
        </w:rPr>
      </w:pPr>
    </w:p>
    <w:p w14:paraId="06BA6D9E" w14:textId="4DFA50F5" w:rsidR="000E5B14" w:rsidRPr="00556A8B" w:rsidRDefault="006A6DB0" w:rsidP="006A6DB0">
      <w:pPr>
        <w:spacing w:before="120" w:after="120"/>
        <w:ind w:left="708" w:firstLine="1"/>
        <w:rPr>
          <w:rFonts w:cs="Times New Roman"/>
        </w:rPr>
      </w:pPr>
      <w:r w:rsidRPr="006A6DB0">
        <w:rPr>
          <w:rFonts w:cs="Times New Roman"/>
          <w:b/>
          <w:bCs/>
        </w:rPr>
        <w:t>Declaración de inteligencia artificial:</w:t>
      </w:r>
      <w:r w:rsidRPr="006A6DB0">
        <w:rPr>
          <w:rFonts w:cs="Times New Roman"/>
        </w:rPr>
        <w:t xml:space="preserve"> el o los autores de este trabajo de grado declaran que han utilizado</w:t>
      </w:r>
      <w:r>
        <w:rPr>
          <w:rFonts w:cs="Times New Roman"/>
        </w:rPr>
        <w:t xml:space="preserve"> </w:t>
      </w:r>
      <w:r w:rsidRPr="006A6DB0">
        <w:rPr>
          <w:rFonts w:cs="Times New Roman"/>
        </w:rPr>
        <w:t>herramientas de inteligencia artificial (IA), tales como [mencionar herramientas utilizadas, por ejemplo, ChatGPT,</w:t>
      </w:r>
      <w:r>
        <w:rPr>
          <w:rFonts w:cs="Times New Roman"/>
        </w:rPr>
        <w:t xml:space="preserve"> </w:t>
      </w:r>
      <w:r w:rsidRPr="006A6DB0">
        <w:rPr>
          <w:rFonts w:cs="Times New Roman"/>
        </w:rPr>
        <w:t>Grammarly, Turnitin, Copilot, Gemini, entre otras], de manera ética y responsable, tal como se establece en el</w:t>
      </w:r>
      <w:r>
        <w:rPr>
          <w:rFonts w:cs="Times New Roman"/>
        </w:rPr>
        <w:t xml:space="preserve"> </w:t>
      </w:r>
      <w:r w:rsidRPr="006A6DB0">
        <w:rPr>
          <w:rFonts w:cs="Times New Roman"/>
        </w:rPr>
        <w:t>Acuerdo UManizales 002 (julio 26 de 2023) sobre propiedad intelectual e IA. Estas herramientas son empleadas</w:t>
      </w:r>
      <w:r>
        <w:rPr>
          <w:rFonts w:cs="Times New Roman"/>
        </w:rPr>
        <w:t xml:space="preserve"> </w:t>
      </w:r>
      <w:r w:rsidRPr="006A6DB0">
        <w:rPr>
          <w:rFonts w:cs="Times New Roman"/>
        </w:rPr>
        <w:t>como apoyo en la redacción, revisión gramatical y generación de ideas, pero en ningún caso sustituyen el análisis</w:t>
      </w:r>
      <w:r>
        <w:rPr>
          <w:rFonts w:cs="Times New Roman"/>
        </w:rPr>
        <w:t xml:space="preserve"> </w:t>
      </w:r>
      <w:r w:rsidRPr="006A6DB0">
        <w:rPr>
          <w:rFonts w:cs="Times New Roman"/>
        </w:rPr>
        <w:t>crítico, la argumentación académica ni la originalidad del trabajo. Asimismo, cualquier contenido generado con</w:t>
      </w:r>
      <w:r>
        <w:rPr>
          <w:rFonts w:cs="Times New Roman"/>
        </w:rPr>
        <w:t xml:space="preserve"> </w:t>
      </w:r>
      <w:r w:rsidRPr="006A6DB0">
        <w:rPr>
          <w:rFonts w:cs="Times New Roman"/>
        </w:rPr>
        <w:t>asistencia de IA está citado y referenciado adecuadamente, garantizando la integridad académica y el cumplimiento</w:t>
      </w:r>
      <w:r>
        <w:rPr>
          <w:rFonts w:cs="Times New Roman"/>
        </w:rPr>
        <w:t xml:space="preserve"> </w:t>
      </w:r>
      <w:r w:rsidRPr="006A6DB0">
        <w:rPr>
          <w:rFonts w:cs="Times New Roman"/>
        </w:rPr>
        <w:t>de los principios éticos de la investigación.</w:t>
      </w:r>
    </w:p>
    <w:p w14:paraId="390C0809" w14:textId="77777777" w:rsidR="000E5B14" w:rsidRPr="00556A8B" w:rsidRDefault="000E5B14" w:rsidP="00073580">
      <w:pPr>
        <w:spacing w:before="120" w:after="120"/>
        <w:rPr>
          <w:rFonts w:cs="Times New Roman"/>
        </w:rPr>
      </w:pPr>
    </w:p>
    <w:p w14:paraId="1D9D1F9B" w14:textId="77777777" w:rsidR="000E5B14" w:rsidRPr="00556A8B" w:rsidRDefault="000E5B14" w:rsidP="00073580">
      <w:pPr>
        <w:spacing w:before="120" w:after="120"/>
        <w:rPr>
          <w:rFonts w:cs="Times New Roman"/>
          <w:b/>
          <w:bCs/>
        </w:rPr>
      </w:pPr>
      <w:r w:rsidRPr="00556A8B">
        <w:rPr>
          <w:rFonts w:cs="Times New Roman"/>
          <w:b/>
          <w:bCs/>
        </w:rPr>
        <w:t>Biblioteca y Centro de Recursos</w:t>
      </w:r>
      <w:r w:rsidRPr="00556A8B">
        <w:rPr>
          <w:rFonts w:cs="Times New Roman"/>
        </w:rPr>
        <w:t>: https://biblioteca.umanizales.edu.co/</w:t>
      </w:r>
      <w:bookmarkStart w:id="12" w:name="_Hlk66966829"/>
      <w:bookmarkStart w:id="13" w:name="_Hlk65432254"/>
      <w:bookmarkStart w:id="14" w:name="_Hlk64031990"/>
      <w:bookmarkEnd w:id="8"/>
    </w:p>
    <w:bookmarkEnd w:id="12"/>
    <w:p w14:paraId="2FD24B16" w14:textId="77777777" w:rsidR="000E5B14" w:rsidRPr="00556A8B" w:rsidRDefault="000E5B14" w:rsidP="00073580">
      <w:pPr>
        <w:spacing w:before="120" w:after="120"/>
        <w:rPr>
          <w:rFonts w:cs="Times New Roman"/>
          <w:b/>
          <w:bCs/>
        </w:rPr>
      </w:pPr>
    </w:p>
    <w:p w14:paraId="3197534D" w14:textId="77777777" w:rsidR="000E5B14" w:rsidRPr="00556A8B" w:rsidRDefault="000E5B14" w:rsidP="00073580">
      <w:pPr>
        <w:spacing w:before="120" w:after="120"/>
        <w:rPr>
          <w:rFonts w:cs="Times New Roman"/>
        </w:rPr>
      </w:pPr>
      <w:r w:rsidRPr="00556A8B">
        <w:rPr>
          <w:rFonts w:cs="Times New Roman"/>
          <w:b/>
          <w:bCs/>
        </w:rPr>
        <w:t>Repositorio Institucional:</w:t>
      </w:r>
      <w:r w:rsidRPr="00556A8B">
        <w:rPr>
          <w:rFonts w:cs="Times New Roman"/>
        </w:rPr>
        <w:t xml:space="preserve"> http://ridum.umanizales.edu.co/ </w:t>
      </w:r>
    </w:p>
    <w:p w14:paraId="15636F51" w14:textId="77777777" w:rsidR="000E5B14" w:rsidRPr="00556A8B" w:rsidRDefault="000E5B14" w:rsidP="00073580">
      <w:pPr>
        <w:rPr>
          <w:rFonts w:cs="Times New Roman"/>
        </w:rPr>
      </w:pPr>
    </w:p>
    <w:p w14:paraId="22B22EB3" w14:textId="77777777" w:rsidR="000E5B14" w:rsidRPr="00556A8B" w:rsidRDefault="000E5B14" w:rsidP="00073580">
      <w:pPr>
        <w:rPr>
          <w:rFonts w:cs="Times New Roman"/>
        </w:rPr>
      </w:pPr>
      <w:r w:rsidRPr="00556A8B">
        <w:rPr>
          <w:rFonts w:cs="Times New Roman"/>
          <w:b/>
          <w:bCs/>
        </w:rPr>
        <w:t>Universidad de Manizales:</w:t>
      </w:r>
      <w:r w:rsidRPr="00556A8B">
        <w:rPr>
          <w:rFonts w:cs="Times New Roman"/>
        </w:rPr>
        <w:t xml:space="preserve"> www.umanizales.edu.co </w:t>
      </w:r>
    </w:p>
    <w:p w14:paraId="28B64C51" w14:textId="77777777" w:rsidR="000E5B14" w:rsidRPr="00556A8B" w:rsidRDefault="000E5B14" w:rsidP="00073580">
      <w:pPr>
        <w:rPr>
          <w:rFonts w:cs="Times New Roman"/>
        </w:rPr>
      </w:pPr>
    </w:p>
    <w:p w14:paraId="749A773F" w14:textId="77777777" w:rsidR="000E5B14" w:rsidRPr="00556A8B" w:rsidRDefault="000E5B14" w:rsidP="00073580">
      <w:pPr>
        <w:rPr>
          <w:rFonts w:cs="Times New Roman"/>
        </w:rPr>
      </w:pPr>
      <w:r w:rsidRPr="00556A8B">
        <w:rPr>
          <w:rFonts w:cs="Times New Roman"/>
          <w:b/>
          <w:bCs/>
        </w:rPr>
        <w:t>Revistas:</w:t>
      </w:r>
      <w:r w:rsidRPr="00556A8B">
        <w:rPr>
          <w:rFonts w:cs="Times New Roman"/>
        </w:rPr>
        <w:t xml:space="preserve"> http://revistasum.umanizales.edu.co/</w:t>
      </w:r>
    </w:p>
    <w:p w14:paraId="64DD9216" w14:textId="77777777" w:rsidR="000E5B14" w:rsidRPr="00556A8B" w:rsidRDefault="000E5B14" w:rsidP="00073580">
      <w:pPr>
        <w:rPr>
          <w:rFonts w:cs="Times New Roman"/>
        </w:rPr>
      </w:pPr>
    </w:p>
    <w:p w14:paraId="233A4CE8" w14:textId="77777777" w:rsidR="000E5B14" w:rsidRPr="00556A8B" w:rsidRDefault="000E5B14" w:rsidP="00073580">
      <w:pPr>
        <w:rPr>
          <w:rFonts w:cs="Times New Roman"/>
        </w:rPr>
      </w:pPr>
      <w:r w:rsidRPr="00556A8B">
        <w:rPr>
          <w:rFonts w:cs="Times New Roman"/>
          <w:b/>
          <w:bCs/>
        </w:rPr>
        <w:t>Fondo Editorial:</w:t>
      </w:r>
      <w:r w:rsidRPr="00556A8B">
        <w:rPr>
          <w:rFonts w:cs="Times New Roman"/>
        </w:rPr>
        <w:t xml:space="preserve"> https://editorialum.umanizales.edu.co/</w:t>
      </w:r>
    </w:p>
    <w:p w14:paraId="0EA51DE0" w14:textId="77777777" w:rsidR="000E5B14" w:rsidRPr="00556A8B" w:rsidRDefault="000E5B14" w:rsidP="00073580">
      <w:pPr>
        <w:rPr>
          <w:rFonts w:cs="Times New Roman"/>
        </w:rPr>
      </w:pPr>
    </w:p>
    <w:p w14:paraId="6F77D9B0" w14:textId="77777777" w:rsidR="000E5B14" w:rsidRPr="00556A8B" w:rsidRDefault="000E5B14" w:rsidP="00073580">
      <w:pPr>
        <w:rPr>
          <w:rFonts w:cs="Times New Roman"/>
        </w:rPr>
      </w:pPr>
    </w:p>
    <w:p w14:paraId="63E7216F" w14:textId="77777777" w:rsidR="000E5B14" w:rsidRPr="00556A8B" w:rsidRDefault="000E5B14" w:rsidP="00073580">
      <w:pPr>
        <w:rPr>
          <w:rFonts w:cs="Times New Roman"/>
        </w:rPr>
      </w:pPr>
      <w:r w:rsidRPr="00556A8B">
        <w:rPr>
          <w:rFonts w:cs="Times New Roman"/>
        </w:rPr>
        <w:t>El contenido de esta obra corresponde al derecho de expresión de los autores y no compromete el pensamiento institucional de la Universidad de Manizales ni desata su responsabilidad frente a terceros. Los autores asumen la responsabilidad por los derechos de autor y conexos.</w:t>
      </w:r>
      <w:bookmarkEnd w:id="4"/>
      <w:bookmarkEnd w:id="9"/>
      <w:bookmarkEnd w:id="13"/>
      <w:bookmarkEnd w:id="14"/>
    </w:p>
    <w:p w14:paraId="34FA79C3" w14:textId="77777777" w:rsidR="000E5B14" w:rsidRPr="00556A8B" w:rsidRDefault="000E5B14" w:rsidP="00073580">
      <w:pPr>
        <w:jc w:val="center"/>
        <w:rPr>
          <w:rFonts w:cs="Times New Roman"/>
          <w:b/>
        </w:rPr>
        <w:sectPr w:rsidR="000E5B14" w:rsidRPr="00556A8B" w:rsidSect="000E5B14">
          <w:headerReference w:type="default" r:id="rId12"/>
          <w:headerReference w:type="first" r:id="rId13"/>
          <w:type w:val="nextColumn"/>
          <w:pgSz w:w="12240" w:h="15840"/>
          <w:pgMar w:top="1418" w:right="1418" w:bottom="1418" w:left="1418" w:header="709" w:footer="709" w:gutter="0"/>
          <w:cols w:space="708"/>
          <w:docGrid w:linePitch="360"/>
        </w:sectPr>
      </w:pPr>
    </w:p>
    <w:p w14:paraId="081E10E6" w14:textId="77777777" w:rsidR="000E5B14" w:rsidRPr="00556A8B" w:rsidRDefault="000E5B14" w:rsidP="00073580">
      <w:pPr>
        <w:jc w:val="center"/>
        <w:rPr>
          <w:rFonts w:cs="Times New Roman"/>
          <w:b/>
        </w:rPr>
      </w:pPr>
    </w:p>
    <w:p w14:paraId="047AFFFB" w14:textId="77777777" w:rsidR="000E5B14" w:rsidRPr="00556A8B" w:rsidRDefault="000E5B14" w:rsidP="00073580">
      <w:pPr>
        <w:ind w:firstLine="0"/>
        <w:jc w:val="center"/>
        <w:rPr>
          <w:rFonts w:cs="Times New Roman"/>
        </w:rPr>
      </w:pPr>
      <w:r w:rsidRPr="00556A8B">
        <w:rPr>
          <w:rFonts w:cs="Times New Roman"/>
          <w:b/>
        </w:rPr>
        <w:t>Dedicatoria</w:t>
      </w:r>
    </w:p>
    <w:p w14:paraId="7DBAEB0A" w14:textId="77777777" w:rsidR="000E5B14" w:rsidRPr="00556A8B" w:rsidRDefault="000E5B14" w:rsidP="00073580">
      <w:pPr>
        <w:ind w:firstLine="0"/>
        <w:jc w:val="center"/>
        <w:rPr>
          <w:rFonts w:cs="Times New Roman"/>
        </w:rPr>
      </w:pPr>
    </w:p>
    <w:p w14:paraId="2A38E999" w14:textId="77777777" w:rsidR="006A6DB0" w:rsidRPr="006A6DB0" w:rsidRDefault="000E5B14" w:rsidP="006A6DB0">
      <w:pPr>
        <w:tabs>
          <w:tab w:val="center" w:pos="4702"/>
          <w:tab w:val="right" w:pos="9404"/>
        </w:tabs>
        <w:ind w:firstLine="0"/>
        <w:rPr>
          <w:rFonts w:cs="Times New Roman"/>
        </w:rPr>
      </w:pPr>
      <w:r w:rsidRPr="00556A8B">
        <w:rPr>
          <w:rFonts w:cs="Times New Roman"/>
        </w:rPr>
        <w:tab/>
      </w:r>
      <w:r w:rsidR="006A6DB0" w:rsidRPr="006A6DB0">
        <w:rPr>
          <w:rFonts w:cs="Times New Roman"/>
        </w:rPr>
        <w:t>A mis padres, por la raíz.</w:t>
      </w:r>
    </w:p>
    <w:p w14:paraId="64666AC5" w14:textId="61B9A90D" w:rsidR="006A6DB0" w:rsidRPr="006A6DB0" w:rsidRDefault="006A6DB0" w:rsidP="006A6DB0">
      <w:pPr>
        <w:tabs>
          <w:tab w:val="center" w:pos="4702"/>
          <w:tab w:val="right" w:pos="9404"/>
        </w:tabs>
        <w:ind w:firstLine="0"/>
        <w:jc w:val="center"/>
        <w:rPr>
          <w:rFonts w:cs="Times New Roman"/>
        </w:rPr>
      </w:pPr>
      <w:r w:rsidRPr="006A6DB0">
        <w:rPr>
          <w:rFonts w:cs="Times New Roman"/>
        </w:rPr>
        <w:t xml:space="preserve">A mi pareja y </w:t>
      </w:r>
      <w:r w:rsidR="00135A50">
        <w:rPr>
          <w:rFonts w:cs="Times New Roman"/>
        </w:rPr>
        <w:t xml:space="preserve">mi </w:t>
      </w:r>
      <w:r w:rsidRPr="006A6DB0">
        <w:rPr>
          <w:rFonts w:cs="Times New Roman"/>
        </w:rPr>
        <w:t>mono, por el amor que sostiene y la vida que da sentido.</w:t>
      </w:r>
    </w:p>
    <w:p w14:paraId="481AFFC0" w14:textId="77777777" w:rsidR="006A6DB0" w:rsidRPr="006A6DB0" w:rsidRDefault="006A6DB0" w:rsidP="006A6DB0">
      <w:pPr>
        <w:tabs>
          <w:tab w:val="center" w:pos="4702"/>
          <w:tab w:val="right" w:pos="9404"/>
        </w:tabs>
        <w:ind w:firstLine="0"/>
        <w:jc w:val="center"/>
        <w:rPr>
          <w:rFonts w:cs="Times New Roman"/>
        </w:rPr>
      </w:pPr>
      <w:r w:rsidRPr="006A6DB0">
        <w:rPr>
          <w:rFonts w:cs="Times New Roman"/>
        </w:rPr>
        <w:t>A mi hermana y mi sobrino, por la complicidad y la ternura.</w:t>
      </w:r>
    </w:p>
    <w:p w14:paraId="06D7DAF1" w14:textId="7556D53F" w:rsidR="000E5B14" w:rsidRPr="00556A8B" w:rsidRDefault="006A6DB0" w:rsidP="006A6DB0">
      <w:pPr>
        <w:tabs>
          <w:tab w:val="center" w:pos="4702"/>
          <w:tab w:val="right" w:pos="9404"/>
        </w:tabs>
        <w:ind w:firstLine="0"/>
        <w:jc w:val="center"/>
        <w:rPr>
          <w:rFonts w:cs="Times New Roman"/>
        </w:rPr>
      </w:pPr>
      <w:r w:rsidRPr="006A6DB0">
        <w:rPr>
          <w:rFonts w:cs="Times New Roman"/>
        </w:rPr>
        <w:t>A mí mismo, por no soltar.</w:t>
      </w:r>
    </w:p>
    <w:p w14:paraId="21F71037" w14:textId="77777777" w:rsidR="000E5B14" w:rsidRPr="00556A8B" w:rsidRDefault="000E5B14" w:rsidP="00073580">
      <w:pPr>
        <w:ind w:firstLine="0"/>
        <w:rPr>
          <w:rFonts w:cs="Times New Roman"/>
        </w:rPr>
      </w:pPr>
      <w:r w:rsidRPr="00556A8B">
        <w:rPr>
          <w:rFonts w:cs="Times New Roman"/>
        </w:rPr>
        <w:tab/>
      </w:r>
    </w:p>
    <w:p w14:paraId="1E35DE75" w14:textId="77777777" w:rsidR="000E5B14" w:rsidRPr="00556A8B" w:rsidRDefault="000E5B14" w:rsidP="00073580">
      <w:pPr>
        <w:ind w:firstLine="0"/>
        <w:rPr>
          <w:rFonts w:cs="Times New Roman"/>
        </w:rPr>
      </w:pPr>
    </w:p>
    <w:p w14:paraId="13A3E521" w14:textId="77777777" w:rsidR="000E5B14" w:rsidRPr="00556A8B" w:rsidRDefault="000E5B14" w:rsidP="00073580">
      <w:pPr>
        <w:tabs>
          <w:tab w:val="left" w:pos="7305"/>
        </w:tabs>
        <w:ind w:firstLine="0"/>
        <w:rPr>
          <w:rFonts w:cs="Times New Roman"/>
        </w:rPr>
      </w:pPr>
      <w:r w:rsidRPr="00556A8B">
        <w:rPr>
          <w:rFonts w:cs="Times New Roman"/>
        </w:rPr>
        <w:tab/>
      </w:r>
    </w:p>
    <w:p w14:paraId="1199E66D" w14:textId="77777777" w:rsidR="000E5B14" w:rsidRPr="00556A8B" w:rsidRDefault="000E5B14" w:rsidP="00073580">
      <w:pPr>
        <w:ind w:firstLine="0"/>
        <w:rPr>
          <w:rFonts w:cs="Times New Roman"/>
        </w:rPr>
      </w:pPr>
    </w:p>
    <w:p w14:paraId="5829A95B" w14:textId="77777777" w:rsidR="000E5B14" w:rsidRPr="00556A8B" w:rsidRDefault="000E5B14" w:rsidP="00073580">
      <w:pPr>
        <w:ind w:firstLine="0"/>
        <w:rPr>
          <w:rFonts w:cs="Times New Roman"/>
        </w:rPr>
      </w:pPr>
    </w:p>
    <w:p w14:paraId="5152E605" w14:textId="77777777" w:rsidR="000E5B14" w:rsidRPr="00556A8B" w:rsidRDefault="000E5B14" w:rsidP="00073580">
      <w:pPr>
        <w:ind w:firstLine="0"/>
        <w:rPr>
          <w:rFonts w:cs="Times New Roman"/>
        </w:rPr>
      </w:pPr>
    </w:p>
    <w:p w14:paraId="744F1F1C" w14:textId="77777777" w:rsidR="000E5B14" w:rsidRPr="00556A8B" w:rsidRDefault="000E5B14" w:rsidP="00073580">
      <w:pPr>
        <w:ind w:firstLine="0"/>
        <w:rPr>
          <w:rFonts w:cs="Times New Roman"/>
        </w:rPr>
      </w:pPr>
    </w:p>
    <w:p w14:paraId="1A697873" w14:textId="77777777" w:rsidR="000E5B14" w:rsidRPr="00556A8B" w:rsidRDefault="000E5B14" w:rsidP="00073580">
      <w:pPr>
        <w:ind w:firstLine="0"/>
        <w:rPr>
          <w:rFonts w:cs="Times New Roman"/>
        </w:rPr>
      </w:pPr>
    </w:p>
    <w:p w14:paraId="5B3E903E" w14:textId="77777777" w:rsidR="000E5B14" w:rsidRPr="00556A8B" w:rsidRDefault="000E5B14" w:rsidP="00073580">
      <w:pPr>
        <w:ind w:firstLine="0"/>
        <w:rPr>
          <w:rFonts w:cs="Times New Roman"/>
        </w:rPr>
      </w:pPr>
    </w:p>
    <w:p w14:paraId="0A308AC5" w14:textId="77777777" w:rsidR="000E5B14" w:rsidRPr="00556A8B" w:rsidRDefault="000E5B14" w:rsidP="00073580">
      <w:pPr>
        <w:ind w:firstLine="0"/>
        <w:rPr>
          <w:rFonts w:cs="Times New Roman"/>
        </w:rPr>
      </w:pPr>
    </w:p>
    <w:p w14:paraId="03485ECB" w14:textId="77777777" w:rsidR="000E5B14" w:rsidRPr="00556A8B" w:rsidRDefault="000E5B14" w:rsidP="00073580">
      <w:pPr>
        <w:ind w:firstLine="0"/>
        <w:jc w:val="center"/>
        <w:rPr>
          <w:rFonts w:cs="Times New Roman"/>
        </w:rPr>
      </w:pPr>
      <w:r w:rsidRPr="00556A8B">
        <w:rPr>
          <w:rFonts w:cs="Times New Roman"/>
          <w:b/>
        </w:rPr>
        <w:t>Agradecimientos</w:t>
      </w:r>
    </w:p>
    <w:p w14:paraId="0A694035" w14:textId="77777777" w:rsidR="000E5B14" w:rsidRPr="00556A8B" w:rsidRDefault="000E5B14" w:rsidP="00073580">
      <w:pPr>
        <w:ind w:firstLine="0"/>
        <w:jc w:val="center"/>
        <w:rPr>
          <w:rFonts w:cs="Times New Roman"/>
        </w:rPr>
      </w:pPr>
    </w:p>
    <w:p w14:paraId="20B05BF3" w14:textId="0241BB45" w:rsidR="000E5B14" w:rsidRPr="00556A8B" w:rsidRDefault="006A6DB0" w:rsidP="006A6DB0">
      <w:pPr>
        <w:ind w:firstLine="0"/>
        <w:jc w:val="center"/>
        <w:rPr>
          <w:rFonts w:cs="Times New Roman"/>
        </w:rPr>
      </w:pPr>
      <w:r w:rsidRPr="006A6DB0">
        <w:rPr>
          <w:rFonts w:cs="Times New Roman"/>
        </w:rPr>
        <w:t>Este proceso no se escribe solo. Se teje, lentamente, con las voces, las presencias y los silencios de quienes acompañaron cada giro del camino: con una pregunta, una conversación, un gesto. Este trabajo lleva algo de cada uno.</w:t>
      </w:r>
    </w:p>
    <w:p w14:paraId="28C43C72" w14:textId="77777777" w:rsidR="000E5B14" w:rsidRPr="00556A8B" w:rsidRDefault="000E5B14" w:rsidP="00073580">
      <w:pPr>
        <w:ind w:firstLine="0"/>
        <w:rPr>
          <w:rFonts w:cs="Times New Roman"/>
        </w:rPr>
      </w:pPr>
      <w:r w:rsidRPr="00556A8B">
        <w:rPr>
          <w:rFonts w:cs="Times New Roman"/>
        </w:rPr>
        <w:tab/>
      </w:r>
    </w:p>
    <w:p w14:paraId="0B4FA9B9" w14:textId="77777777" w:rsidR="000E5B14" w:rsidRPr="00556A8B" w:rsidRDefault="000E5B14" w:rsidP="00073580">
      <w:pPr>
        <w:ind w:firstLine="0"/>
        <w:rPr>
          <w:rFonts w:cs="Times New Roman"/>
        </w:rPr>
      </w:pPr>
    </w:p>
    <w:p w14:paraId="0A2EDC8D" w14:textId="77777777" w:rsidR="000E5B14" w:rsidRPr="00556A8B" w:rsidRDefault="000E5B14" w:rsidP="00073580">
      <w:pPr>
        <w:rPr>
          <w:rFonts w:cs="Times New Roman"/>
        </w:rPr>
      </w:pPr>
    </w:p>
    <w:p w14:paraId="42CFC57E" w14:textId="77777777" w:rsidR="000E5B14" w:rsidRPr="00556A8B" w:rsidRDefault="000E5B14" w:rsidP="00073580">
      <w:pPr>
        <w:rPr>
          <w:rFonts w:cs="Times New Roman"/>
        </w:rPr>
      </w:pPr>
    </w:p>
    <w:p w14:paraId="37D85C6C" w14:textId="77777777" w:rsidR="000E5B14" w:rsidRPr="00556A8B" w:rsidRDefault="000E5B14" w:rsidP="00073580">
      <w:pPr>
        <w:rPr>
          <w:rFonts w:cs="Times New Roman"/>
        </w:rPr>
      </w:pPr>
      <w:r w:rsidRPr="00556A8B">
        <w:rPr>
          <w:rFonts w:cs="Times New Roman"/>
        </w:rPr>
        <w:br w:type="page"/>
      </w:r>
    </w:p>
    <w:sdt>
      <w:sdtPr>
        <w:rPr>
          <w:rFonts w:eastAsiaTheme="minorEastAsia" w:cs="Times New Roman"/>
          <w:b/>
          <w:bCs/>
          <w:lang w:val="es-ES" w:eastAsia="en-US"/>
        </w:rPr>
        <w:id w:val="-687217313"/>
        <w:docPartObj>
          <w:docPartGallery w:val="Table of Contents"/>
          <w:docPartUnique/>
        </w:docPartObj>
      </w:sdtPr>
      <w:sdtEndPr>
        <w:rPr>
          <w:b w:val="0"/>
          <w:bCs w:val="0"/>
          <w:lang w:eastAsia="es-CO"/>
        </w:rPr>
      </w:sdtEndPr>
      <w:sdtContent>
        <w:p w14:paraId="025E796C" w14:textId="77777777" w:rsidR="000E5B14" w:rsidRPr="00556A8B" w:rsidRDefault="000E5B14" w:rsidP="00073580">
          <w:pPr>
            <w:ind w:firstLine="0"/>
            <w:jc w:val="center"/>
            <w:rPr>
              <w:rFonts w:cs="Times New Roman"/>
              <w:b/>
              <w:bCs/>
            </w:rPr>
          </w:pPr>
          <w:r w:rsidRPr="00556A8B">
            <w:rPr>
              <w:rFonts w:cs="Times New Roman"/>
              <w:b/>
              <w:bCs/>
              <w:lang w:val="es-ES"/>
            </w:rPr>
            <w:t>Tabla de contenido</w:t>
          </w:r>
        </w:p>
        <w:p w14:paraId="404DF8E4" w14:textId="683895A4" w:rsidR="00BB1F67" w:rsidRDefault="000E5B14" w:rsidP="00187C9E">
          <w:pPr>
            <w:pStyle w:val="TDC1"/>
            <w:rPr>
              <w:rFonts w:asciiTheme="minorHAnsi" w:eastAsiaTheme="minorEastAsia" w:hAnsiTheme="minorHAnsi"/>
            </w:rPr>
          </w:pPr>
          <w:r w:rsidRPr="00556A8B">
            <w:fldChar w:fldCharType="begin"/>
          </w:r>
          <w:r w:rsidRPr="00556A8B">
            <w:instrText xml:space="preserve"> TOC \o "1-5" \h \z \u </w:instrText>
          </w:r>
          <w:r w:rsidRPr="00556A8B">
            <w:fldChar w:fldCharType="separate"/>
          </w:r>
        </w:p>
        <w:p w14:paraId="0B845966" w14:textId="42AB02D0" w:rsidR="00BB1F67" w:rsidRDefault="00BB1F67" w:rsidP="00187C9E">
          <w:pPr>
            <w:pStyle w:val="TDC1"/>
            <w:rPr>
              <w:rFonts w:asciiTheme="minorHAnsi" w:eastAsiaTheme="minorEastAsia" w:hAnsiTheme="minorHAnsi"/>
            </w:rPr>
          </w:pPr>
          <w:hyperlink w:anchor="_Toc232580551" w:history="1">
            <w:r w:rsidRPr="00EA33DE">
              <w:rPr>
                <w:rStyle w:val="Hipervnculo"/>
              </w:rPr>
              <w:t>Introducció</w:t>
            </w:r>
            <w:r>
              <w:rPr>
                <w:rStyle w:val="Hipervnculo"/>
              </w:rPr>
              <w:t>n</w:t>
            </w:r>
            <w:r>
              <w:rPr>
                <w:webHidden/>
              </w:rPr>
              <w:tab/>
            </w:r>
            <w:r>
              <w:rPr>
                <w:webHidden/>
              </w:rPr>
              <w:fldChar w:fldCharType="begin"/>
            </w:r>
            <w:r>
              <w:rPr>
                <w:webHidden/>
              </w:rPr>
              <w:instrText xml:space="preserve"> PAGEREF _Toc232580551 \h </w:instrText>
            </w:r>
            <w:r>
              <w:rPr>
                <w:webHidden/>
              </w:rPr>
            </w:r>
            <w:r>
              <w:rPr>
                <w:webHidden/>
              </w:rPr>
              <w:fldChar w:fldCharType="separate"/>
            </w:r>
            <w:r w:rsidR="00552FC6">
              <w:rPr>
                <w:webHidden/>
              </w:rPr>
              <w:t>13</w:t>
            </w:r>
            <w:r>
              <w:rPr>
                <w:webHidden/>
              </w:rPr>
              <w:fldChar w:fldCharType="end"/>
            </w:r>
          </w:hyperlink>
        </w:p>
        <w:p w14:paraId="6F665E6A" w14:textId="422A49FA" w:rsidR="00BB1F67" w:rsidRDefault="00BB1F67" w:rsidP="00F860C0">
          <w:pPr>
            <w:pStyle w:val="TDC2"/>
            <w:rPr>
              <w:rFonts w:asciiTheme="minorHAnsi" w:eastAsiaTheme="minorEastAsia" w:hAnsiTheme="minorHAnsi"/>
            </w:rPr>
          </w:pPr>
          <w:hyperlink w:anchor="_Toc232580552" w:history="1">
            <w:r w:rsidRPr="00EA33DE">
              <w:rPr>
                <w:rStyle w:val="Hipervnculo"/>
              </w:rPr>
              <w:t>1.1.Planteamiento del problema</w:t>
            </w:r>
            <w:r>
              <w:rPr>
                <w:webHidden/>
              </w:rPr>
              <w:tab/>
            </w:r>
            <w:r>
              <w:rPr>
                <w:webHidden/>
              </w:rPr>
              <w:fldChar w:fldCharType="begin"/>
            </w:r>
            <w:r>
              <w:rPr>
                <w:webHidden/>
              </w:rPr>
              <w:instrText xml:space="preserve"> PAGEREF _Toc232580552 \h </w:instrText>
            </w:r>
            <w:r>
              <w:rPr>
                <w:webHidden/>
              </w:rPr>
            </w:r>
            <w:r>
              <w:rPr>
                <w:webHidden/>
              </w:rPr>
              <w:fldChar w:fldCharType="separate"/>
            </w:r>
            <w:r w:rsidR="00552FC6">
              <w:rPr>
                <w:webHidden/>
              </w:rPr>
              <w:t>16</w:t>
            </w:r>
            <w:r>
              <w:rPr>
                <w:webHidden/>
              </w:rPr>
              <w:fldChar w:fldCharType="end"/>
            </w:r>
          </w:hyperlink>
        </w:p>
        <w:p w14:paraId="454109D6" w14:textId="177C5986" w:rsidR="00BB1F67" w:rsidRDefault="00BB1F67" w:rsidP="00187C9E">
          <w:pPr>
            <w:pStyle w:val="TDC1"/>
            <w:rPr>
              <w:rFonts w:asciiTheme="minorHAnsi" w:eastAsiaTheme="minorEastAsia" w:hAnsiTheme="minorHAnsi"/>
            </w:rPr>
          </w:pPr>
          <w:hyperlink w:anchor="_Toc232580553" w:history="1">
            <w:r w:rsidRPr="00EA33DE">
              <w:rPr>
                <w:rStyle w:val="Hipervnculo"/>
              </w:rPr>
              <w:t>2.Justificación</w:t>
            </w:r>
            <w:r>
              <w:rPr>
                <w:webHidden/>
              </w:rPr>
              <w:tab/>
            </w:r>
            <w:r>
              <w:rPr>
                <w:webHidden/>
              </w:rPr>
              <w:fldChar w:fldCharType="begin"/>
            </w:r>
            <w:r>
              <w:rPr>
                <w:webHidden/>
              </w:rPr>
              <w:instrText xml:space="preserve"> PAGEREF _Toc232580553 \h </w:instrText>
            </w:r>
            <w:r>
              <w:rPr>
                <w:webHidden/>
              </w:rPr>
            </w:r>
            <w:r>
              <w:rPr>
                <w:webHidden/>
              </w:rPr>
              <w:fldChar w:fldCharType="separate"/>
            </w:r>
            <w:r w:rsidR="00552FC6">
              <w:rPr>
                <w:webHidden/>
              </w:rPr>
              <w:t>22</w:t>
            </w:r>
            <w:r>
              <w:rPr>
                <w:webHidden/>
              </w:rPr>
              <w:fldChar w:fldCharType="end"/>
            </w:r>
          </w:hyperlink>
        </w:p>
        <w:p w14:paraId="6B231DFF" w14:textId="7C49B370" w:rsidR="00BB1F67" w:rsidRDefault="00BB1F67" w:rsidP="00187C9E">
          <w:pPr>
            <w:pStyle w:val="TDC1"/>
            <w:rPr>
              <w:rFonts w:asciiTheme="minorHAnsi" w:eastAsiaTheme="minorEastAsia" w:hAnsiTheme="minorHAnsi"/>
            </w:rPr>
          </w:pPr>
          <w:hyperlink w:anchor="_Toc232580554" w:history="1">
            <w:r w:rsidRPr="00EA33DE">
              <w:rPr>
                <w:rStyle w:val="Hipervnculo"/>
              </w:rPr>
              <w:t>3.Objetivos</w:t>
            </w:r>
            <w:r>
              <w:rPr>
                <w:webHidden/>
              </w:rPr>
              <w:tab/>
            </w:r>
            <w:r w:rsidR="003D4A80">
              <w:rPr>
                <w:webHidden/>
              </w:rPr>
              <w:t>…….</w:t>
            </w:r>
            <w:r w:rsidR="003D4A80">
              <w:rPr>
                <w:webHidden/>
              </w:rPr>
              <w:tab/>
            </w:r>
            <w:r>
              <w:rPr>
                <w:webHidden/>
              </w:rPr>
              <w:fldChar w:fldCharType="begin"/>
            </w:r>
            <w:r>
              <w:rPr>
                <w:webHidden/>
              </w:rPr>
              <w:instrText xml:space="preserve"> PAGEREF _Toc232580554 \h </w:instrText>
            </w:r>
            <w:r>
              <w:rPr>
                <w:webHidden/>
              </w:rPr>
            </w:r>
            <w:r>
              <w:rPr>
                <w:webHidden/>
              </w:rPr>
              <w:fldChar w:fldCharType="separate"/>
            </w:r>
            <w:r w:rsidR="00552FC6">
              <w:rPr>
                <w:webHidden/>
              </w:rPr>
              <w:t>24</w:t>
            </w:r>
            <w:r>
              <w:rPr>
                <w:webHidden/>
              </w:rPr>
              <w:fldChar w:fldCharType="end"/>
            </w:r>
          </w:hyperlink>
        </w:p>
        <w:p w14:paraId="3D42B5E0" w14:textId="6A8788A9" w:rsidR="00BB1F67" w:rsidRDefault="00BB1F67" w:rsidP="00F860C0">
          <w:pPr>
            <w:pStyle w:val="TDC2"/>
            <w:rPr>
              <w:rFonts w:asciiTheme="minorHAnsi" w:eastAsiaTheme="minorEastAsia" w:hAnsiTheme="minorHAnsi"/>
            </w:rPr>
          </w:pPr>
          <w:hyperlink w:anchor="_Toc232580555" w:history="1">
            <w:r w:rsidRPr="00EA33DE">
              <w:rPr>
                <w:rStyle w:val="Hipervnculo"/>
              </w:rPr>
              <w:t>3.1.Objetivo general</w:t>
            </w:r>
            <w:r>
              <w:rPr>
                <w:webHidden/>
              </w:rPr>
              <w:tab/>
            </w:r>
            <w:r>
              <w:rPr>
                <w:webHidden/>
              </w:rPr>
              <w:fldChar w:fldCharType="begin"/>
            </w:r>
            <w:r>
              <w:rPr>
                <w:webHidden/>
              </w:rPr>
              <w:instrText xml:space="preserve"> PAGEREF _Toc232580555 \h </w:instrText>
            </w:r>
            <w:r>
              <w:rPr>
                <w:webHidden/>
              </w:rPr>
            </w:r>
            <w:r>
              <w:rPr>
                <w:webHidden/>
              </w:rPr>
              <w:fldChar w:fldCharType="separate"/>
            </w:r>
            <w:r w:rsidR="00552FC6">
              <w:rPr>
                <w:webHidden/>
              </w:rPr>
              <w:t>24</w:t>
            </w:r>
            <w:r>
              <w:rPr>
                <w:webHidden/>
              </w:rPr>
              <w:fldChar w:fldCharType="end"/>
            </w:r>
          </w:hyperlink>
        </w:p>
        <w:p w14:paraId="43481E21" w14:textId="54420D9B" w:rsidR="00BB1F67" w:rsidRDefault="00BB1F67" w:rsidP="00F860C0">
          <w:pPr>
            <w:pStyle w:val="TDC2"/>
            <w:rPr>
              <w:rFonts w:asciiTheme="minorHAnsi" w:eastAsiaTheme="minorEastAsia" w:hAnsiTheme="minorHAnsi"/>
            </w:rPr>
          </w:pPr>
          <w:hyperlink w:anchor="_Toc232580556" w:history="1">
            <w:r w:rsidRPr="00EA33DE">
              <w:rPr>
                <w:rStyle w:val="Hipervnculo"/>
              </w:rPr>
              <w:t>3.2.Objetivos específicos</w:t>
            </w:r>
            <w:r>
              <w:rPr>
                <w:webHidden/>
              </w:rPr>
              <w:tab/>
            </w:r>
            <w:r>
              <w:rPr>
                <w:webHidden/>
              </w:rPr>
              <w:fldChar w:fldCharType="begin"/>
            </w:r>
            <w:r>
              <w:rPr>
                <w:webHidden/>
              </w:rPr>
              <w:instrText xml:space="preserve"> PAGEREF _Toc232580556 \h </w:instrText>
            </w:r>
            <w:r>
              <w:rPr>
                <w:webHidden/>
              </w:rPr>
            </w:r>
            <w:r>
              <w:rPr>
                <w:webHidden/>
              </w:rPr>
              <w:fldChar w:fldCharType="separate"/>
            </w:r>
            <w:r w:rsidR="00552FC6">
              <w:rPr>
                <w:webHidden/>
              </w:rPr>
              <w:t>24</w:t>
            </w:r>
            <w:r>
              <w:rPr>
                <w:webHidden/>
              </w:rPr>
              <w:fldChar w:fldCharType="end"/>
            </w:r>
          </w:hyperlink>
        </w:p>
        <w:p w14:paraId="40B8A3F7" w14:textId="7335DE78" w:rsidR="00BB1F67" w:rsidRDefault="00BB1F67" w:rsidP="00187C9E">
          <w:pPr>
            <w:pStyle w:val="TDC1"/>
            <w:rPr>
              <w:rFonts w:asciiTheme="minorHAnsi" w:eastAsiaTheme="minorEastAsia" w:hAnsiTheme="minorHAnsi"/>
            </w:rPr>
          </w:pPr>
          <w:hyperlink w:anchor="_Toc232580557" w:history="1">
            <w:r w:rsidRPr="00EA33DE">
              <w:rPr>
                <w:rStyle w:val="Hipervnculo"/>
              </w:rPr>
              <w:t>4.Referente teórico</w:t>
            </w:r>
            <w:r>
              <w:rPr>
                <w:webHidden/>
              </w:rPr>
              <w:tab/>
            </w:r>
            <w:r>
              <w:rPr>
                <w:webHidden/>
              </w:rPr>
              <w:fldChar w:fldCharType="begin"/>
            </w:r>
            <w:r>
              <w:rPr>
                <w:webHidden/>
              </w:rPr>
              <w:instrText xml:space="preserve"> PAGEREF _Toc232580557 \h </w:instrText>
            </w:r>
            <w:r>
              <w:rPr>
                <w:webHidden/>
              </w:rPr>
            </w:r>
            <w:r>
              <w:rPr>
                <w:webHidden/>
              </w:rPr>
              <w:fldChar w:fldCharType="separate"/>
            </w:r>
            <w:r w:rsidR="00552FC6">
              <w:rPr>
                <w:webHidden/>
              </w:rPr>
              <w:t>25</w:t>
            </w:r>
            <w:r>
              <w:rPr>
                <w:webHidden/>
              </w:rPr>
              <w:fldChar w:fldCharType="end"/>
            </w:r>
          </w:hyperlink>
        </w:p>
        <w:p w14:paraId="06771B9E" w14:textId="6B419C75" w:rsidR="00BB1F67" w:rsidRDefault="00BB1F67" w:rsidP="00F860C0">
          <w:pPr>
            <w:pStyle w:val="TDC2"/>
            <w:rPr>
              <w:rFonts w:asciiTheme="minorHAnsi" w:eastAsiaTheme="minorEastAsia" w:hAnsiTheme="minorHAnsi"/>
            </w:rPr>
          </w:pPr>
          <w:hyperlink w:anchor="_Toc232580558" w:history="1">
            <w:r w:rsidRPr="00EA33DE">
              <w:rPr>
                <w:rStyle w:val="Hipervnculo"/>
              </w:rPr>
              <w:t>4.1.La salud mental como construcción histórica y régimen de verdad</w:t>
            </w:r>
            <w:r>
              <w:rPr>
                <w:webHidden/>
              </w:rPr>
              <w:tab/>
            </w:r>
            <w:r>
              <w:rPr>
                <w:webHidden/>
              </w:rPr>
              <w:fldChar w:fldCharType="begin"/>
            </w:r>
            <w:r>
              <w:rPr>
                <w:webHidden/>
              </w:rPr>
              <w:instrText xml:space="preserve"> PAGEREF _Toc232580558 \h </w:instrText>
            </w:r>
            <w:r>
              <w:rPr>
                <w:webHidden/>
              </w:rPr>
            </w:r>
            <w:r>
              <w:rPr>
                <w:webHidden/>
              </w:rPr>
              <w:fldChar w:fldCharType="separate"/>
            </w:r>
            <w:r w:rsidR="00552FC6">
              <w:rPr>
                <w:webHidden/>
              </w:rPr>
              <w:t>26</w:t>
            </w:r>
            <w:r>
              <w:rPr>
                <w:webHidden/>
              </w:rPr>
              <w:fldChar w:fldCharType="end"/>
            </w:r>
          </w:hyperlink>
        </w:p>
        <w:p w14:paraId="226B2A8E" w14:textId="055BB552" w:rsidR="00BB1F67" w:rsidRDefault="00BB1F67" w:rsidP="00F860C0">
          <w:pPr>
            <w:pStyle w:val="TDC2"/>
            <w:rPr>
              <w:rFonts w:asciiTheme="minorHAnsi" w:eastAsiaTheme="minorEastAsia" w:hAnsiTheme="minorHAnsi"/>
            </w:rPr>
          </w:pPr>
          <w:hyperlink w:anchor="_Toc232580559" w:history="1">
            <w:r w:rsidRPr="00EA33DE">
              <w:rPr>
                <w:rStyle w:val="Hipervnculo"/>
              </w:rPr>
              <w:t>4.2.Salud mental como dispositivo de producción de subjetividad en el presente</w:t>
            </w:r>
            <w:r w:rsidR="003D4A80">
              <w:rPr>
                <w:rStyle w:val="Hipervnculo"/>
              </w:rPr>
              <w:t xml:space="preserve"> </w:t>
            </w:r>
            <w:r w:rsidRPr="00EA33DE">
              <w:rPr>
                <w:rStyle w:val="Hipervnculo"/>
              </w:rPr>
              <w:t>histórico</w:t>
            </w:r>
            <w:r>
              <w:rPr>
                <w:rStyle w:val="Hipervnculo"/>
              </w:rPr>
              <w:t>……..</w:t>
            </w:r>
            <w:r>
              <w:rPr>
                <w:webHidden/>
              </w:rPr>
              <w:tab/>
            </w:r>
            <w:r>
              <w:rPr>
                <w:webHidden/>
              </w:rPr>
              <w:fldChar w:fldCharType="begin"/>
            </w:r>
            <w:r>
              <w:rPr>
                <w:webHidden/>
              </w:rPr>
              <w:instrText xml:space="preserve"> PAGEREF _Toc232580559 \h </w:instrText>
            </w:r>
            <w:r>
              <w:rPr>
                <w:webHidden/>
              </w:rPr>
            </w:r>
            <w:r>
              <w:rPr>
                <w:webHidden/>
              </w:rPr>
              <w:fldChar w:fldCharType="separate"/>
            </w:r>
            <w:r w:rsidR="00552FC6">
              <w:rPr>
                <w:webHidden/>
              </w:rPr>
              <w:t>28</w:t>
            </w:r>
            <w:r>
              <w:rPr>
                <w:webHidden/>
              </w:rPr>
              <w:fldChar w:fldCharType="end"/>
            </w:r>
          </w:hyperlink>
        </w:p>
        <w:p w14:paraId="044C5F3C" w14:textId="1B080326" w:rsidR="00BB1F67" w:rsidRDefault="00BB1F67" w:rsidP="00F860C0">
          <w:pPr>
            <w:pStyle w:val="TDC2"/>
            <w:rPr>
              <w:rFonts w:asciiTheme="minorHAnsi" w:eastAsiaTheme="minorEastAsia" w:hAnsiTheme="minorHAnsi"/>
            </w:rPr>
          </w:pPr>
          <w:hyperlink w:anchor="_Toc232580560" w:history="1">
            <w:r w:rsidRPr="00EA33DE">
              <w:rPr>
                <w:rStyle w:val="Hipervnculo"/>
              </w:rPr>
              <w:t>4.3.</w:t>
            </w:r>
            <w:r>
              <w:rPr>
                <w:rFonts w:asciiTheme="minorHAnsi" w:eastAsiaTheme="minorEastAsia" w:hAnsiTheme="minorHAnsi"/>
              </w:rPr>
              <w:t xml:space="preserve"> </w:t>
            </w:r>
            <w:r w:rsidRPr="00EA33DE">
              <w:rPr>
                <w:rStyle w:val="Hipervnculo"/>
              </w:rPr>
              <w:t>La normalidad como categoría relacional en el campo de la salud mental</w:t>
            </w:r>
            <w:r>
              <w:rPr>
                <w:webHidden/>
              </w:rPr>
              <w:tab/>
            </w:r>
            <w:r>
              <w:rPr>
                <w:webHidden/>
              </w:rPr>
              <w:fldChar w:fldCharType="begin"/>
            </w:r>
            <w:r>
              <w:rPr>
                <w:webHidden/>
              </w:rPr>
              <w:instrText xml:space="preserve"> PAGEREF _Toc232580560 \h </w:instrText>
            </w:r>
            <w:r>
              <w:rPr>
                <w:webHidden/>
              </w:rPr>
            </w:r>
            <w:r>
              <w:rPr>
                <w:webHidden/>
              </w:rPr>
              <w:fldChar w:fldCharType="separate"/>
            </w:r>
            <w:r w:rsidR="00552FC6">
              <w:rPr>
                <w:webHidden/>
              </w:rPr>
              <w:t>31</w:t>
            </w:r>
            <w:r>
              <w:rPr>
                <w:webHidden/>
              </w:rPr>
              <w:fldChar w:fldCharType="end"/>
            </w:r>
          </w:hyperlink>
        </w:p>
        <w:p w14:paraId="00EE2584" w14:textId="0D9038F6"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61" w:history="1">
            <w:r w:rsidRPr="00EA33DE">
              <w:rPr>
                <w:rStyle w:val="Hipervnculo"/>
                <w:noProof/>
              </w:rPr>
              <w:t>4.3.1.</w:t>
            </w:r>
            <w:r>
              <w:rPr>
                <w:rFonts w:asciiTheme="minorHAnsi" w:eastAsiaTheme="minorEastAsia" w:hAnsiTheme="minorHAnsi"/>
                <w:noProof/>
              </w:rPr>
              <w:t xml:space="preserve"> </w:t>
            </w:r>
            <w:r w:rsidRPr="00EA33DE">
              <w:rPr>
                <w:rStyle w:val="Hipervnculo"/>
                <w:noProof/>
              </w:rPr>
              <w:t>Perspectiva estadística de la normalidad</w:t>
            </w:r>
            <w:r>
              <w:rPr>
                <w:noProof/>
                <w:webHidden/>
              </w:rPr>
              <w:tab/>
            </w:r>
            <w:r>
              <w:rPr>
                <w:noProof/>
                <w:webHidden/>
              </w:rPr>
              <w:fldChar w:fldCharType="begin"/>
            </w:r>
            <w:r>
              <w:rPr>
                <w:noProof/>
                <w:webHidden/>
              </w:rPr>
              <w:instrText xml:space="preserve"> PAGEREF _Toc232580561 \h </w:instrText>
            </w:r>
            <w:r>
              <w:rPr>
                <w:noProof/>
                <w:webHidden/>
              </w:rPr>
            </w:r>
            <w:r>
              <w:rPr>
                <w:noProof/>
                <w:webHidden/>
              </w:rPr>
              <w:fldChar w:fldCharType="separate"/>
            </w:r>
            <w:r w:rsidR="00552FC6">
              <w:rPr>
                <w:noProof/>
                <w:webHidden/>
              </w:rPr>
              <w:t>31</w:t>
            </w:r>
            <w:r>
              <w:rPr>
                <w:noProof/>
                <w:webHidden/>
              </w:rPr>
              <w:fldChar w:fldCharType="end"/>
            </w:r>
          </w:hyperlink>
        </w:p>
        <w:p w14:paraId="4B21EC94" w14:textId="3D08F053"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62" w:history="1">
            <w:r w:rsidRPr="00EA33DE">
              <w:rPr>
                <w:rStyle w:val="Hipervnculo"/>
                <w:noProof/>
              </w:rPr>
              <w:t>4.3.2.</w:t>
            </w:r>
            <w:r>
              <w:rPr>
                <w:rFonts w:asciiTheme="minorHAnsi" w:eastAsiaTheme="minorEastAsia" w:hAnsiTheme="minorHAnsi"/>
                <w:noProof/>
              </w:rPr>
              <w:t xml:space="preserve"> </w:t>
            </w:r>
            <w:r w:rsidRPr="00EA33DE">
              <w:rPr>
                <w:rStyle w:val="Hipervnculo"/>
                <w:noProof/>
              </w:rPr>
              <w:t>Perspectiva organicista y funcional</w:t>
            </w:r>
            <w:r>
              <w:rPr>
                <w:noProof/>
                <w:webHidden/>
              </w:rPr>
              <w:tab/>
            </w:r>
            <w:r>
              <w:rPr>
                <w:noProof/>
                <w:webHidden/>
              </w:rPr>
              <w:fldChar w:fldCharType="begin"/>
            </w:r>
            <w:r>
              <w:rPr>
                <w:noProof/>
                <w:webHidden/>
              </w:rPr>
              <w:instrText xml:space="preserve"> PAGEREF _Toc232580562 \h </w:instrText>
            </w:r>
            <w:r>
              <w:rPr>
                <w:noProof/>
                <w:webHidden/>
              </w:rPr>
            </w:r>
            <w:r>
              <w:rPr>
                <w:noProof/>
                <w:webHidden/>
              </w:rPr>
              <w:fldChar w:fldCharType="separate"/>
            </w:r>
            <w:r w:rsidR="00552FC6">
              <w:rPr>
                <w:noProof/>
                <w:webHidden/>
              </w:rPr>
              <w:t>32</w:t>
            </w:r>
            <w:r>
              <w:rPr>
                <w:noProof/>
                <w:webHidden/>
              </w:rPr>
              <w:fldChar w:fldCharType="end"/>
            </w:r>
          </w:hyperlink>
        </w:p>
        <w:p w14:paraId="6F7DC95F" w14:textId="49DFD1C6" w:rsidR="00BB1F67" w:rsidRDefault="00BB1F67" w:rsidP="00F860C0">
          <w:pPr>
            <w:pStyle w:val="TDC2"/>
            <w:rPr>
              <w:rFonts w:asciiTheme="minorHAnsi" w:eastAsiaTheme="minorEastAsia" w:hAnsiTheme="minorHAnsi"/>
            </w:rPr>
          </w:pPr>
          <w:hyperlink w:anchor="_Toc232580563" w:history="1">
            <w:r w:rsidRPr="00EA33DE">
              <w:rPr>
                <w:rStyle w:val="Hipervnculo"/>
              </w:rPr>
              <w:t>4.4.</w:t>
            </w:r>
            <w:r>
              <w:rPr>
                <w:rFonts w:asciiTheme="minorHAnsi" w:eastAsiaTheme="minorEastAsia" w:hAnsiTheme="minorHAnsi"/>
              </w:rPr>
              <w:t xml:space="preserve"> </w:t>
            </w:r>
            <w:r w:rsidRPr="00EA33DE">
              <w:rPr>
                <w:rStyle w:val="Hipervnculo"/>
              </w:rPr>
              <w:t>El bienestar como ideal regulativo en la salud mental contemporánea</w:t>
            </w:r>
            <w:r>
              <w:rPr>
                <w:webHidden/>
              </w:rPr>
              <w:tab/>
            </w:r>
            <w:r>
              <w:rPr>
                <w:webHidden/>
              </w:rPr>
              <w:fldChar w:fldCharType="begin"/>
            </w:r>
            <w:r>
              <w:rPr>
                <w:webHidden/>
              </w:rPr>
              <w:instrText xml:space="preserve"> PAGEREF _Toc232580563 \h </w:instrText>
            </w:r>
            <w:r>
              <w:rPr>
                <w:webHidden/>
              </w:rPr>
            </w:r>
            <w:r>
              <w:rPr>
                <w:webHidden/>
              </w:rPr>
              <w:fldChar w:fldCharType="separate"/>
            </w:r>
            <w:r w:rsidR="00552FC6">
              <w:rPr>
                <w:webHidden/>
              </w:rPr>
              <w:t>34</w:t>
            </w:r>
            <w:r>
              <w:rPr>
                <w:webHidden/>
              </w:rPr>
              <w:fldChar w:fldCharType="end"/>
            </w:r>
          </w:hyperlink>
        </w:p>
        <w:p w14:paraId="47A3447C" w14:textId="749C95AB" w:rsidR="00BB1F67" w:rsidRDefault="00BB1F67" w:rsidP="00F860C0">
          <w:pPr>
            <w:pStyle w:val="TDC2"/>
            <w:rPr>
              <w:rFonts w:asciiTheme="minorHAnsi" w:eastAsiaTheme="minorEastAsia" w:hAnsiTheme="minorHAnsi"/>
            </w:rPr>
          </w:pPr>
          <w:hyperlink w:anchor="_Toc232580564" w:history="1">
            <w:r w:rsidRPr="00EA33DE">
              <w:rPr>
                <w:rStyle w:val="Hipervnculo"/>
                <w:rFonts w:eastAsia="Times New Roman"/>
              </w:rPr>
              <w:t>4.5.</w:t>
            </w:r>
            <w:r>
              <w:rPr>
                <w:rFonts w:asciiTheme="minorHAnsi" w:eastAsiaTheme="minorEastAsia" w:hAnsiTheme="minorHAnsi"/>
              </w:rPr>
              <w:t xml:space="preserve"> </w:t>
            </w:r>
            <w:r w:rsidRPr="00EA33DE">
              <w:rPr>
                <w:rStyle w:val="Hipervnculo"/>
                <w:rFonts w:eastAsia="Times New Roman"/>
              </w:rPr>
              <w:t>Prácticas discursivas y producción de subjetividad</w:t>
            </w:r>
            <w:r>
              <w:rPr>
                <w:webHidden/>
              </w:rPr>
              <w:tab/>
            </w:r>
            <w:r>
              <w:rPr>
                <w:webHidden/>
              </w:rPr>
              <w:fldChar w:fldCharType="begin"/>
            </w:r>
            <w:r>
              <w:rPr>
                <w:webHidden/>
              </w:rPr>
              <w:instrText xml:space="preserve"> PAGEREF _Toc232580564 \h </w:instrText>
            </w:r>
            <w:r>
              <w:rPr>
                <w:webHidden/>
              </w:rPr>
            </w:r>
            <w:r>
              <w:rPr>
                <w:webHidden/>
              </w:rPr>
              <w:fldChar w:fldCharType="separate"/>
            </w:r>
            <w:r w:rsidR="00552FC6">
              <w:rPr>
                <w:webHidden/>
              </w:rPr>
              <w:t>37</w:t>
            </w:r>
            <w:r>
              <w:rPr>
                <w:webHidden/>
              </w:rPr>
              <w:fldChar w:fldCharType="end"/>
            </w:r>
          </w:hyperlink>
        </w:p>
        <w:p w14:paraId="5D87365E" w14:textId="0799E17D"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65" w:history="1">
            <w:r w:rsidRPr="00EA33DE">
              <w:rPr>
                <w:rStyle w:val="Hipervnculo"/>
                <w:noProof/>
              </w:rPr>
              <w:t>4.5.1.</w:t>
            </w:r>
            <w:r>
              <w:rPr>
                <w:rFonts w:asciiTheme="minorHAnsi" w:eastAsiaTheme="minorEastAsia" w:hAnsiTheme="minorHAnsi"/>
                <w:noProof/>
              </w:rPr>
              <w:t xml:space="preserve"> </w:t>
            </w:r>
            <w:r w:rsidRPr="00EA33DE">
              <w:rPr>
                <w:rStyle w:val="Hipervnculo"/>
                <w:noProof/>
              </w:rPr>
              <w:t>Componentes estructurales de las prácticas discursivas</w:t>
            </w:r>
            <w:r>
              <w:rPr>
                <w:noProof/>
                <w:webHidden/>
              </w:rPr>
              <w:tab/>
            </w:r>
            <w:r>
              <w:rPr>
                <w:noProof/>
                <w:webHidden/>
              </w:rPr>
              <w:fldChar w:fldCharType="begin"/>
            </w:r>
            <w:r>
              <w:rPr>
                <w:noProof/>
                <w:webHidden/>
              </w:rPr>
              <w:instrText xml:space="preserve"> PAGEREF _Toc232580565 \h </w:instrText>
            </w:r>
            <w:r>
              <w:rPr>
                <w:noProof/>
                <w:webHidden/>
              </w:rPr>
            </w:r>
            <w:r>
              <w:rPr>
                <w:noProof/>
                <w:webHidden/>
              </w:rPr>
              <w:fldChar w:fldCharType="separate"/>
            </w:r>
            <w:r w:rsidR="00552FC6">
              <w:rPr>
                <w:noProof/>
                <w:webHidden/>
              </w:rPr>
              <w:t>39</w:t>
            </w:r>
            <w:r>
              <w:rPr>
                <w:noProof/>
                <w:webHidden/>
              </w:rPr>
              <w:fldChar w:fldCharType="end"/>
            </w:r>
          </w:hyperlink>
        </w:p>
        <w:p w14:paraId="273D8E84" w14:textId="13B1000F"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66" w:history="1">
            <w:r w:rsidRPr="00EA33DE">
              <w:rPr>
                <w:rStyle w:val="Hipervnculo"/>
                <w:noProof/>
              </w:rPr>
              <w:t>4.5.2.</w:t>
            </w:r>
            <w:r>
              <w:rPr>
                <w:rFonts w:asciiTheme="minorHAnsi" w:eastAsiaTheme="minorEastAsia" w:hAnsiTheme="minorHAnsi"/>
                <w:noProof/>
              </w:rPr>
              <w:t xml:space="preserve"> </w:t>
            </w:r>
            <w:r w:rsidRPr="00EA33DE">
              <w:rPr>
                <w:rStyle w:val="Hipervnculo"/>
                <w:noProof/>
              </w:rPr>
              <w:t>Formaciones discursivas y sistemas de relaciones en la producción de enunciados</w:t>
            </w:r>
            <w:r w:rsidR="003D4A80">
              <w:rPr>
                <w:rStyle w:val="Hipervnculo"/>
                <w:noProof/>
              </w:rPr>
              <w:t>......</w:t>
            </w:r>
            <w:r>
              <w:rPr>
                <w:noProof/>
                <w:webHidden/>
              </w:rPr>
              <w:t>…..</w:t>
            </w:r>
            <w:r>
              <w:rPr>
                <w:noProof/>
                <w:webHidden/>
              </w:rPr>
              <w:fldChar w:fldCharType="begin"/>
            </w:r>
            <w:r>
              <w:rPr>
                <w:noProof/>
                <w:webHidden/>
              </w:rPr>
              <w:instrText xml:space="preserve"> PAGEREF _Toc232580566 \h </w:instrText>
            </w:r>
            <w:r>
              <w:rPr>
                <w:noProof/>
                <w:webHidden/>
              </w:rPr>
            </w:r>
            <w:r>
              <w:rPr>
                <w:noProof/>
                <w:webHidden/>
              </w:rPr>
              <w:fldChar w:fldCharType="separate"/>
            </w:r>
            <w:r w:rsidR="00552FC6">
              <w:rPr>
                <w:noProof/>
                <w:webHidden/>
              </w:rPr>
              <w:t>41</w:t>
            </w:r>
            <w:r>
              <w:rPr>
                <w:noProof/>
                <w:webHidden/>
              </w:rPr>
              <w:fldChar w:fldCharType="end"/>
            </w:r>
          </w:hyperlink>
        </w:p>
        <w:p w14:paraId="7F9113AC" w14:textId="4D438016"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67" w:history="1">
            <w:r w:rsidRPr="00EA33DE">
              <w:rPr>
                <w:rStyle w:val="Hipervnculo"/>
                <w:noProof/>
              </w:rPr>
              <w:t>4.5.3.</w:t>
            </w:r>
            <w:r w:rsidR="003D4A80">
              <w:rPr>
                <w:rFonts w:asciiTheme="minorHAnsi" w:eastAsiaTheme="minorEastAsia" w:hAnsiTheme="minorHAnsi"/>
                <w:noProof/>
              </w:rPr>
              <w:t xml:space="preserve"> </w:t>
            </w:r>
            <w:r w:rsidRPr="00EA33DE">
              <w:rPr>
                <w:rStyle w:val="Hipervnculo"/>
                <w:noProof/>
              </w:rPr>
              <w:t>Condiciones de existencia y operación del discurso</w:t>
            </w:r>
            <w:r>
              <w:rPr>
                <w:noProof/>
                <w:webHidden/>
              </w:rPr>
              <w:tab/>
            </w:r>
            <w:r>
              <w:rPr>
                <w:noProof/>
                <w:webHidden/>
              </w:rPr>
              <w:fldChar w:fldCharType="begin"/>
            </w:r>
            <w:r>
              <w:rPr>
                <w:noProof/>
                <w:webHidden/>
              </w:rPr>
              <w:instrText xml:space="preserve"> PAGEREF _Toc232580567 \h </w:instrText>
            </w:r>
            <w:r>
              <w:rPr>
                <w:noProof/>
                <w:webHidden/>
              </w:rPr>
            </w:r>
            <w:r>
              <w:rPr>
                <w:noProof/>
                <w:webHidden/>
              </w:rPr>
              <w:fldChar w:fldCharType="separate"/>
            </w:r>
            <w:r w:rsidR="00552FC6">
              <w:rPr>
                <w:noProof/>
                <w:webHidden/>
              </w:rPr>
              <w:t>47</w:t>
            </w:r>
            <w:r>
              <w:rPr>
                <w:noProof/>
                <w:webHidden/>
              </w:rPr>
              <w:fldChar w:fldCharType="end"/>
            </w:r>
          </w:hyperlink>
        </w:p>
        <w:p w14:paraId="7BACB6C0" w14:textId="5321E3E8" w:rsidR="00BB1F67" w:rsidRDefault="00BB1F67" w:rsidP="00F860C0">
          <w:pPr>
            <w:pStyle w:val="TDC2"/>
            <w:rPr>
              <w:rFonts w:asciiTheme="minorHAnsi" w:eastAsiaTheme="minorEastAsia" w:hAnsiTheme="minorHAnsi"/>
            </w:rPr>
          </w:pPr>
          <w:hyperlink w:anchor="_Toc232580568" w:history="1">
            <w:r w:rsidRPr="00EA33DE">
              <w:rPr>
                <w:rStyle w:val="Hipervnculo"/>
              </w:rPr>
              <w:t>4.6.</w:t>
            </w:r>
            <w:r w:rsidR="003D4A80">
              <w:rPr>
                <w:rFonts w:asciiTheme="minorHAnsi" w:eastAsiaTheme="minorEastAsia" w:hAnsiTheme="minorHAnsi"/>
              </w:rPr>
              <w:t xml:space="preserve"> </w:t>
            </w:r>
            <w:r w:rsidRPr="00EA33DE">
              <w:rPr>
                <w:rStyle w:val="Hipervnculo"/>
              </w:rPr>
              <w:t>Regímenes de verdad y procedimientos de control</w:t>
            </w:r>
            <w:r>
              <w:rPr>
                <w:webHidden/>
              </w:rPr>
              <w:tab/>
            </w:r>
            <w:r>
              <w:rPr>
                <w:webHidden/>
              </w:rPr>
              <w:fldChar w:fldCharType="begin"/>
            </w:r>
            <w:r>
              <w:rPr>
                <w:webHidden/>
              </w:rPr>
              <w:instrText xml:space="preserve"> PAGEREF _Toc232580568 \h </w:instrText>
            </w:r>
            <w:r>
              <w:rPr>
                <w:webHidden/>
              </w:rPr>
            </w:r>
            <w:r>
              <w:rPr>
                <w:webHidden/>
              </w:rPr>
              <w:fldChar w:fldCharType="separate"/>
            </w:r>
            <w:r w:rsidR="00552FC6">
              <w:rPr>
                <w:webHidden/>
              </w:rPr>
              <w:t>50</w:t>
            </w:r>
            <w:r>
              <w:rPr>
                <w:webHidden/>
              </w:rPr>
              <w:fldChar w:fldCharType="end"/>
            </w:r>
          </w:hyperlink>
        </w:p>
        <w:p w14:paraId="2BEBDAF6" w14:textId="34D5EE7E"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69" w:history="1">
            <w:r w:rsidRPr="00EA33DE">
              <w:rPr>
                <w:rStyle w:val="Hipervnculo"/>
                <w:noProof/>
              </w:rPr>
              <w:t>4.6.1.</w:t>
            </w:r>
            <w:r w:rsidR="003D4A80">
              <w:rPr>
                <w:rStyle w:val="Hipervnculo"/>
                <w:noProof/>
              </w:rPr>
              <w:t xml:space="preserve"> </w:t>
            </w:r>
            <w:r w:rsidRPr="00EA33DE">
              <w:rPr>
                <w:rStyle w:val="Hipervnculo"/>
                <w:noProof/>
              </w:rPr>
              <w:t>Regímenes de verdad</w:t>
            </w:r>
            <w:r>
              <w:rPr>
                <w:noProof/>
                <w:webHidden/>
              </w:rPr>
              <w:tab/>
            </w:r>
            <w:r>
              <w:rPr>
                <w:noProof/>
                <w:webHidden/>
              </w:rPr>
              <w:fldChar w:fldCharType="begin"/>
            </w:r>
            <w:r>
              <w:rPr>
                <w:noProof/>
                <w:webHidden/>
              </w:rPr>
              <w:instrText xml:space="preserve"> PAGEREF _Toc232580569 \h </w:instrText>
            </w:r>
            <w:r>
              <w:rPr>
                <w:noProof/>
                <w:webHidden/>
              </w:rPr>
            </w:r>
            <w:r>
              <w:rPr>
                <w:noProof/>
                <w:webHidden/>
              </w:rPr>
              <w:fldChar w:fldCharType="separate"/>
            </w:r>
            <w:r w:rsidR="00552FC6">
              <w:rPr>
                <w:noProof/>
                <w:webHidden/>
              </w:rPr>
              <w:t>50</w:t>
            </w:r>
            <w:r>
              <w:rPr>
                <w:noProof/>
                <w:webHidden/>
              </w:rPr>
              <w:fldChar w:fldCharType="end"/>
            </w:r>
          </w:hyperlink>
        </w:p>
        <w:p w14:paraId="123BE8E9" w14:textId="2AF2BC02" w:rsidR="00BB1F67" w:rsidRDefault="00BB1F67" w:rsidP="00F860C0">
          <w:pPr>
            <w:pStyle w:val="TDC2"/>
            <w:rPr>
              <w:rFonts w:asciiTheme="minorHAnsi" w:eastAsiaTheme="minorEastAsia" w:hAnsiTheme="minorHAnsi"/>
            </w:rPr>
          </w:pPr>
          <w:hyperlink w:anchor="_Toc232580570" w:history="1">
            <w:r w:rsidRPr="00EA33DE">
              <w:rPr>
                <w:rStyle w:val="Hipervnculo"/>
              </w:rPr>
              <w:t>4.7.</w:t>
            </w:r>
            <w:r w:rsidR="003D4A80">
              <w:rPr>
                <w:rFonts w:asciiTheme="minorHAnsi" w:eastAsiaTheme="minorEastAsia" w:hAnsiTheme="minorHAnsi"/>
              </w:rPr>
              <w:t xml:space="preserve"> </w:t>
            </w:r>
            <w:r w:rsidRPr="00EA33DE">
              <w:rPr>
                <w:rStyle w:val="Hipervnculo"/>
              </w:rPr>
              <w:t>Procedimientos de exclusión y control del discurso</w:t>
            </w:r>
            <w:r>
              <w:rPr>
                <w:webHidden/>
              </w:rPr>
              <w:tab/>
            </w:r>
            <w:r>
              <w:rPr>
                <w:webHidden/>
              </w:rPr>
              <w:fldChar w:fldCharType="begin"/>
            </w:r>
            <w:r>
              <w:rPr>
                <w:webHidden/>
              </w:rPr>
              <w:instrText xml:space="preserve"> PAGEREF _Toc232580570 \h </w:instrText>
            </w:r>
            <w:r>
              <w:rPr>
                <w:webHidden/>
              </w:rPr>
            </w:r>
            <w:r>
              <w:rPr>
                <w:webHidden/>
              </w:rPr>
              <w:fldChar w:fldCharType="separate"/>
            </w:r>
            <w:r w:rsidR="00552FC6">
              <w:rPr>
                <w:webHidden/>
              </w:rPr>
              <w:t>52</w:t>
            </w:r>
            <w:r>
              <w:rPr>
                <w:webHidden/>
              </w:rPr>
              <w:fldChar w:fldCharType="end"/>
            </w:r>
          </w:hyperlink>
        </w:p>
        <w:p w14:paraId="1F62E872" w14:textId="138A5AE1"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71" w:history="1">
            <w:r w:rsidRPr="00EA33DE">
              <w:rPr>
                <w:rStyle w:val="Hipervnculo"/>
                <w:noProof/>
              </w:rPr>
              <w:t>4.7.1.</w:t>
            </w:r>
            <w:r w:rsidR="003D4A80">
              <w:rPr>
                <w:rStyle w:val="Hipervnculo"/>
                <w:noProof/>
              </w:rPr>
              <w:t xml:space="preserve"> </w:t>
            </w:r>
            <w:r w:rsidRPr="00EA33DE">
              <w:rPr>
                <w:rStyle w:val="Hipervnculo"/>
                <w:noProof/>
              </w:rPr>
              <w:t>La prohibición</w:t>
            </w:r>
            <w:r>
              <w:rPr>
                <w:noProof/>
                <w:webHidden/>
              </w:rPr>
              <w:tab/>
            </w:r>
            <w:r>
              <w:rPr>
                <w:noProof/>
                <w:webHidden/>
              </w:rPr>
              <w:fldChar w:fldCharType="begin"/>
            </w:r>
            <w:r>
              <w:rPr>
                <w:noProof/>
                <w:webHidden/>
              </w:rPr>
              <w:instrText xml:space="preserve"> PAGEREF _Toc232580571 \h </w:instrText>
            </w:r>
            <w:r>
              <w:rPr>
                <w:noProof/>
                <w:webHidden/>
              </w:rPr>
            </w:r>
            <w:r>
              <w:rPr>
                <w:noProof/>
                <w:webHidden/>
              </w:rPr>
              <w:fldChar w:fldCharType="separate"/>
            </w:r>
            <w:r w:rsidR="00552FC6">
              <w:rPr>
                <w:noProof/>
                <w:webHidden/>
              </w:rPr>
              <w:t>52</w:t>
            </w:r>
            <w:r>
              <w:rPr>
                <w:noProof/>
                <w:webHidden/>
              </w:rPr>
              <w:fldChar w:fldCharType="end"/>
            </w:r>
          </w:hyperlink>
        </w:p>
        <w:p w14:paraId="307C20ED" w14:textId="7F73C955"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72" w:history="1">
            <w:r w:rsidRPr="00EA33DE">
              <w:rPr>
                <w:rStyle w:val="Hipervnculo"/>
                <w:noProof/>
              </w:rPr>
              <w:t>4.7.2.</w:t>
            </w:r>
            <w:r w:rsidR="003D4A80">
              <w:rPr>
                <w:rStyle w:val="Hipervnculo"/>
                <w:noProof/>
              </w:rPr>
              <w:t xml:space="preserve"> </w:t>
            </w:r>
            <w:r w:rsidRPr="00EA33DE">
              <w:rPr>
                <w:rStyle w:val="Hipervnculo"/>
                <w:noProof/>
              </w:rPr>
              <w:t>La división y el rechazo</w:t>
            </w:r>
            <w:r>
              <w:rPr>
                <w:noProof/>
                <w:webHidden/>
              </w:rPr>
              <w:tab/>
            </w:r>
            <w:r>
              <w:rPr>
                <w:noProof/>
                <w:webHidden/>
              </w:rPr>
              <w:fldChar w:fldCharType="begin"/>
            </w:r>
            <w:r>
              <w:rPr>
                <w:noProof/>
                <w:webHidden/>
              </w:rPr>
              <w:instrText xml:space="preserve"> PAGEREF _Toc232580572 \h </w:instrText>
            </w:r>
            <w:r>
              <w:rPr>
                <w:noProof/>
                <w:webHidden/>
              </w:rPr>
            </w:r>
            <w:r>
              <w:rPr>
                <w:noProof/>
                <w:webHidden/>
              </w:rPr>
              <w:fldChar w:fldCharType="separate"/>
            </w:r>
            <w:r w:rsidR="00552FC6">
              <w:rPr>
                <w:noProof/>
                <w:webHidden/>
              </w:rPr>
              <w:t>54</w:t>
            </w:r>
            <w:r>
              <w:rPr>
                <w:noProof/>
                <w:webHidden/>
              </w:rPr>
              <w:fldChar w:fldCharType="end"/>
            </w:r>
          </w:hyperlink>
        </w:p>
        <w:p w14:paraId="2507F0D4" w14:textId="48E25B84"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73" w:history="1">
            <w:r w:rsidRPr="00EA33DE">
              <w:rPr>
                <w:rStyle w:val="Hipervnculo"/>
                <w:noProof/>
              </w:rPr>
              <w:t>4.7.3.</w:t>
            </w:r>
            <w:r w:rsidR="003D4A80">
              <w:rPr>
                <w:rStyle w:val="Hipervnculo"/>
                <w:noProof/>
              </w:rPr>
              <w:t xml:space="preserve"> </w:t>
            </w:r>
            <w:r w:rsidRPr="00EA33DE">
              <w:rPr>
                <w:rStyle w:val="Hipervnculo"/>
                <w:noProof/>
              </w:rPr>
              <w:t>La voluntad de verdad</w:t>
            </w:r>
            <w:r>
              <w:rPr>
                <w:noProof/>
                <w:webHidden/>
              </w:rPr>
              <w:tab/>
            </w:r>
            <w:r>
              <w:rPr>
                <w:noProof/>
                <w:webHidden/>
              </w:rPr>
              <w:fldChar w:fldCharType="begin"/>
            </w:r>
            <w:r>
              <w:rPr>
                <w:noProof/>
                <w:webHidden/>
              </w:rPr>
              <w:instrText xml:space="preserve"> PAGEREF _Toc232580573 \h </w:instrText>
            </w:r>
            <w:r>
              <w:rPr>
                <w:noProof/>
                <w:webHidden/>
              </w:rPr>
            </w:r>
            <w:r>
              <w:rPr>
                <w:noProof/>
                <w:webHidden/>
              </w:rPr>
              <w:fldChar w:fldCharType="separate"/>
            </w:r>
            <w:r w:rsidR="00552FC6">
              <w:rPr>
                <w:noProof/>
                <w:webHidden/>
              </w:rPr>
              <w:t>55</w:t>
            </w:r>
            <w:r>
              <w:rPr>
                <w:noProof/>
                <w:webHidden/>
              </w:rPr>
              <w:fldChar w:fldCharType="end"/>
            </w:r>
          </w:hyperlink>
        </w:p>
        <w:p w14:paraId="3CAEA87E" w14:textId="0C8EADFF" w:rsidR="00BB1F67" w:rsidRDefault="00BB1F67" w:rsidP="00F860C0">
          <w:pPr>
            <w:pStyle w:val="TDC2"/>
            <w:rPr>
              <w:rFonts w:asciiTheme="minorHAnsi" w:eastAsiaTheme="minorEastAsia" w:hAnsiTheme="minorHAnsi"/>
            </w:rPr>
          </w:pPr>
          <w:hyperlink w:anchor="_Toc232580574" w:history="1">
            <w:r w:rsidRPr="00EA33DE">
              <w:rPr>
                <w:rStyle w:val="Hipervnculo"/>
                <w:lang w:val="es-MX"/>
              </w:rPr>
              <w:t>4.8.</w:t>
            </w:r>
            <w:r w:rsidR="003D4A80">
              <w:rPr>
                <w:rStyle w:val="Hipervnculo"/>
                <w:lang w:val="es-MX"/>
              </w:rPr>
              <w:t xml:space="preserve"> </w:t>
            </w:r>
            <w:r w:rsidRPr="00EA33DE">
              <w:rPr>
                <w:rStyle w:val="Hipervnculo"/>
                <w:lang w:val="es-MX"/>
              </w:rPr>
              <w:t>Subjetivación y producción del sujeto</w:t>
            </w:r>
            <w:r>
              <w:rPr>
                <w:webHidden/>
              </w:rPr>
              <w:tab/>
            </w:r>
            <w:r>
              <w:rPr>
                <w:webHidden/>
              </w:rPr>
              <w:fldChar w:fldCharType="begin"/>
            </w:r>
            <w:r>
              <w:rPr>
                <w:webHidden/>
              </w:rPr>
              <w:instrText xml:space="preserve"> PAGEREF _Toc232580574 \h </w:instrText>
            </w:r>
            <w:r>
              <w:rPr>
                <w:webHidden/>
              </w:rPr>
            </w:r>
            <w:r>
              <w:rPr>
                <w:webHidden/>
              </w:rPr>
              <w:fldChar w:fldCharType="separate"/>
            </w:r>
            <w:r w:rsidR="00552FC6">
              <w:rPr>
                <w:webHidden/>
              </w:rPr>
              <w:t>55</w:t>
            </w:r>
            <w:r>
              <w:rPr>
                <w:webHidden/>
              </w:rPr>
              <w:fldChar w:fldCharType="end"/>
            </w:r>
          </w:hyperlink>
        </w:p>
        <w:p w14:paraId="1382BB73" w14:textId="4F6168D6" w:rsidR="00BB1F67" w:rsidRDefault="00BB1F67" w:rsidP="003D4A80">
          <w:pPr>
            <w:pStyle w:val="TDC3"/>
            <w:tabs>
              <w:tab w:val="right" w:leader="dot" w:pos="9394"/>
            </w:tabs>
            <w:ind w:left="0" w:firstLine="0"/>
            <w:rPr>
              <w:rFonts w:asciiTheme="minorHAnsi" w:eastAsiaTheme="minorEastAsia" w:hAnsiTheme="minorHAnsi"/>
              <w:noProof/>
            </w:rPr>
          </w:pPr>
          <w:hyperlink w:anchor="_Toc232580575" w:history="1">
            <w:r w:rsidRPr="00EA33DE">
              <w:rPr>
                <w:rStyle w:val="Hipervnculo"/>
                <w:noProof/>
              </w:rPr>
              <w:t>4.8.1. Subjetivación y producción del sujeto</w:t>
            </w:r>
            <w:r>
              <w:rPr>
                <w:noProof/>
                <w:webHidden/>
              </w:rPr>
              <w:tab/>
            </w:r>
            <w:r>
              <w:rPr>
                <w:noProof/>
                <w:webHidden/>
              </w:rPr>
              <w:fldChar w:fldCharType="begin"/>
            </w:r>
            <w:r>
              <w:rPr>
                <w:noProof/>
                <w:webHidden/>
              </w:rPr>
              <w:instrText xml:space="preserve"> PAGEREF _Toc232580575 \h </w:instrText>
            </w:r>
            <w:r>
              <w:rPr>
                <w:noProof/>
                <w:webHidden/>
              </w:rPr>
            </w:r>
            <w:r>
              <w:rPr>
                <w:noProof/>
                <w:webHidden/>
              </w:rPr>
              <w:fldChar w:fldCharType="separate"/>
            </w:r>
            <w:r w:rsidR="00552FC6">
              <w:rPr>
                <w:noProof/>
                <w:webHidden/>
              </w:rPr>
              <w:t>55</w:t>
            </w:r>
            <w:r>
              <w:rPr>
                <w:noProof/>
                <w:webHidden/>
              </w:rPr>
              <w:fldChar w:fldCharType="end"/>
            </w:r>
          </w:hyperlink>
        </w:p>
        <w:p w14:paraId="195DDDCE" w14:textId="7C793733" w:rsidR="00BB1F67" w:rsidRDefault="00BB1F67" w:rsidP="003D4A80">
          <w:pPr>
            <w:pStyle w:val="TDC3"/>
            <w:tabs>
              <w:tab w:val="right" w:leader="dot" w:pos="9394"/>
            </w:tabs>
            <w:ind w:left="0" w:firstLine="0"/>
            <w:rPr>
              <w:rFonts w:asciiTheme="minorHAnsi" w:eastAsiaTheme="minorEastAsia" w:hAnsiTheme="minorHAnsi"/>
              <w:noProof/>
            </w:rPr>
          </w:pPr>
          <w:hyperlink w:anchor="_Toc232580576" w:history="1">
            <w:r w:rsidRPr="00EA33DE">
              <w:rPr>
                <w:rStyle w:val="Hipervnculo"/>
                <w:noProof/>
              </w:rPr>
              <w:t>4.8.2.  Subjetivación como producción de posiciones de sujeto</w:t>
            </w:r>
            <w:r>
              <w:rPr>
                <w:noProof/>
                <w:webHidden/>
              </w:rPr>
              <w:tab/>
            </w:r>
            <w:r>
              <w:rPr>
                <w:noProof/>
                <w:webHidden/>
              </w:rPr>
              <w:fldChar w:fldCharType="begin"/>
            </w:r>
            <w:r>
              <w:rPr>
                <w:noProof/>
                <w:webHidden/>
              </w:rPr>
              <w:instrText xml:space="preserve"> PAGEREF _Toc232580576 \h </w:instrText>
            </w:r>
            <w:r>
              <w:rPr>
                <w:noProof/>
                <w:webHidden/>
              </w:rPr>
            </w:r>
            <w:r>
              <w:rPr>
                <w:noProof/>
                <w:webHidden/>
              </w:rPr>
              <w:fldChar w:fldCharType="separate"/>
            </w:r>
            <w:r w:rsidR="00552FC6">
              <w:rPr>
                <w:noProof/>
                <w:webHidden/>
              </w:rPr>
              <w:t>58</w:t>
            </w:r>
            <w:r>
              <w:rPr>
                <w:noProof/>
                <w:webHidden/>
              </w:rPr>
              <w:fldChar w:fldCharType="end"/>
            </w:r>
          </w:hyperlink>
        </w:p>
        <w:p w14:paraId="4112F610" w14:textId="440F775F" w:rsidR="00BB1F67" w:rsidRDefault="00BB1F67" w:rsidP="003D4A80">
          <w:pPr>
            <w:pStyle w:val="TDC3"/>
            <w:tabs>
              <w:tab w:val="right" w:leader="dot" w:pos="9394"/>
            </w:tabs>
            <w:ind w:left="0" w:firstLine="0"/>
            <w:rPr>
              <w:rFonts w:asciiTheme="minorHAnsi" w:eastAsiaTheme="minorEastAsia" w:hAnsiTheme="minorHAnsi"/>
              <w:noProof/>
            </w:rPr>
          </w:pPr>
          <w:hyperlink w:anchor="_Toc232580577" w:history="1">
            <w:r w:rsidRPr="00EA33DE">
              <w:rPr>
                <w:rStyle w:val="Hipervnculo"/>
                <w:noProof/>
                <w:lang w:val="es-MX"/>
              </w:rPr>
              <w:t>4.8.3. Mecanismos de subjetivación</w:t>
            </w:r>
            <w:r>
              <w:rPr>
                <w:noProof/>
                <w:webHidden/>
              </w:rPr>
              <w:tab/>
            </w:r>
            <w:r>
              <w:rPr>
                <w:noProof/>
                <w:webHidden/>
              </w:rPr>
              <w:fldChar w:fldCharType="begin"/>
            </w:r>
            <w:r>
              <w:rPr>
                <w:noProof/>
                <w:webHidden/>
              </w:rPr>
              <w:instrText xml:space="preserve"> PAGEREF _Toc232580577 \h </w:instrText>
            </w:r>
            <w:r>
              <w:rPr>
                <w:noProof/>
                <w:webHidden/>
              </w:rPr>
            </w:r>
            <w:r>
              <w:rPr>
                <w:noProof/>
                <w:webHidden/>
              </w:rPr>
              <w:fldChar w:fldCharType="separate"/>
            </w:r>
            <w:r w:rsidR="00552FC6">
              <w:rPr>
                <w:noProof/>
                <w:webHidden/>
              </w:rPr>
              <w:t>58</w:t>
            </w:r>
            <w:r>
              <w:rPr>
                <w:noProof/>
                <w:webHidden/>
              </w:rPr>
              <w:fldChar w:fldCharType="end"/>
            </w:r>
          </w:hyperlink>
        </w:p>
        <w:p w14:paraId="0F768F91" w14:textId="1EF24753" w:rsidR="00BB1F67" w:rsidRDefault="00BB1F67" w:rsidP="00F860C0">
          <w:pPr>
            <w:pStyle w:val="TDC2"/>
            <w:rPr>
              <w:rFonts w:asciiTheme="minorHAnsi" w:eastAsiaTheme="minorEastAsia" w:hAnsiTheme="minorHAnsi"/>
            </w:rPr>
          </w:pPr>
          <w:hyperlink w:anchor="_Toc232580578" w:history="1">
            <w:r w:rsidRPr="00EA33DE">
              <w:rPr>
                <w:rStyle w:val="Hipervnculo"/>
              </w:rPr>
              <w:t>4.9.</w:t>
            </w:r>
            <w:r w:rsidR="003D4A80">
              <w:rPr>
                <w:rFonts w:asciiTheme="minorHAnsi" w:eastAsiaTheme="minorEastAsia" w:hAnsiTheme="minorHAnsi"/>
              </w:rPr>
              <w:t xml:space="preserve"> </w:t>
            </w:r>
            <w:r w:rsidRPr="00EA33DE">
              <w:rPr>
                <w:rStyle w:val="Hipervnculo"/>
              </w:rPr>
              <w:t>Subjetividad</w:t>
            </w:r>
            <w:r>
              <w:rPr>
                <w:webHidden/>
              </w:rPr>
              <w:tab/>
            </w:r>
            <w:r w:rsidR="003D4A80">
              <w:rPr>
                <w:webHidden/>
              </w:rPr>
              <w:tab/>
            </w:r>
            <w:r>
              <w:rPr>
                <w:webHidden/>
              </w:rPr>
              <w:fldChar w:fldCharType="begin"/>
            </w:r>
            <w:r>
              <w:rPr>
                <w:webHidden/>
              </w:rPr>
              <w:instrText xml:space="preserve"> PAGEREF _Toc232580578 \h </w:instrText>
            </w:r>
            <w:r>
              <w:rPr>
                <w:webHidden/>
              </w:rPr>
            </w:r>
            <w:r>
              <w:rPr>
                <w:webHidden/>
              </w:rPr>
              <w:fldChar w:fldCharType="separate"/>
            </w:r>
            <w:r w:rsidR="00552FC6">
              <w:rPr>
                <w:webHidden/>
              </w:rPr>
              <w:t>65</w:t>
            </w:r>
            <w:r>
              <w:rPr>
                <w:webHidden/>
              </w:rPr>
              <w:fldChar w:fldCharType="end"/>
            </w:r>
          </w:hyperlink>
        </w:p>
        <w:p w14:paraId="526E79A7" w14:textId="540EB1C9"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79" w:history="1">
            <w:r w:rsidRPr="00EA33DE">
              <w:rPr>
                <w:rStyle w:val="Hipervnculo"/>
                <w:noProof/>
              </w:rPr>
              <w:t>4.9.1.Concepto de subjetividad y distinción con subjetivación</w:t>
            </w:r>
            <w:r>
              <w:rPr>
                <w:noProof/>
                <w:webHidden/>
              </w:rPr>
              <w:tab/>
            </w:r>
            <w:r>
              <w:rPr>
                <w:noProof/>
                <w:webHidden/>
              </w:rPr>
              <w:fldChar w:fldCharType="begin"/>
            </w:r>
            <w:r>
              <w:rPr>
                <w:noProof/>
                <w:webHidden/>
              </w:rPr>
              <w:instrText xml:space="preserve"> PAGEREF _Toc232580579 \h </w:instrText>
            </w:r>
            <w:r>
              <w:rPr>
                <w:noProof/>
                <w:webHidden/>
              </w:rPr>
            </w:r>
            <w:r>
              <w:rPr>
                <w:noProof/>
                <w:webHidden/>
              </w:rPr>
              <w:fldChar w:fldCharType="separate"/>
            </w:r>
            <w:r w:rsidR="00552FC6">
              <w:rPr>
                <w:noProof/>
                <w:webHidden/>
              </w:rPr>
              <w:t>65</w:t>
            </w:r>
            <w:r>
              <w:rPr>
                <w:noProof/>
                <w:webHidden/>
              </w:rPr>
              <w:fldChar w:fldCharType="end"/>
            </w:r>
          </w:hyperlink>
        </w:p>
        <w:p w14:paraId="733DDC8C" w14:textId="4422DFD3"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80" w:history="1">
            <w:r w:rsidRPr="00EA33DE">
              <w:rPr>
                <w:rStyle w:val="Hipervnculo"/>
                <w:noProof/>
              </w:rPr>
              <w:t>4.9.2.</w:t>
            </w:r>
            <w:r w:rsidR="003D4A80">
              <w:rPr>
                <w:rStyle w:val="Hipervnculo"/>
                <w:noProof/>
              </w:rPr>
              <w:t xml:space="preserve"> </w:t>
            </w:r>
            <w:r w:rsidRPr="00EA33DE">
              <w:rPr>
                <w:rStyle w:val="Hipervnculo"/>
                <w:noProof/>
              </w:rPr>
              <w:t>Subjetividad como posición simbólica y relacional</w:t>
            </w:r>
            <w:r>
              <w:rPr>
                <w:noProof/>
                <w:webHidden/>
              </w:rPr>
              <w:tab/>
            </w:r>
            <w:r>
              <w:rPr>
                <w:noProof/>
                <w:webHidden/>
              </w:rPr>
              <w:fldChar w:fldCharType="begin"/>
            </w:r>
            <w:r>
              <w:rPr>
                <w:noProof/>
                <w:webHidden/>
              </w:rPr>
              <w:instrText xml:space="preserve"> PAGEREF _Toc232580580 \h </w:instrText>
            </w:r>
            <w:r>
              <w:rPr>
                <w:noProof/>
                <w:webHidden/>
              </w:rPr>
            </w:r>
            <w:r>
              <w:rPr>
                <w:noProof/>
                <w:webHidden/>
              </w:rPr>
              <w:fldChar w:fldCharType="separate"/>
            </w:r>
            <w:r w:rsidR="00552FC6">
              <w:rPr>
                <w:noProof/>
                <w:webHidden/>
              </w:rPr>
              <w:t>66</w:t>
            </w:r>
            <w:r>
              <w:rPr>
                <w:noProof/>
                <w:webHidden/>
              </w:rPr>
              <w:fldChar w:fldCharType="end"/>
            </w:r>
          </w:hyperlink>
        </w:p>
        <w:p w14:paraId="2742E1BE" w14:textId="31AE52DF" w:rsidR="00BB1F67" w:rsidRDefault="00BB1F67" w:rsidP="003D4A80">
          <w:pPr>
            <w:pStyle w:val="TDC3"/>
            <w:tabs>
              <w:tab w:val="left" w:pos="1969"/>
              <w:tab w:val="right" w:leader="dot" w:pos="9394"/>
            </w:tabs>
            <w:ind w:left="0" w:firstLine="0"/>
            <w:rPr>
              <w:rFonts w:asciiTheme="minorHAnsi" w:eastAsiaTheme="minorEastAsia" w:hAnsiTheme="minorHAnsi"/>
              <w:noProof/>
            </w:rPr>
          </w:pPr>
          <w:hyperlink w:anchor="_Toc232580581" w:history="1">
            <w:r w:rsidRPr="00EA33DE">
              <w:rPr>
                <w:rStyle w:val="Hipervnculo"/>
                <w:noProof/>
              </w:rPr>
              <w:t>4.9.3.</w:t>
            </w:r>
            <w:r w:rsidR="003D4A80">
              <w:rPr>
                <w:rStyle w:val="Hipervnculo"/>
                <w:noProof/>
              </w:rPr>
              <w:t xml:space="preserve"> </w:t>
            </w:r>
            <w:r w:rsidRPr="00EA33DE">
              <w:rPr>
                <w:rStyle w:val="Hipervnculo"/>
                <w:noProof/>
              </w:rPr>
              <w:t>Subjetividad y experiencia vivida</w:t>
            </w:r>
            <w:r>
              <w:rPr>
                <w:noProof/>
                <w:webHidden/>
              </w:rPr>
              <w:tab/>
            </w:r>
            <w:r>
              <w:rPr>
                <w:noProof/>
                <w:webHidden/>
              </w:rPr>
              <w:fldChar w:fldCharType="begin"/>
            </w:r>
            <w:r>
              <w:rPr>
                <w:noProof/>
                <w:webHidden/>
              </w:rPr>
              <w:instrText xml:space="preserve"> PAGEREF _Toc232580581 \h </w:instrText>
            </w:r>
            <w:r>
              <w:rPr>
                <w:noProof/>
                <w:webHidden/>
              </w:rPr>
            </w:r>
            <w:r>
              <w:rPr>
                <w:noProof/>
                <w:webHidden/>
              </w:rPr>
              <w:fldChar w:fldCharType="separate"/>
            </w:r>
            <w:r w:rsidR="00552FC6">
              <w:rPr>
                <w:noProof/>
                <w:webHidden/>
              </w:rPr>
              <w:t>67</w:t>
            </w:r>
            <w:r>
              <w:rPr>
                <w:noProof/>
                <w:webHidden/>
              </w:rPr>
              <w:fldChar w:fldCharType="end"/>
            </w:r>
          </w:hyperlink>
        </w:p>
        <w:p w14:paraId="4BDB0BAB" w14:textId="395D4B4F" w:rsidR="00BB1F67" w:rsidRDefault="00BB1F67" w:rsidP="00F860C0">
          <w:pPr>
            <w:pStyle w:val="TDC2"/>
            <w:rPr>
              <w:rFonts w:asciiTheme="minorHAnsi" w:eastAsiaTheme="minorEastAsia" w:hAnsiTheme="minorHAnsi"/>
            </w:rPr>
          </w:pPr>
          <w:hyperlink w:anchor="_Toc232580582" w:history="1">
            <w:r w:rsidRPr="00EA33DE">
              <w:rPr>
                <w:rStyle w:val="Hipervnculo"/>
              </w:rPr>
              <w:t>4.10.</w:t>
            </w:r>
            <w:r w:rsidR="003D4A80">
              <w:rPr>
                <w:rStyle w:val="Hipervnculo"/>
              </w:rPr>
              <w:t xml:space="preserve"> </w:t>
            </w:r>
            <w:r w:rsidRPr="00EA33DE">
              <w:rPr>
                <w:rStyle w:val="Hipervnculo"/>
              </w:rPr>
              <w:t>Psicociencias y saberes psi</w:t>
            </w:r>
            <w:r>
              <w:rPr>
                <w:webHidden/>
              </w:rPr>
              <w:tab/>
            </w:r>
            <w:r>
              <w:rPr>
                <w:webHidden/>
              </w:rPr>
              <w:fldChar w:fldCharType="begin"/>
            </w:r>
            <w:r>
              <w:rPr>
                <w:webHidden/>
              </w:rPr>
              <w:instrText xml:space="preserve"> PAGEREF _Toc232580582 \h </w:instrText>
            </w:r>
            <w:r>
              <w:rPr>
                <w:webHidden/>
              </w:rPr>
            </w:r>
            <w:r>
              <w:rPr>
                <w:webHidden/>
              </w:rPr>
              <w:fldChar w:fldCharType="separate"/>
            </w:r>
            <w:r w:rsidR="00552FC6">
              <w:rPr>
                <w:webHidden/>
              </w:rPr>
              <w:t>68</w:t>
            </w:r>
            <w:r>
              <w:rPr>
                <w:webHidden/>
              </w:rPr>
              <w:fldChar w:fldCharType="end"/>
            </w:r>
          </w:hyperlink>
        </w:p>
        <w:p w14:paraId="2D5B6A33" w14:textId="7E849F88" w:rsidR="00BB1F67" w:rsidRDefault="00BB1F67" w:rsidP="003D4A80">
          <w:pPr>
            <w:pStyle w:val="TDC3"/>
            <w:tabs>
              <w:tab w:val="left" w:pos="2089"/>
              <w:tab w:val="right" w:leader="dot" w:pos="9394"/>
            </w:tabs>
            <w:ind w:left="0" w:firstLine="0"/>
            <w:rPr>
              <w:rFonts w:asciiTheme="minorHAnsi" w:eastAsiaTheme="minorEastAsia" w:hAnsiTheme="minorHAnsi"/>
              <w:noProof/>
            </w:rPr>
          </w:pPr>
          <w:hyperlink w:anchor="_Toc232580583" w:history="1">
            <w:r w:rsidRPr="00EA33DE">
              <w:rPr>
                <w:rStyle w:val="Hipervnculo"/>
                <w:noProof/>
              </w:rPr>
              <w:t>4.10.1.</w:t>
            </w:r>
            <w:r w:rsidR="003D4A80">
              <w:rPr>
                <w:rStyle w:val="Hipervnculo"/>
                <w:noProof/>
              </w:rPr>
              <w:t xml:space="preserve"> </w:t>
            </w:r>
            <w:r w:rsidRPr="00EA33DE">
              <w:rPr>
                <w:rStyle w:val="Hipervnculo"/>
                <w:noProof/>
              </w:rPr>
              <w:t>Concepto y naturaleza de las psicociencias</w:t>
            </w:r>
            <w:r>
              <w:rPr>
                <w:noProof/>
                <w:webHidden/>
              </w:rPr>
              <w:tab/>
            </w:r>
            <w:r>
              <w:rPr>
                <w:noProof/>
                <w:webHidden/>
              </w:rPr>
              <w:fldChar w:fldCharType="begin"/>
            </w:r>
            <w:r>
              <w:rPr>
                <w:noProof/>
                <w:webHidden/>
              </w:rPr>
              <w:instrText xml:space="preserve"> PAGEREF _Toc232580583 \h </w:instrText>
            </w:r>
            <w:r>
              <w:rPr>
                <w:noProof/>
                <w:webHidden/>
              </w:rPr>
            </w:r>
            <w:r>
              <w:rPr>
                <w:noProof/>
                <w:webHidden/>
              </w:rPr>
              <w:fldChar w:fldCharType="separate"/>
            </w:r>
            <w:r w:rsidR="00552FC6">
              <w:rPr>
                <w:noProof/>
                <w:webHidden/>
              </w:rPr>
              <w:t>68</w:t>
            </w:r>
            <w:r>
              <w:rPr>
                <w:noProof/>
                <w:webHidden/>
              </w:rPr>
              <w:fldChar w:fldCharType="end"/>
            </w:r>
          </w:hyperlink>
        </w:p>
        <w:p w14:paraId="27060085" w14:textId="4B146782" w:rsidR="00BB1F67" w:rsidRDefault="00BB1F67" w:rsidP="003D4A80">
          <w:pPr>
            <w:pStyle w:val="TDC3"/>
            <w:tabs>
              <w:tab w:val="left" w:pos="2089"/>
              <w:tab w:val="right" w:leader="dot" w:pos="9394"/>
            </w:tabs>
            <w:ind w:left="0" w:firstLine="0"/>
            <w:rPr>
              <w:rFonts w:asciiTheme="minorHAnsi" w:eastAsiaTheme="minorEastAsia" w:hAnsiTheme="minorHAnsi"/>
              <w:noProof/>
            </w:rPr>
          </w:pPr>
          <w:hyperlink w:anchor="_Toc232580584" w:history="1">
            <w:r w:rsidRPr="00EA33DE">
              <w:rPr>
                <w:rStyle w:val="Hipervnculo"/>
                <w:noProof/>
              </w:rPr>
              <w:t>4.10.2.</w:t>
            </w:r>
            <w:r w:rsidR="003D4A80">
              <w:rPr>
                <w:rStyle w:val="Hipervnculo"/>
                <w:noProof/>
              </w:rPr>
              <w:t xml:space="preserve"> </w:t>
            </w:r>
            <w:r w:rsidRPr="00EA33DE">
              <w:rPr>
                <w:rStyle w:val="Hipervnculo"/>
                <w:noProof/>
              </w:rPr>
              <w:t>Doble función de las psicociencias: conocimiento e intervención</w:t>
            </w:r>
            <w:r>
              <w:rPr>
                <w:noProof/>
                <w:webHidden/>
              </w:rPr>
              <w:tab/>
            </w:r>
            <w:r>
              <w:rPr>
                <w:noProof/>
                <w:webHidden/>
              </w:rPr>
              <w:fldChar w:fldCharType="begin"/>
            </w:r>
            <w:r>
              <w:rPr>
                <w:noProof/>
                <w:webHidden/>
              </w:rPr>
              <w:instrText xml:space="preserve"> PAGEREF _Toc232580584 \h </w:instrText>
            </w:r>
            <w:r>
              <w:rPr>
                <w:noProof/>
                <w:webHidden/>
              </w:rPr>
            </w:r>
            <w:r>
              <w:rPr>
                <w:noProof/>
                <w:webHidden/>
              </w:rPr>
              <w:fldChar w:fldCharType="separate"/>
            </w:r>
            <w:r w:rsidR="00552FC6">
              <w:rPr>
                <w:noProof/>
                <w:webHidden/>
              </w:rPr>
              <w:t>69</w:t>
            </w:r>
            <w:r>
              <w:rPr>
                <w:noProof/>
                <w:webHidden/>
              </w:rPr>
              <w:fldChar w:fldCharType="end"/>
            </w:r>
          </w:hyperlink>
        </w:p>
        <w:p w14:paraId="2C4EA790" w14:textId="1E3A00D3" w:rsidR="00BB1F67" w:rsidRDefault="00BB1F67" w:rsidP="003D4A80">
          <w:pPr>
            <w:pStyle w:val="TDC3"/>
            <w:tabs>
              <w:tab w:val="left" w:pos="2089"/>
              <w:tab w:val="right" w:leader="dot" w:pos="9394"/>
            </w:tabs>
            <w:ind w:left="0" w:firstLine="0"/>
            <w:rPr>
              <w:rFonts w:asciiTheme="minorHAnsi" w:eastAsiaTheme="minorEastAsia" w:hAnsiTheme="minorHAnsi"/>
              <w:noProof/>
            </w:rPr>
          </w:pPr>
          <w:hyperlink w:anchor="_Toc232580585" w:history="1">
            <w:r w:rsidRPr="00EA33DE">
              <w:rPr>
                <w:rStyle w:val="Hipervnculo"/>
                <w:noProof/>
              </w:rPr>
              <w:t>4.10.4.</w:t>
            </w:r>
            <w:r w:rsidR="003D4A80">
              <w:rPr>
                <w:rFonts w:asciiTheme="minorHAnsi" w:eastAsiaTheme="minorEastAsia" w:hAnsiTheme="minorHAnsi"/>
                <w:noProof/>
              </w:rPr>
              <w:t xml:space="preserve"> </w:t>
            </w:r>
            <w:r w:rsidRPr="00EA33DE">
              <w:rPr>
                <w:rStyle w:val="Hipervnculo"/>
                <w:noProof/>
              </w:rPr>
              <w:t>Psicociencias como tekné: práctica, técnica y dispositivo</w:t>
            </w:r>
            <w:r>
              <w:rPr>
                <w:noProof/>
                <w:webHidden/>
              </w:rPr>
              <w:tab/>
            </w:r>
            <w:r>
              <w:rPr>
                <w:noProof/>
                <w:webHidden/>
              </w:rPr>
              <w:fldChar w:fldCharType="begin"/>
            </w:r>
            <w:r>
              <w:rPr>
                <w:noProof/>
                <w:webHidden/>
              </w:rPr>
              <w:instrText xml:space="preserve"> PAGEREF _Toc232580585 \h </w:instrText>
            </w:r>
            <w:r>
              <w:rPr>
                <w:noProof/>
                <w:webHidden/>
              </w:rPr>
            </w:r>
            <w:r>
              <w:rPr>
                <w:noProof/>
                <w:webHidden/>
              </w:rPr>
              <w:fldChar w:fldCharType="separate"/>
            </w:r>
            <w:r w:rsidR="00552FC6">
              <w:rPr>
                <w:noProof/>
                <w:webHidden/>
              </w:rPr>
              <w:t>70</w:t>
            </w:r>
            <w:r>
              <w:rPr>
                <w:noProof/>
                <w:webHidden/>
              </w:rPr>
              <w:fldChar w:fldCharType="end"/>
            </w:r>
          </w:hyperlink>
        </w:p>
        <w:p w14:paraId="607F1075" w14:textId="1E850F45" w:rsidR="00BB1F67" w:rsidRDefault="00BB1F67" w:rsidP="003D4A80">
          <w:pPr>
            <w:pStyle w:val="TDC3"/>
            <w:tabs>
              <w:tab w:val="left" w:pos="2089"/>
              <w:tab w:val="right" w:leader="dot" w:pos="9394"/>
            </w:tabs>
            <w:ind w:left="0" w:firstLine="0"/>
            <w:rPr>
              <w:rFonts w:asciiTheme="minorHAnsi" w:eastAsiaTheme="minorEastAsia" w:hAnsiTheme="minorHAnsi"/>
              <w:noProof/>
            </w:rPr>
          </w:pPr>
          <w:hyperlink w:anchor="_Toc232580586" w:history="1">
            <w:r w:rsidRPr="00EA33DE">
              <w:rPr>
                <w:rStyle w:val="Hipervnculo"/>
                <w:noProof/>
              </w:rPr>
              <w:t>4.10.5.</w:t>
            </w:r>
            <w:r w:rsidR="003D4A80">
              <w:rPr>
                <w:rStyle w:val="Hipervnculo"/>
                <w:noProof/>
              </w:rPr>
              <w:t xml:space="preserve"> </w:t>
            </w:r>
            <w:r w:rsidRPr="00EA33DE">
              <w:rPr>
                <w:rStyle w:val="Hipervnculo"/>
                <w:noProof/>
              </w:rPr>
              <w:t>Carácter productivo y normalizador de las psicociencias</w:t>
            </w:r>
            <w:r>
              <w:rPr>
                <w:noProof/>
                <w:webHidden/>
              </w:rPr>
              <w:tab/>
            </w:r>
            <w:r>
              <w:rPr>
                <w:noProof/>
                <w:webHidden/>
              </w:rPr>
              <w:fldChar w:fldCharType="begin"/>
            </w:r>
            <w:r>
              <w:rPr>
                <w:noProof/>
                <w:webHidden/>
              </w:rPr>
              <w:instrText xml:space="preserve"> PAGEREF _Toc232580586 \h </w:instrText>
            </w:r>
            <w:r>
              <w:rPr>
                <w:noProof/>
                <w:webHidden/>
              </w:rPr>
            </w:r>
            <w:r>
              <w:rPr>
                <w:noProof/>
                <w:webHidden/>
              </w:rPr>
              <w:fldChar w:fldCharType="separate"/>
            </w:r>
            <w:r w:rsidR="00552FC6">
              <w:rPr>
                <w:noProof/>
                <w:webHidden/>
              </w:rPr>
              <w:t>71</w:t>
            </w:r>
            <w:r>
              <w:rPr>
                <w:noProof/>
                <w:webHidden/>
              </w:rPr>
              <w:fldChar w:fldCharType="end"/>
            </w:r>
          </w:hyperlink>
        </w:p>
        <w:p w14:paraId="05A74DD8" w14:textId="45CF3DE5" w:rsidR="00BB1F67" w:rsidRDefault="00BB1F67" w:rsidP="00F860C0">
          <w:pPr>
            <w:pStyle w:val="TDC2"/>
            <w:rPr>
              <w:rFonts w:asciiTheme="minorHAnsi" w:eastAsiaTheme="minorEastAsia" w:hAnsiTheme="minorHAnsi"/>
            </w:rPr>
          </w:pPr>
          <w:hyperlink w:anchor="_Toc232580587" w:history="1">
            <w:r w:rsidRPr="00EA33DE">
              <w:rPr>
                <w:rStyle w:val="Hipervnculo"/>
              </w:rPr>
              <w:t>4.11.</w:t>
            </w:r>
            <w:r w:rsidR="003D4A80">
              <w:rPr>
                <w:rStyle w:val="Hipervnculo"/>
              </w:rPr>
              <w:t xml:space="preserve"> </w:t>
            </w:r>
            <w:r w:rsidRPr="00EA33DE">
              <w:rPr>
                <w:rStyle w:val="Hipervnculo"/>
              </w:rPr>
              <w:t>La psicología como saber-poder</w:t>
            </w:r>
            <w:r>
              <w:rPr>
                <w:webHidden/>
              </w:rPr>
              <w:tab/>
            </w:r>
            <w:r>
              <w:rPr>
                <w:webHidden/>
              </w:rPr>
              <w:fldChar w:fldCharType="begin"/>
            </w:r>
            <w:r>
              <w:rPr>
                <w:webHidden/>
              </w:rPr>
              <w:instrText xml:space="preserve"> PAGEREF _Toc232580587 \h </w:instrText>
            </w:r>
            <w:r>
              <w:rPr>
                <w:webHidden/>
              </w:rPr>
            </w:r>
            <w:r>
              <w:rPr>
                <w:webHidden/>
              </w:rPr>
              <w:fldChar w:fldCharType="separate"/>
            </w:r>
            <w:r w:rsidR="00552FC6">
              <w:rPr>
                <w:webHidden/>
              </w:rPr>
              <w:t>72</w:t>
            </w:r>
            <w:r>
              <w:rPr>
                <w:webHidden/>
              </w:rPr>
              <w:fldChar w:fldCharType="end"/>
            </w:r>
          </w:hyperlink>
        </w:p>
        <w:p w14:paraId="7E621C2D" w14:textId="4EAE8470" w:rsidR="00BB1F67" w:rsidRDefault="00BB1F67" w:rsidP="003D4A80">
          <w:pPr>
            <w:pStyle w:val="TDC3"/>
            <w:tabs>
              <w:tab w:val="left" w:pos="2080"/>
              <w:tab w:val="right" w:leader="dot" w:pos="9394"/>
            </w:tabs>
            <w:ind w:left="0" w:firstLine="0"/>
            <w:rPr>
              <w:rFonts w:asciiTheme="minorHAnsi" w:eastAsiaTheme="minorEastAsia" w:hAnsiTheme="minorHAnsi"/>
              <w:noProof/>
            </w:rPr>
          </w:pPr>
          <w:hyperlink w:anchor="_Toc232580588" w:history="1">
            <w:r w:rsidRPr="00EA33DE">
              <w:rPr>
                <w:rStyle w:val="Hipervnculo"/>
                <w:noProof/>
              </w:rPr>
              <w:t>4.11.1.</w:t>
            </w:r>
            <w:r w:rsidR="003D4A80">
              <w:rPr>
                <w:rStyle w:val="Hipervnculo"/>
                <w:noProof/>
              </w:rPr>
              <w:t xml:space="preserve"> </w:t>
            </w:r>
            <w:r w:rsidRPr="00EA33DE">
              <w:rPr>
                <w:rStyle w:val="Hipervnculo"/>
                <w:noProof/>
              </w:rPr>
              <w:t>Dimensiones constitutivas de la psicología</w:t>
            </w:r>
            <w:r>
              <w:rPr>
                <w:noProof/>
                <w:webHidden/>
              </w:rPr>
              <w:tab/>
            </w:r>
            <w:r>
              <w:rPr>
                <w:noProof/>
                <w:webHidden/>
              </w:rPr>
              <w:fldChar w:fldCharType="begin"/>
            </w:r>
            <w:r>
              <w:rPr>
                <w:noProof/>
                <w:webHidden/>
              </w:rPr>
              <w:instrText xml:space="preserve"> PAGEREF _Toc232580588 \h </w:instrText>
            </w:r>
            <w:r>
              <w:rPr>
                <w:noProof/>
                <w:webHidden/>
              </w:rPr>
            </w:r>
            <w:r>
              <w:rPr>
                <w:noProof/>
                <w:webHidden/>
              </w:rPr>
              <w:fldChar w:fldCharType="separate"/>
            </w:r>
            <w:r w:rsidR="00552FC6">
              <w:rPr>
                <w:noProof/>
                <w:webHidden/>
              </w:rPr>
              <w:t>73</w:t>
            </w:r>
            <w:r>
              <w:rPr>
                <w:noProof/>
                <w:webHidden/>
              </w:rPr>
              <w:fldChar w:fldCharType="end"/>
            </w:r>
          </w:hyperlink>
        </w:p>
        <w:p w14:paraId="14DFD9D8" w14:textId="7895263E" w:rsidR="00BB1F67" w:rsidRDefault="00BB1F67" w:rsidP="003D4A80">
          <w:pPr>
            <w:pStyle w:val="TDC3"/>
            <w:tabs>
              <w:tab w:val="left" w:pos="2080"/>
              <w:tab w:val="right" w:leader="dot" w:pos="9394"/>
            </w:tabs>
            <w:ind w:left="0" w:firstLine="0"/>
            <w:rPr>
              <w:rFonts w:asciiTheme="minorHAnsi" w:eastAsiaTheme="minorEastAsia" w:hAnsiTheme="minorHAnsi"/>
              <w:noProof/>
            </w:rPr>
          </w:pPr>
          <w:hyperlink w:anchor="_Toc232580589" w:history="1">
            <w:r w:rsidRPr="00EA33DE">
              <w:rPr>
                <w:rStyle w:val="Hipervnculo"/>
                <w:noProof/>
              </w:rPr>
              <w:t>4.11.2.</w:t>
            </w:r>
            <w:r w:rsidR="003D4A80">
              <w:rPr>
                <w:rStyle w:val="Hipervnculo"/>
                <w:noProof/>
              </w:rPr>
              <w:t xml:space="preserve"> </w:t>
            </w:r>
            <w:r w:rsidRPr="00EA33DE">
              <w:rPr>
                <w:rStyle w:val="Hipervnculo"/>
                <w:noProof/>
              </w:rPr>
              <w:t>La psicología como dispositivo de normalización</w:t>
            </w:r>
            <w:r>
              <w:rPr>
                <w:noProof/>
                <w:webHidden/>
              </w:rPr>
              <w:tab/>
            </w:r>
            <w:r>
              <w:rPr>
                <w:noProof/>
                <w:webHidden/>
              </w:rPr>
              <w:fldChar w:fldCharType="begin"/>
            </w:r>
            <w:r>
              <w:rPr>
                <w:noProof/>
                <w:webHidden/>
              </w:rPr>
              <w:instrText xml:space="preserve"> PAGEREF _Toc232580589 \h </w:instrText>
            </w:r>
            <w:r>
              <w:rPr>
                <w:noProof/>
                <w:webHidden/>
              </w:rPr>
            </w:r>
            <w:r>
              <w:rPr>
                <w:noProof/>
                <w:webHidden/>
              </w:rPr>
              <w:fldChar w:fldCharType="separate"/>
            </w:r>
            <w:r w:rsidR="00552FC6">
              <w:rPr>
                <w:noProof/>
                <w:webHidden/>
              </w:rPr>
              <w:t>73</w:t>
            </w:r>
            <w:r>
              <w:rPr>
                <w:noProof/>
                <w:webHidden/>
              </w:rPr>
              <w:fldChar w:fldCharType="end"/>
            </w:r>
          </w:hyperlink>
        </w:p>
        <w:p w14:paraId="6AB4F1BB" w14:textId="63A5FD7D" w:rsidR="00BB1F67" w:rsidRDefault="00BB1F67" w:rsidP="003D4A80">
          <w:pPr>
            <w:pStyle w:val="TDC3"/>
            <w:tabs>
              <w:tab w:val="left" w:pos="2080"/>
              <w:tab w:val="right" w:leader="dot" w:pos="9394"/>
            </w:tabs>
            <w:ind w:left="0" w:firstLine="0"/>
            <w:rPr>
              <w:rFonts w:asciiTheme="minorHAnsi" w:eastAsiaTheme="minorEastAsia" w:hAnsiTheme="minorHAnsi"/>
              <w:noProof/>
            </w:rPr>
          </w:pPr>
          <w:hyperlink w:anchor="_Toc232580590" w:history="1">
            <w:r w:rsidRPr="00EA33DE">
              <w:rPr>
                <w:rStyle w:val="Hipervnculo"/>
                <w:noProof/>
              </w:rPr>
              <w:t>4.11.3.</w:t>
            </w:r>
            <w:r w:rsidR="003D4A80">
              <w:rPr>
                <w:rStyle w:val="Hipervnculo"/>
                <w:noProof/>
              </w:rPr>
              <w:t xml:space="preserve"> </w:t>
            </w:r>
            <w:r w:rsidRPr="00EA33DE">
              <w:rPr>
                <w:rStyle w:val="Hipervnculo"/>
                <w:noProof/>
              </w:rPr>
              <w:t>La psicología como tecnología del yo</w:t>
            </w:r>
            <w:r>
              <w:rPr>
                <w:noProof/>
                <w:webHidden/>
              </w:rPr>
              <w:tab/>
            </w:r>
            <w:r>
              <w:rPr>
                <w:noProof/>
                <w:webHidden/>
              </w:rPr>
              <w:fldChar w:fldCharType="begin"/>
            </w:r>
            <w:r>
              <w:rPr>
                <w:noProof/>
                <w:webHidden/>
              </w:rPr>
              <w:instrText xml:space="preserve"> PAGEREF _Toc232580590 \h </w:instrText>
            </w:r>
            <w:r>
              <w:rPr>
                <w:noProof/>
                <w:webHidden/>
              </w:rPr>
            </w:r>
            <w:r>
              <w:rPr>
                <w:noProof/>
                <w:webHidden/>
              </w:rPr>
              <w:fldChar w:fldCharType="separate"/>
            </w:r>
            <w:r w:rsidR="00552FC6">
              <w:rPr>
                <w:noProof/>
                <w:webHidden/>
              </w:rPr>
              <w:t>74</w:t>
            </w:r>
            <w:r>
              <w:rPr>
                <w:noProof/>
                <w:webHidden/>
              </w:rPr>
              <w:fldChar w:fldCharType="end"/>
            </w:r>
          </w:hyperlink>
        </w:p>
        <w:p w14:paraId="3AAA90F7" w14:textId="371F917E" w:rsidR="00BB1F67" w:rsidRDefault="00BB1F67" w:rsidP="00F860C0">
          <w:pPr>
            <w:pStyle w:val="TDC2"/>
            <w:rPr>
              <w:rFonts w:asciiTheme="minorHAnsi" w:eastAsiaTheme="minorEastAsia" w:hAnsiTheme="minorHAnsi"/>
            </w:rPr>
          </w:pPr>
          <w:hyperlink w:anchor="_Toc232580591" w:history="1">
            <w:r w:rsidRPr="00EA33DE">
              <w:rPr>
                <w:rStyle w:val="Hipervnculo"/>
              </w:rPr>
              <w:t>4.12.</w:t>
            </w:r>
            <w:r w:rsidR="003D4A80">
              <w:rPr>
                <w:rStyle w:val="Hipervnculo"/>
              </w:rPr>
              <w:t xml:space="preserve"> </w:t>
            </w:r>
            <w:r w:rsidRPr="00EA33DE">
              <w:rPr>
                <w:rStyle w:val="Hipervnculo"/>
                <w:shd w:val="clear" w:color="auto" w:fill="FFFFFF"/>
              </w:rPr>
              <w:t>Poder, saber y gobierno de la vida</w:t>
            </w:r>
            <w:r>
              <w:rPr>
                <w:webHidden/>
              </w:rPr>
              <w:tab/>
            </w:r>
            <w:r>
              <w:rPr>
                <w:webHidden/>
              </w:rPr>
              <w:fldChar w:fldCharType="begin"/>
            </w:r>
            <w:r>
              <w:rPr>
                <w:webHidden/>
              </w:rPr>
              <w:instrText xml:space="preserve"> PAGEREF _Toc232580591 \h </w:instrText>
            </w:r>
            <w:r>
              <w:rPr>
                <w:webHidden/>
              </w:rPr>
            </w:r>
            <w:r>
              <w:rPr>
                <w:webHidden/>
              </w:rPr>
              <w:fldChar w:fldCharType="separate"/>
            </w:r>
            <w:r w:rsidR="00552FC6">
              <w:rPr>
                <w:webHidden/>
              </w:rPr>
              <w:t>75</w:t>
            </w:r>
            <w:r>
              <w:rPr>
                <w:webHidden/>
              </w:rPr>
              <w:fldChar w:fldCharType="end"/>
            </w:r>
          </w:hyperlink>
        </w:p>
        <w:p w14:paraId="3C881B23" w14:textId="700F6308" w:rsidR="00BB1F67" w:rsidRDefault="00BB1F67" w:rsidP="003D4A80">
          <w:pPr>
            <w:pStyle w:val="TDC3"/>
            <w:tabs>
              <w:tab w:val="left" w:pos="2089"/>
              <w:tab w:val="right" w:leader="dot" w:pos="9394"/>
            </w:tabs>
            <w:ind w:left="0" w:firstLine="0"/>
            <w:rPr>
              <w:rFonts w:asciiTheme="minorHAnsi" w:eastAsiaTheme="minorEastAsia" w:hAnsiTheme="minorHAnsi"/>
              <w:noProof/>
            </w:rPr>
          </w:pPr>
          <w:hyperlink w:anchor="_Toc232580592" w:history="1">
            <w:r w:rsidRPr="00EA33DE">
              <w:rPr>
                <w:rStyle w:val="Hipervnculo"/>
                <w:noProof/>
              </w:rPr>
              <w:t>4.12.1.</w:t>
            </w:r>
            <w:r w:rsidR="003D4A80">
              <w:rPr>
                <w:rStyle w:val="Hipervnculo"/>
                <w:noProof/>
              </w:rPr>
              <w:t xml:space="preserve"> </w:t>
            </w:r>
            <w:r w:rsidRPr="00EA33DE">
              <w:rPr>
                <w:rStyle w:val="Hipervnculo"/>
                <w:noProof/>
              </w:rPr>
              <w:t>Gubernamentalidad</w:t>
            </w:r>
            <w:r>
              <w:rPr>
                <w:noProof/>
                <w:webHidden/>
              </w:rPr>
              <w:tab/>
            </w:r>
            <w:r>
              <w:rPr>
                <w:noProof/>
                <w:webHidden/>
              </w:rPr>
              <w:fldChar w:fldCharType="begin"/>
            </w:r>
            <w:r>
              <w:rPr>
                <w:noProof/>
                <w:webHidden/>
              </w:rPr>
              <w:instrText xml:space="preserve"> PAGEREF _Toc232580592 \h </w:instrText>
            </w:r>
            <w:r>
              <w:rPr>
                <w:noProof/>
                <w:webHidden/>
              </w:rPr>
            </w:r>
            <w:r>
              <w:rPr>
                <w:noProof/>
                <w:webHidden/>
              </w:rPr>
              <w:fldChar w:fldCharType="separate"/>
            </w:r>
            <w:r w:rsidR="00552FC6">
              <w:rPr>
                <w:noProof/>
                <w:webHidden/>
              </w:rPr>
              <w:t>78</w:t>
            </w:r>
            <w:r>
              <w:rPr>
                <w:noProof/>
                <w:webHidden/>
              </w:rPr>
              <w:fldChar w:fldCharType="end"/>
            </w:r>
          </w:hyperlink>
        </w:p>
        <w:p w14:paraId="4C85EB86" w14:textId="3F844B18" w:rsidR="00BB1F67" w:rsidRDefault="00BB1F67" w:rsidP="003D4A80">
          <w:pPr>
            <w:pStyle w:val="TDC3"/>
            <w:tabs>
              <w:tab w:val="left" w:pos="2089"/>
              <w:tab w:val="right" w:leader="dot" w:pos="9394"/>
            </w:tabs>
            <w:ind w:left="0" w:firstLine="0"/>
            <w:rPr>
              <w:rFonts w:asciiTheme="minorHAnsi" w:eastAsiaTheme="minorEastAsia" w:hAnsiTheme="minorHAnsi"/>
              <w:noProof/>
            </w:rPr>
          </w:pPr>
          <w:hyperlink w:anchor="_Toc232580593" w:history="1">
            <w:r w:rsidRPr="00EA33DE">
              <w:rPr>
                <w:rStyle w:val="Hipervnculo"/>
                <w:noProof/>
              </w:rPr>
              <w:t>4.12.2.</w:t>
            </w:r>
            <w:r w:rsidR="003D4A80">
              <w:rPr>
                <w:rStyle w:val="Hipervnculo"/>
                <w:noProof/>
              </w:rPr>
              <w:t xml:space="preserve"> </w:t>
            </w:r>
            <w:r w:rsidRPr="00EA33DE">
              <w:rPr>
                <w:rStyle w:val="Hipervnculo"/>
                <w:noProof/>
              </w:rPr>
              <w:t>Técnicas de sí</w:t>
            </w:r>
            <w:r>
              <w:rPr>
                <w:noProof/>
                <w:webHidden/>
              </w:rPr>
              <w:tab/>
            </w:r>
            <w:r w:rsidR="003D4A80">
              <w:rPr>
                <w:noProof/>
                <w:webHidden/>
              </w:rPr>
              <w:tab/>
            </w:r>
            <w:r>
              <w:rPr>
                <w:noProof/>
                <w:webHidden/>
              </w:rPr>
              <w:fldChar w:fldCharType="begin"/>
            </w:r>
            <w:r>
              <w:rPr>
                <w:noProof/>
                <w:webHidden/>
              </w:rPr>
              <w:instrText xml:space="preserve"> PAGEREF _Toc232580593 \h </w:instrText>
            </w:r>
            <w:r>
              <w:rPr>
                <w:noProof/>
                <w:webHidden/>
              </w:rPr>
            </w:r>
            <w:r>
              <w:rPr>
                <w:noProof/>
                <w:webHidden/>
              </w:rPr>
              <w:fldChar w:fldCharType="separate"/>
            </w:r>
            <w:r w:rsidR="00552FC6">
              <w:rPr>
                <w:noProof/>
                <w:webHidden/>
              </w:rPr>
              <w:t>80</w:t>
            </w:r>
            <w:r>
              <w:rPr>
                <w:noProof/>
                <w:webHidden/>
              </w:rPr>
              <w:fldChar w:fldCharType="end"/>
            </w:r>
          </w:hyperlink>
        </w:p>
        <w:p w14:paraId="48A95D67" w14:textId="5D34CFED" w:rsidR="00BB1F67" w:rsidRDefault="00BB1F67" w:rsidP="00F860C0">
          <w:pPr>
            <w:pStyle w:val="TDC3"/>
            <w:tabs>
              <w:tab w:val="left" w:pos="2089"/>
              <w:tab w:val="right" w:leader="dot" w:pos="9394"/>
            </w:tabs>
            <w:ind w:left="0" w:firstLine="0"/>
            <w:rPr>
              <w:rFonts w:asciiTheme="minorHAnsi" w:eastAsiaTheme="minorEastAsia" w:hAnsiTheme="minorHAnsi"/>
              <w:noProof/>
            </w:rPr>
          </w:pPr>
          <w:hyperlink w:anchor="_Toc232580594" w:history="1">
            <w:r w:rsidRPr="00EA33DE">
              <w:rPr>
                <w:rStyle w:val="Hipervnculo"/>
                <w:noProof/>
              </w:rPr>
              <w:t>4.12.3.</w:t>
            </w:r>
            <w:r w:rsidR="00F860C0">
              <w:rPr>
                <w:rStyle w:val="Hipervnculo"/>
                <w:noProof/>
              </w:rPr>
              <w:t xml:space="preserve"> </w:t>
            </w:r>
            <w:r w:rsidRPr="00EA33DE">
              <w:rPr>
                <w:rStyle w:val="Hipervnculo"/>
                <w:noProof/>
              </w:rPr>
              <w:t>Psicopolítica y gobierno neoliberal de la subjetividad</w:t>
            </w:r>
            <w:r>
              <w:rPr>
                <w:noProof/>
                <w:webHidden/>
              </w:rPr>
              <w:tab/>
            </w:r>
            <w:r>
              <w:rPr>
                <w:noProof/>
                <w:webHidden/>
              </w:rPr>
              <w:fldChar w:fldCharType="begin"/>
            </w:r>
            <w:r>
              <w:rPr>
                <w:noProof/>
                <w:webHidden/>
              </w:rPr>
              <w:instrText xml:space="preserve"> PAGEREF _Toc232580594 \h </w:instrText>
            </w:r>
            <w:r>
              <w:rPr>
                <w:noProof/>
                <w:webHidden/>
              </w:rPr>
            </w:r>
            <w:r>
              <w:rPr>
                <w:noProof/>
                <w:webHidden/>
              </w:rPr>
              <w:fldChar w:fldCharType="separate"/>
            </w:r>
            <w:r w:rsidR="00552FC6">
              <w:rPr>
                <w:noProof/>
                <w:webHidden/>
              </w:rPr>
              <w:t>81</w:t>
            </w:r>
            <w:r>
              <w:rPr>
                <w:noProof/>
                <w:webHidden/>
              </w:rPr>
              <w:fldChar w:fldCharType="end"/>
            </w:r>
          </w:hyperlink>
        </w:p>
        <w:p w14:paraId="24711D93" w14:textId="47A8E40A" w:rsidR="00BB1F67" w:rsidRDefault="00BB1F67" w:rsidP="00187C9E">
          <w:pPr>
            <w:pStyle w:val="TDC1"/>
            <w:rPr>
              <w:rFonts w:asciiTheme="minorHAnsi" w:eastAsiaTheme="minorEastAsia" w:hAnsiTheme="minorHAnsi"/>
            </w:rPr>
          </w:pPr>
          <w:hyperlink w:anchor="_Toc232580595" w:history="1">
            <w:r w:rsidRPr="00EA33DE">
              <w:rPr>
                <w:rStyle w:val="Hipervnculo"/>
              </w:rPr>
              <w:t>5.</w:t>
            </w:r>
            <w:r w:rsidR="00F860C0">
              <w:rPr>
                <w:rStyle w:val="Hipervnculo"/>
              </w:rPr>
              <w:t xml:space="preserve"> </w:t>
            </w:r>
            <w:r w:rsidRPr="00EA33DE">
              <w:rPr>
                <w:rStyle w:val="Hipervnculo"/>
              </w:rPr>
              <w:t>Metodología</w:t>
            </w:r>
            <w:r>
              <w:rPr>
                <w:webHidden/>
              </w:rPr>
              <w:tab/>
            </w:r>
            <w:r>
              <w:rPr>
                <w:webHidden/>
              </w:rPr>
              <w:fldChar w:fldCharType="begin"/>
            </w:r>
            <w:r>
              <w:rPr>
                <w:webHidden/>
              </w:rPr>
              <w:instrText xml:space="preserve"> PAGEREF _Toc232580595 \h </w:instrText>
            </w:r>
            <w:r>
              <w:rPr>
                <w:webHidden/>
              </w:rPr>
            </w:r>
            <w:r>
              <w:rPr>
                <w:webHidden/>
              </w:rPr>
              <w:fldChar w:fldCharType="separate"/>
            </w:r>
            <w:r w:rsidR="00552FC6">
              <w:rPr>
                <w:webHidden/>
              </w:rPr>
              <w:t>85</w:t>
            </w:r>
            <w:r>
              <w:rPr>
                <w:webHidden/>
              </w:rPr>
              <w:fldChar w:fldCharType="end"/>
            </w:r>
          </w:hyperlink>
        </w:p>
        <w:p w14:paraId="22884C1F" w14:textId="1EB700EF" w:rsidR="00BB1F67" w:rsidRDefault="00BB1F67" w:rsidP="00F860C0">
          <w:pPr>
            <w:pStyle w:val="TDC2"/>
            <w:rPr>
              <w:rFonts w:asciiTheme="minorHAnsi" w:eastAsiaTheme="minorEastAsia" w:hAnsiTheme="minorHAnsi"/>
            </w:rPr>
          </w:pPr>
          <w:hyperlink w:anchor="_Toc232580596" w:history="1">
            <w:r w:rsidRPr="00EA33DE">
              <w:rPr>
                <w:rStyle w:val="Hipervnculo"/>
              </w:rPr>
              <w:t>5.1.</w:t>
            </w:r>
            <w:r w:rsidR="00F860C0">
              <w:rPr>
                <w:rFonts w:asciiTheme="minorHAnsi" w:eastAsiaTheme="minorEastAsia" w:hAnsiTheme="minorHAnsi"/>
              </w:rPr>
              <w:t xml:space="preserve"> </w:t>
            </w:r>
            <w:r w:rsidRPr="00EA33DE">
              <w:rPr>
                <w:rStyle w:val="Hipervnculo"/>
              </w:rPr>
              <w:t>Conceptualización ontología crítica: máquina analítica y metáfora del caleidoscopio</w:t>
            </w:r>
            <w:r>
              <w:rPr>
                <w:webHidden/>
              </w:rPr>
              <w:tab/>
            </w:r>
            <w:r>
              <w:rPr>
                <w:webHidden/>
              </w:rPr>
              <w:fldChar w:fldCharType="begin"/>
            </w:r>
            <w:r>
              <w:rPr>
                <w:webHidden/>
              </w:rPr>
              <w:instrText xml:space="preserve"> PAGEREF _Toc232580596 \h </w:instrText>
            </w:r>
            <w:r>
              <w:rPr>
                <w:webHidden/>
              </w:rPr>
            </w:r>
            <w:r>
              <w:rPr>
                <w:webHidden/>
              </w:rPr>
              <w:fldChar w:fldCharType="separate"/>
            </w:r>
            <w:r w:rsidR="00552FC6">
              <w:rPr>
                <w:webHidden/>
              </w:rPr>
              <w:t>86</w:t>
            </w:r>
            <w:r>
              <w:rPr>
                <w:webHidden/>
              </w:rPr>
              <w:fldChar w:fldCharType="end"/>
            </w:r>
          </w:hyperlink>
        </w:p>
        <w:p w14:paraId="61DD122F" w14:textId="6CE77720" w:rsidR="00BB1F67" w:rsidRDefault="00BB1F67" w:rsidP="00F860C0">
          <w:pPr>
            <w:pStyle w:val="TDC2"/>
            <w:rPr>
              <w:rFonts w:asciiTheme="minorHAnsi" w:eastAsiaTheme="minorEastAsia" w:hAnsiTheme="minorHAnsi"/>
            </w:rPr>
          </w:pPr>
          <w:hyperlink w:anchor="_Toc232580597" w:history="1">
            <w:r w:rsidRPr="00EA33DE">
              <w:rPr>
                <w:rStyle w:val="Hipervnculo"/>
              </w:rPr>
              <w:t>5.2.</w:t>
            </w:r>
            <w:r w:rsidR="00F860C0">
              <w:rPr>
                <w:rStyle w:val="Hipervnculo"/>
              </w:rPr>
              <w:t xml:space="preserve"> </w:t>
            </w:r>
            <w:r w:rsidRPr="00EA33DE">
              <w:rPr>
                <w:rStyle w:val="Hipervnculo"/>
              </w:rPr>
              <w:t>Operativización Metodológica: Del Caleidoscopio a la Práctica Investigativa</w:t>
            </w:r>
            <w:r>
              <w:rPr>
                <w:webHidden/>
              </w:rPr>
              <w:tab/>
            </w:r>
            <w:r>
              <w:rPr>
                <w:webHidden/>
              </w:rPr>
              <w:fldChar w:fldCharType="begin"/>
            </w:r>
            <w:r>
              <w:rPr>
                <w:webHidden/>
              </w:rPr>
              <w:instrText xml:space="preserve"> PAGEREF _Toc232580597 \h </w:instrText>
            </w:r>
            <w:r>
              <w:rPr>
                <w:webHidden/>
              </w:rPr>
            </w:r>
            <w:r>
              <w:rPr>
                <w:webHidden/>
              </w:rPr>
              <w:fldChar w:fldCharType="separate"/>
            </w:r>
            <w:r w:rsidR="00552FC6">
              <w:rPr>
                <w:webHidden/>
              </w:rPr>
              <w:t>88</w:t>
            </w:r>
            <w:r>
              <w:rPr>
                <w:webHidden/>
              </w:rPr>
              <w:fldChar w:fldCharType="end"/>
            </w:r>
          </w:hyperlink>
        </w:p>
        <w:p w14:paraId="790F7581" w14:textId="42A1C1A9"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598" w:history="1">
            <w:r w:rsidRPr="00EA33DE">
              <w:rPr>
                <w:rStyle w:val="Hipervnculo"/>
                <w:rFonts w:eastAsia="Times New Roman"/>
                <w:noProof/>
              </w:rPr>
              <w:t>5.2.1.</w:t>
            </w:r>
            <w:r w:rsidR="00F860C0">
              <w:rPr>
                <w:rStyle w:val="Hipervnculo"/>
                <w:rFonts w:eastAsia="Times New Roman"/>
                <w:noProof/>
              </w:rPr>
              <w:t xml:space="preserve"> </w:t>
            </w:r>
            <w:r w:rsidRPr="00EA33DE">
              <w:rPr>
                <w:rStyle w:val="Hipervnculo"/>
                <w:rFonts w:eastAsia="Times New Roman"/>
                <w:noProof/>
              </w:rPr>
              <w:t>Tipo de Investigación: Cualitativa con Enfoque Genealógico</w:t>
            </w:r>
            <w:r>
              <w:rPr>
                <w:noProof/>
                <w:webHidden/>
              </w:rPr>
              <w:tab/>
            </w:r>
            <w:r>
              <w:rPr>
                <w:noProof/>
                <w:webHidden/>
              </w:rPr>
              <w:fldChar w:fldCharType="begin"/>
            </w:r>
            <w:r>
              <w:rPr>
                <w:noProof/>
                <w:webHidden/>
              </w:rPr>
              <w:instrText xml:space="preserve"> PAGEREF _Toc232580598 \h </w:instrText>
            </w:r>
            <w:r>
              <w:rPr>
                <w:noProof/>
                <w:webHidden/>
              </w:rPr>
            </w:r>
            <w:r>
              <w:rPr>
                <w:noProof/>
                <w:webHidden/>
              </w:rPr>
              <w:fldChar w:fldCharType="separate"/>
            </w:r>
            <w:r w:rsidR="00552FC6">
              <w:rPr>
                <w:noProof/>
                <w:webHidden/>
              </w:rPr>
              <w:t>88</w:t>
            </w:r>
            <w:r>
              <w:rPr>
                <w:noProof/>
                <w:webHidden/>
              </w:rPr>
              <w:fldChar w:fldCharType="end"/>
            </w:r>
          </w:hyperlink>
        </w:p>
        <w:p w14:paraId="611BCD4C" w14:textId="5BC6EC7F"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599" w:history="1">
            <w:r w:rsidRPr="00EA33DE">
              <w:rPr>
                <w:rStyle w:val="Hipervnculo"/>
                <w:noProof/>
                <w:lang w:val="es-MX"/>
              </w:rPr>
              <w:t>5.2.2.</w:t>
            </w:r>
            <w:r w:rsidR="00F860C0">
              <w:rPr>
                <w:rStyle w:val="Hipervnculo"/>
                <w:noProof/>
                <w:lang w:val="es-MX"/>
              </w:rPr>
              <w:t xml:space="preserve"> </w:t>
            </w:r>
            <w:r w:rsidRPr="00EA33DE">
              <w:rPr>
                <w:rStyle w:val="Hipervnculo"/>
                <w:noProof/>
              </w:rPr>
              <w:t>Diseño: Análisis Estructural de Contenido de Orientación Postestructuralista</w:t>
            </w:r>
            <w:r>
              <w:rPr>
                <w:noProof/>
                <w:webHidden/>
              </w:rPr>
              <w:tab/>
            </w:r>
            <w:r>
              <w:rPr>
                <w:noProof/>
                <w:webHidden/>
              </w:rPr>
              <w:fldChar w:fldCharType="begin"/>
            </w:r>
            <w:r>
              <w:rPr>
                <w:noProof/>
                <w:webHidden/>
              </w:rPr>
              <w:instrText xml:space="preserve"> PAGEREF _Toc232580599 \h </w:instrText>
            </w:r>
            <w:r>
              <w:rPr>
                <w:noProof/>
                <w:webHidden/>
              </w:rPr>
            </w:r>
            <w:r>
              <w:rPr>
                <w:noProof/>
                <w:webHidden/>
              </w:rPr>
              <w:fldChar w:fldCharType="separate"/>
            </w:r>
            <w:r w:rsidR="00552FC6">
              <w:rPr>
                <w:noProof/>
                <w:webHidden/>
              </w:rPr>
              <w:t>89</w:t>
            </w:r>
            <w:r>
              <w:rPr>
                <w:noProof/>
                <w:webHidden/>
              </w:rPr>
              <w:fldChar w:fldCharType="end"/>
            </w:r>
          </w:hyperlink>
        </w:p>
        <w:p w14:paraId="029FCB22" w14:textId="331F1465"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00" w:history="1">
            <w:r w:rsidRPr="00EA33DE">
              <w:rPr>
                <w:rStyle w:val="Hipervnculo"/>
                <w:rFonts w:eastAsia="Times New Roman"/>
                <w:noProof/>
                <w:lang w:val="es-MX"/>
              </w:rPr>
              <w:t>5.2.3.</w:t>
            </w:r>
            <w:r w:rsidR="00F860C0">
              <w:rPr>
                <w:rStyle w:val="Hipervnculo"/>
                <w:rFonts w:eastAsia="Times New Roman"/>
                <w:noProof/>
                <w:lang w:val="es-MX"/>
              </w:rPr>
              <w:t xml:space="preserve"> </w:t>
            </w:r>
            <w:r w:rsidRPr="00EA33DE">
              <w:rPr>
                <w:rStyle w:val="Hipervnculo"/>
                <w:rFonts w:eastAsia="Times New Roman"/>
                <w:noProof/>
                <w:lang w:val="es-MX"/>
              </w:rPr>
              <w:t>Alcance: Analítico-Interpretativo con Énfasis en la Profundización Analítica</w:t>
            </w:r>
            <w:r>
              <w:rPr>
                <w:noProof/>
                <w:webHidden/>
              </w:rPr>
              <w:tab/>
            </w:r>
            <w:r>
              <w:rPr>
                <w:noProof/>
                <w:webHidden/>
              </w:rPr>
              <w:fldChar w:fldCharType="begin"/>
            </w:r>
            <w:r>
              <w:rPr>
                <w:noProof/>
                <w:webHidden/>
              </w:rPr>
              <w:instrText xml:space="preserve"> PAGEREF _Toc232580600 \h </w:instrText>
            </w:r>
            <w:r>
              <w:rPr>
                <w:noProof/>
                <w:webHidden/>
              </w:rPr>
            </w:r>
            <w:r>
              <w:rPr>
                <w:noProof/>
                <w:webHidden/>
              </w:rPr>
              <w:fldChar w:fldCharType="separate"/>
            </w:r>
            <w:r w:rsidR="00552FC6">
              <w:rPr>
                <w:noProof/>
                <w:webHidden/>
              </w:rPr>
              <w:t>92</w:t>
            </w:r>
            <w:r>
              <w:rPr>
                <w:noProof/>
                <w:webHidden/>
              </w:rPr>
              <w:fldChar w:fldCharType="end"/>
            </w:r>
          </w:hyperlink>
        </w:p>
        <w:p w14:paraId="474087C1" w14:textId="1BD5FEFB"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01" w:history="1">
            <w:r w:rsidRPr="00EA33DE">
              <w:rPr>
                <w:rStyle w:val="Hipervnculo"/>
                <w:rFonts w:eastAsia="Times New Roman"/>
                <w:noProof/>
                <w:lang w:val="es-MX"/>
              </w:rPr>
              <w:t xml:space="preserve">5.2.4.Paradigma: Perspectiva Postestructuralista, </w:t>
            </w:r>
            <w:r w:rsidRPr="00EA33DE">
              <w:rPr>
                <w:rStyle w:val="Hipervnculo"/>
                <w:noProof/>
              </w:rPr>
              <w:t>fundamentos epistémicos, ontológicos y metodológicos</w:t>
            </w:r>
            <w:r w:rsidR="00F860C0">
              <w:rPr>
                <w:rStyle w:val="Hipervnculo"/>
                <w:noProof/>
              </w:rPr>
              <w:t>………………………………………………………………..</w:t>
            </w:r>
            <w:r w:rsidR="00F860C0">
              <w:rPr>
                <w:rStyle w:val="Hipervnculo"/>
                <w:noProof/>
              </w:rPr>
              <w:tab/>
            </w:r>
            <w:r>
              <w:rPr>
                <w:noProof/>
                <w:webHidden/>
              </w:rPr>
              <w:fldChar w:fldCharType="begin"/>
            </w:r>
            <w:r>
              <w:rPr>
                <w:noProof/>
                <w:webHidden/>
              </w:rPr>
              <w:instrText xml:space="preserve"> PAGEREF _Toc232580601 \h </w:instrText>
            </w:r>
            <w:r>
              <w:rPr>
                <w:noProof/>
                <w:webHidden/>
              </w:rPr>
            </w:r>
            <w:r>
              <w:rPr>
                <w:noProof/>
                <w:webHidden/>
              </w:rPr>
              <w:fldChar w:fldCharType="separate"/>
            </w:r>
            <w:r w:rsidR="00552FC6">
              <w:rPr>
                <w:noProof/>
                <w:webHidden/>
              </w:rPr>
              <w:t>93</w:t>
            </w:r>
            <w:r>
              <w:rPr>
                <w:noProof/>
                <w:webHidden/>
              </w:rPr>
              <w:fldChar w:fldCharType="end"/>
            </w:r>
          </w:hyperlink>
        </w:p>
        <w:p w14:paraId="11A4DDFF" w14:textId="4D19EB9A" w:rsidR="00BB1F67" w:rsidRDefault="00BB1F67" w:rsidP="00F860C0">
          <w:pPr>
            <w:pStyle w:val="TDC2"/>
            <w:rPr>
              <w:rFonts w:asciiTheme="minorHAnsi" w:eastAsiaTheme="minorEastAsia" w:hAnsiTheme="minorHAnsi"/>
            </w:rPr>
          </w:pPr>
          <w:hyperlink w:anchor="_Toc232580602" w:history="1">
            <w:r w:rsidRPr="00EA33DE">
              <w:rPr>
                <w:rStyle w:val="Hipervnculo"/>
                <w:rFonts w:eastAsia="Times New Roman"/>
              </w:rPr>
              <w:t>5.3.</w:t>
            </w:r>
            <w:r w:rsidR="00F860C0">
              <w:rPr>
                <w:rStyle w:val="Hipervnculo"/>
                <w:rFonts w:eastAsia="Times New Roman"/>
              </w:rPr>
              <w:t xml:space="preserve"> </w:t>
            </w:r>
            <w:r w:rsidRPr="00EA33DE">
              <w:rPr>
                <w:rStyle w:val="Hipervnculo"/>
                <w:rFonts w:eastAsia="Times New Roman"/>
              </w:rPr>
              <w:t>El Caleidoscopio como Estrategia Analítica Operativa</w:t>
            </w:r>
            <w:r>
              <w:rPr>
                <w:webHidden/>
              </w:rPr>
              <w:tab/>
            </w:r>
            <w:r>
              <w:rPr>
                <w:webHidden/>
              </w:rPr>
              <w:fldChar w:fldCharType="begin"/>
            </w:r>
            <w:r>
              <w:rPr>
                <w:webHidden/>
              </w:rPr>
              <w:instrText xml:space="preserve"> PAGEREF _Toc232580602 \h </w:instrText>
            </w:r>
            <w:r>
              <w:rPr>
                <w:webHidden/>
              </w:rPr>
            </w:r>
            <w:r>
              <w:rPr>
                <w:webHidden/>
              </w:rPr>
              <w:fldChar w:fldCharType="separate"/>
            </w:r>
            <w:r w:rsidR="00552FC6">
              <w:rPr>
                <w:webHidden/>
              </w:rPr>
              <w:t>95</w:t>
            </w:r>
            <w:r>
              <w:rPr>
                <w:webHidden/>
              </w:rPr>
              <w:fldChar w:fldCharType="end"/>
            </w:r>
          </w:hyperlink>
        </w:p>
        <w:p w14:paraId="7CE532CF" w14:textId="4DB18785" w:rsidR="00BB1F67" w:rsidRDefault="00BB1F67" w:rsidP="00F860C0">
          <w:pPr>
            <w:pStyle w:val="TDC2"/>
            <w:rPr>
              <w:rFonts w:asciiTheme="minorHAnsi" w:eastAsiaTheme="minorEastAsia" w:hAnsiTheme="minorHAnsi"/>
            </w:rPr>
          </w:pPr>
          <w:hyperlink w:anchor="_Toc232580603" w:history="1">
            <w:r w:rsidRPr="00EA33DE">
              <w:rPr>
                <w:rStyle w:val="Hipervnculo"/>
              </w:rPr>
              <w:t>5.4.</w:t>
            </w:r>
            <w:r w:rsidR="00F860C0">
              <w:rPr>
                <w:rStyle w:val="Hipervnculo"/>
              </w:rPr>
              <w:t xml:space="preserve"> </w:t>
            </w:r>
            <w:r w:rsidRPr="00EA33DE">
              <w:rPr>
                <w:rStyle w:val="Hipervnculo"/>
              </w:rPr>
              <w:t>Giros y ensamblajes del discurso: Lógica estructural del análisis de contenido</w:t>
            </w:r>
            <w:r>
              <w:rPr>
                <w:webHidden/>
              </w:rPr>
              <w:tab/>
            </w:r>
            <w:r>
              <w:rPr>
                <w:webHidden/>
              </w:rPr>
              <w:fldChar w:fldCharType="begin"/>
            </w:r>
            <w:r>
              <w:rPr>
                <w:webHidden/>
              </w:rPr>
              <w:instrText xml:space="preserve"> PAGEREF _Toc232580603 \h </w:instrText>
            </w:r>
            <w:r>
              <w:rPr>
                <w:webHidden/>
              </w:rPr>
            </w:r>
            <w:r>
              <w:rPr>
                <w:webHidden/>
              </w:rPr>
              <w:fldChar w:fldCharType="separate"/>
            </w:r>
            <w:r w:rsidR="00552FC6">
              <w:rPr>
                <w:webHidden/>
              </w:rPr>
              <w:t>98</w:t>
            </w:r>
            <w:r>
              <w:rPr>
                <w:webHidden/>
              </w:rPr>
              <w:fldChar w:fldCharType="end"/>
            </w:r>
          </w:hyperlink>
        </w:p>
        <w:p w14:paraId="7FDB31B9" w14:textId="1BF34BA4"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04" w:history="1">
            <w:r w:rsidRPr="00EA33DE">
              <w:rPr>
                <w:rStyle w:val="Hipervnculo"/>
                <w:noProof/>
              </w:rPr>
              <w:t>5.4.1.</w:t>
            </w:r>
            <w:r w:rsidR="00F860C0">
              <w:rPr>
                <w:rFonts w:asciiTheme="minorHAnsi" w:eastAsiaTheme="minorEastAsia" w:hAnsiTheme="minorHAnsi"/>
                <w:noProof/>
              </w:rPr>
              <w:t xml:space="preserve"> </w:t>
            </w:r>
            <w:r w:rsidRPr="00EA33DE">
              <w:rPr>
                <w:rStyle w:val="Hipervnculo"/>
                <w:noProof/>
              </w:rPr>
              <w:t>El análisis estructural de contenido como dispositivo analítico de giros discursivos, subjetivación y gubernamentalidad</w:t>
            </w:r>
            <w:r>
              <w:rPr>
                <w:noProof/>
                <w:webHidden/>
              </w:rPr>
              <w:tab/>
            </w:r>
            <w:r>
              <w:rPr>
                <w:noProof/>
                <w:webHidden/>
              </w:rPr>
              <w:fldChar w:fldCharType="begin"/>
            </w:r>
            <w:r>
              <w:rPr>
                <w:noProof/>
                <w:webHidden/>
              </w:rPr>
              <w:instrText xml:space="preserve"> PAGEREF _Toc232580604 \h </w:instrText>
            </w:r>
            <w:r>
              <w:rPr>
                <w:noProof/>
                <w:webHidden/>
              </w:rPr>
            </w:r>
            <w:r>
              <w:rPr>
                <w:noProof/>
                <w:webHidden/>
              </w:rPr>
              <w:fldChar w:fldCharType="separate"/>
            </w:r>
            <w:r w:rsidR="00552FC6">
              <w:rPr>
                <w:noProof/>
                <w:webHidden/>
              </w:rPr>
              <w:t>101</w:t>
            </w:r>
            <w:r>
              <w:rPr>
                <w:noProof/>
                <w:webHidden/>
              </w:rPr>
              <w:fldChar w:fldCharType="end"/>
            </w:r>
          </w:hyperlink>
        </w:p>
        <w:p w14:paraId="170F703C" w14:textId="054F1B59" w:rsidR="00BB1F67" w:rsidRDefault="00BB1F67" w:rsidP="00F860C0">
          <w:pPr>
            <w:pStyle w:val="TDC2"/>
            <w:rPr>
              <w:rFonts w:asciiTheme="minorHAnsi" w:eastAsiaTheme="minorEastAsia" w:hAnsiTheme="minorHAnsi"/>
            </w:rPr>
          </w:pPr>
          <w:hyperlink w:anchor="_Toc232580605" w:history="1">
            <w:r w:rsidRPr="00EA33DE">
              <w:rPr>
                <w:rStyle w:val="Hipervnculo"/>
                <w:rFonts w:eastAsia="Times New Roman"/>
              </w:rPr>
              <w:t>5.5.</w:t>
            </w:r>
            <w:r w:rsidR="00F860C0">
              <w:rPr>
                <w:rStyle w:val="Hipervnculo"/>
                <w:rFonts w:eastAsia="Times New Roman"/>
              </w:rPr>
              <w:t xml:space="preserve"> </w:t>
            </w:r>
            <w:r w:rsidRPr="00EA33DE">
              <w:rPr>
                <w:rStyle w:val="Hipervnculo"/>
              </w:rPr>
              <w:t>Procedimiento Analítico: Fases del Proceso</w:t>
            </w:r>
            <w:r>
              <w:rPr>
                <w:webHidden/>
              </w:rPr>
              <w:tab/>
            </w:r>
            <w:r>
              <w:rPr>
                <w:webHidden/>
              </w:rPr>
              <w:fldChar w:fldCharType="begin"/>
            </w:r>
            <w:r>
              <w:rPr>
                <w:webHidden/>
              </w:rPr>
              <w:instrText xml:space="preserve"> PAGEREF _Toc232580605 \h </w:instrText>
            </w:r>
            <w:r>
              <w:rPr>
                <w:webHidden/>
              </w:rPr>
            </w:r>
            <w:r>
              <w:rPr>
                <w:webHidden/>
              </w:rPr>
              <w:fldChar w:fldCharType="separate"/>
            </w:r>
            <w:r w:rsidR="00552FC6">
              <w:rPr>
                <w:webHidden/>
              </w:rPr>
              <w:t>109</w:t>
            </w:r>
            <w:r>
              <w:rPr>
                <w:webHidden/>
              </w:rPr>
              <w:fldChar w:fldCharType="end"/>
            </w:r>
          </w:hyperlink>
        </w:p>
        <w:p w14:paraId="4651622C" w14:textId="08CB85D2"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06" w:history="1">
            <w:r w:rsidRPr="00EA33DE">
              <w:rPr>
                <w:rStyle w:val="Hipervnculo"/>
                <w:rFonts w:eastAsia="Times New Roman"/>
                <w:noProof/>
              </w:rPr>
              <w:t>5.5.1.</w:t>
            </w:r>
            <w:r w:rsidR="00F860C0">
              <w:rPr>
                <w:rStyle w:val="Hipervnculo"/>
                <w:rFonts w:eastAsia="Times New Roman"/>
                <w:noProof/>
              </w:rPr>
              <w:t xml:space="preserve"> </w:t>
            </w:r>
            <w:r w:rsidRPr="00EA33DE">
              <w:rPr>
                <w:rStyle w:val="Hipervnculo"/>
                <w:rFonts w:eastAsia="Times New Roman"/>
                <w:noProof/>
              </w:rPr>
              <w:t>Fase 1: Preparación del material</w:t>
            </w:r>
            <w:r>
              <w:rPr>
                <w:noProof/>
                <w:webHidden/>
              </w:rPr>
              <w:tab/>
            </w:r>
            <w:r>
              <w:rPr>
                <w:noProof/>
                <w:webHidden/>
              </w:rPr>
              <w:fldChar w:fldCharType="begin"/>
            </w:r>
            <w:r>
              <w:rPr>
                <w:noProof/>
                <w:webHidden/>
              </w:rPr>
              <w:instrText xml:space="preserve"> PAGEREF _Toc232580606 \h </w:instrText>
            </w:r>
            <w:r>
              <w:rPr>
                <w:noProof/>
                <w:webHidden/>
              </w:rPr>
            </w:r>
            <w:r>
              <w:rPr>
                <w:noProof/>
                <w:webHidden/>
              </w:rPr>
              <w:fldChar w:fldCharType="separate"/>
            </w:r>
            <w:r w:rsidR="00552FC6">
              <w:rPr>
                <w:noProof/>
                <w:webHidden/>
              </w:rPr>
              <w:t>110</w:t>
            </w:r>
            <w:r>
              <w:rPr>
                <w:noProof/>
                <w:webHidden/>
              </w:rPr>
              <w:fldChar w:fldCharType="end"/>
            </w:r>
          </w:hyperlink>
        </w:p>
        <w:p w14:paraId="3B300A8D" w14:textId="6F461DD6"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07" w:history="1">
            <w:r w:rsidRPr="00EA33DE">
              <w:rPr>
                <w:rStyle w:val="Hipervnculo"/>
                <w:rFonts w:eastAsia="Times New Roman"/>
                <w:noProof/>
              </w:rPr>
              <w:t>5.5.2.</w:t>
            </w:r>
            <w:r w:rsidR="00F860C0">
              <w:rPr>
                <w:rFonts w:asciiTheme="minorHAnsi" w:eastAsiaTheme="minorEastAsia" w:hAnsiTheme="minorHAnsi"/>
                <w:noProof/>
              </w:rPr>
              <w:t xml:space="preserve"> </w:t>
            </w:r>
            <w:r w:rsidRPr="00EA33DE">
              <w:rPr>
                <w:rStyle w:val="Hipervnculo"/>
                <w:rFonts w:eastAsia="Times New Roman"/>
                <w:noProof/>
              </w:rPr>
              <w:t>Fase 2: Lectura inicial y familiarización</w:t>
            </w:r>
            <w:r>
              <w:rPr>
                <w:noProof/>
                <w:webHidden/>
              </w:rPr>
              <w:tab/>
            </w:r>
            <w:r>
              <w:rPr>
                <w:noProof/>
                <w:webHidden/>
              </w:rPr>
              <w:fldChar w:fldCharType="begin"/>
            </w:r>
            <w:r>
              <w:rPr>
                <w:noProof/>
                <w:webHidden/>
              </w:rPr>
              <w:instrText xml:space="preserve"> PAGEREF _Toc232580607 \h </w:instrText>
            </w:r>
            <w:r>
              <w:rPr>
                <w:noProof/>
                <w:webHidden/>
              </w:rPr>
            </w:r>
            <w:r>
              <w:rPr>
                <w:noProof/>
                <w:webHidden/>
              </w:rPr>
              <w:fldChar w:fldCharType="separate"/>
            </w:r>
            <w:r w:rsidR="00552FC6">
              <w:rPr>
                <w:noProof/>
                <w:webHidden/>
              </w:rPr>
              <w:t>110</w:t>
            </w:r>
            <w:r>
              <w:rPr>
                <w:noProof/>
                <w:webHidden/>
              </w:rPr>
              <w:fldChar w:fldCharType="end"/>
            </w:r>
          </w:hyperlink>
        </w:p>
        <w:p w14:paraId="3D119186" w14:textId="6AFD1318"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08" w:history="1">
            <w:r w:rsidRPr="00EA33DE">
              <w:rPr>
                <w:rStyle w:val="Hipervnculo"/>
                <w:rFonts w:eastAsia="Times New Roman"/>
                <w:noProof/>
              </w:rPr>
              <w:t>5.5.3.</w:t>
            </w:r>
            <w:r w:rsidR="00F860C0">
              <w:rPr>
                <w:rStyle w:val="Hipervnculo"/>
                <w:rFonts w:eastAsia="Times New Roman"/>
                <w:noProof/>
              </w:rPr>
              <w:t xml:space="preserve"> </w:t>
            </w:r>
            <w:r w:rsidR="00F860C0">
              <w:rPr>
                <w:rFonts w:asciiTheme="minorHAnsi" w:eastAsiaTheme="minorEastAsia" w:hAnsiTheme="minorHAnsi"/>
                <w:noProof/>
              </w:rPr>
              <w:t>F</w:t>
            </w:r>
            <w:r w:rsidRPr="00EA33DE">
              <w:rPr>
                <w:rStyle w:val="Hipervnculo"/>
                <w:rFonts w:eastAsia="Times New Roman"/>
                <w:noProof/>
              </w:rPr>
              <w:t>ase 3: Codificación y segmentación</w:t>
            </w:r>
            <w:r>
              <w:rPr>
                <w:noProof/>
                <w:webHidden/>
              </w:rPr>
              <w:tab/>
            </w:r>
            <w:r>
              <w:rPr>
                <w:noProof/>
                <w:webHidden/>
              </w:rPr>
              <w:fldChar w:fldCharType="begin"/>
            </w:r>
            <w:r>
              <w:rPr>
                <w:noProof/>
                <w:webHidden/>
              </w:rPr>
              <w:instrText xml:space="preserve"> PAGEREF _Toc232580608 \h </w:instrText>
            </w:r>
            <w:r>
              <w:rPr>
                <w:noProof/>
                <w:webHidden/>
              </w:rPr>
            </w:r>
            <w:r>
              <w:rPr>
                <w:noProof/>
                <w:webHidden/>
              </w:rPr>
              <w:fldChar w:fldCharType="separate"/>
            </w:r>
            <w:r w:rsidR="00552FC6">
              <w:rPr>
                <w:noProof/>
                <w:webHidden/>
              </w:rPr>
              <w:t>111</w:t>
            </w:r>
            <w:r>
              <w:rPr>
                <w:noProof/>
                <w:webHidden/>
              </w:rPr>
              <w:fldChar w:fldCharType="end"/>
            </w:r>
          </w:hyperlink>
        </w:p>
        <w:p w14:paraId="66089466" w14:textId="67DEFC61"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09" w:history="1">
            <w:r w:rsidRPr="00EA33DE">
              <w:rPr>
                <w:rStyle w:val="Hipervnculo"/>
                <w:rFonts w:eastAsia="Times New Roman"/>
                <w:noProof/>
              </w:rPr>
              <w:t>5.5.4.</w:t>
            </w:r>
            <w:r w:rsidR="00F860C0">
              <w:rPr>
                <w:rStyle w:val="Hipervnculo"/>
                <w:rFonts w:eastAsia="Times New Roman"/>
                <w:noProof/>
              </w:rPr>
              <w:t xml:space="preserve"> </w:t>
            </w:r>
            <w:r w:rsidRPr="00EA33DE">
              <w:rPr>
                <w:rStyle w:val="Hipervnculo"/>
                <w:rFonts w:eastAsia="Times New Roman"/>
                <w:noProof/>
              </w:rPr>
              <w:t>Fase 4: Análisis estructural mediante los principios del MAEC</w:t>
            </w:r>
            <w:r>
              <w:rPr>
                <w:noProof/>
                <w:webHidden/>
              </w:rPr>
              <w:tab/>
            </w:r>
            <w:r>
              <w:rPr>
                <w:noProof/>
                <w:webHidden/>
              </w:rPr>
              <w:fldChar w:fldCharType="begin"/>
            </w:r>
            <w:r>
              <w:rPr>
                <w:noProof/>
                <w:webHidden/>
              </w:rPr>
              <w:instrText xml:space="preserve"> PAGEREF _Toc232580609 \h </w:instrText>
            </w:r>
            <w:r>
              <w:rPr>
                <w:noProof/>
                <w:webHidden/>
              </w:rPr>
            </w:r>
            <w:r>
              <w:rPr>
                <w:noProof/>
                <w:webHidden/>
              </w:rPr>
              <w:fldChar w:fldCharType="separate"/>
            </w:r>
            <w:r w:rsidR="00552FC6">
              <w:rPr>
                <w:noProof/>
                <w:webHidden/>
              </w:rPr>
              <w:t>111</w:t>
            </w:r>
            <w:r>
              <w:rPr>
                <w:noProof/>
                <w:webHidden/>
              </w:rPr>
              <w:fldChar w:fldCharType="end"/>
            </w:r>
          </w:hyperlink>
        </w:p>
        <w:p w14:paraId="7231FB45" w14:textId="3C6F0368"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10" w:history="1">
            <w:r w:rsidRPr="00EA33DE">
              <w:rPr>
                <w:rStyle w:val="Hipervnculo"/>
                <w:rFonts w:eastAsia="Times New Roman"/>
                <w:noProof/>
              </w:rPr>
              <w:t>5.5.5.</w:t>
            </w:r>
            <w:r w:rsidR="00F860C0">
              <w:rPr>
                <w:rStyle w:val="Hipervnculo"/>
                <w:rFonts w:eastAsia="Times New Roman"/>
                <w:noProof/>
              </w:rPr>
              <w:t xml:space="preserve"> </w:t>
            </w:r>
            <w:r w:rsidRPr="00EA33DE">
              <w:rPr>
                <w:rStyle w:val="Hipervnculo"/>
                <w:rFonts w:eastAsia="Times New Roman"/>
                <w:noProof/>
              </w:rPr>
              <w:t>Fase 5: Análisis genealógico</w:t>
            </w:r>
            <w:r>
              <w:rPr>
                <w:noProof/>
                <w:webHidden/>
              </w:rPr>
              <w:tab/>
            </w:r>
            <w:r>
              <w:rPr>
                <w:noProof/>
                <w:webHidden/>
              </w:rPr>
              <w:fldChar w:fldCharType="begin"/>
            </w:r>
            <w:r>
              <w:rPr>
                <w:noProof/>
                <w:webHidden/>
              </w:rPr>
              <w:instrText xml:space="preserve"> PAGEREF _Toc232580610 \h </w:instrText>
            </w:r>
            <w:r>
              <w:rPr>
                <w:noProof/>
                <w:webHidden/>
              </w:rPr>
            </w:r>
            <w:r>
              <w:rPr>
                <w:noProof/>
                <w:webHidden/>
              </w:rPr>
              <w:fldChar w:fldCharType="separate"/>
            </w:r>
            <w:r w:rsidR="00552FC6">
              <w:rPr>
                <w:noProof/>
                <w:webHidden/>
              </w:rPr>
              <w:t>112</w:t>
            </w:r>
            <w:r>
              <w:rPr>
                <w:noProof/>
                <w:webHidden/>
              </w:rPr>
              <w:fldChar w:fldCharType="end"/>
            </w:r>
          </w:hyperlink>
        </w:p>
        <w:p w14:paraId="02818DB1" w14:textId="4ECCBC0B"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11" w:history="1">
            <w:r w:rsidRPr="00EA33DE">
              <w:rPr>
                <w:rStyle w:val="Hipervnculo"/>
                <w:rFonts w:eastAsia="Times New Roman"/>
                <w:noProof/>
              </w:rPr>
              <w:t>5.5.6</w:t>
            </w:r>
            <w:r w:rsidR="00F860C0">
              <w:rPr>
                <w:rStyle w:val="Hipervnculo"/>
                <w:rFonts w:eastAsia="Times New Roman"/>
                <w:noProof/>
              </w:rPr>
              <w:t xml:space="preserve">. </w:t>
            </w:r>
            <w:r w:rsidRPr="00EA33DE">
              <w:rPr>
                <w:rStyle w:val="Hipervnculo"/>
                <w:rFonts w:eastAsia="Times New Roman"/>
                <w:noProof/>
              </w:rPr>
              <w:t>Fase 6: Interpretación de efectos de subjetivación</w:t>
            </w:r>
            <w:r>
              <w:rPr>
                <w:noProof/>
                <w:webHidden/>
              </w:rPr>
              <w:tab/>
            </w:r>
            <w:r>
              <w:rPr>
                <w:noProof/>
                <w:webHidden/>
              </w:rPr>
              <w:fldChar w:fldCharType="begin"/>
            </w:r>
            <w:r>
              <w:rPr>
                <w:noProof/>
                <w:webHidden/>
              </w:rPr>
              <w:instrText xml:space="preserve"> PAGEREF _Toc232580611 \h </w:instrText>
            </w:r>
            <w:r>
              <w:rPr>
                <w:noProof/>
                <w:webHidden/>
              </w:rPr>
            </w:r>
            <w:r>
              <w:rPr>
                <w:noProof/>
                <w:webHidden/>
              </w:rPr>
              <w:fldChar w:fldCharType="separate"/>
            </w:r>
            <w:r w:rsidR="00552FC6">
              <w:rPr>
                <w:noProof/>
                <w:webHidden/>
              </w:rPr>
              <w:t>113</w:t>
            </w:r>
            <w:r>
              <w:rPr>
                <w:noProof/>
                <w:webHidden/>
              </w:rPr>
              <w:fldChar w:fldCharType="end"/>
            </w:r>
          </w:hyperlink>
        </w:p>
        <w:p w14:paraId="3F256A16" w14:textId="5E38B509"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12" w:history="1">
            <w:r w:rsidRPr="00EA33DE">
              <w:rPr>
                <w:rStyle w:val="Hipervnculo"/>
                <w:rFonts w:eastAsia="Times New Roman"/>
                <w:noProof/>
              </w:rPr>
              <w:t>5.5.7.</w:t>
            </w:r>
            <w:r w:rsidR="00F860C0">
              <w:rPr>
                <w:rStyle w:val="Hipervnculo"/>
                <w:rFonts w:eastAsia="Times New Roman"/>
                <w:noProof/>
              </w:rPr>
              <w:t xml:space="preserve"> </w:t>
            </w:r>
            <w:r w:rsidRPr="00EA33DE">
              <w:rPr>
                <w:rStyle w:val="Hipervnculo"/>
                <w:rFonts w:eastAsia="Times New Roman"/>
                <w:noProof/>
              </w:rPr>
              <w:t>Fase 7: Construcción de la grilla analítica final</w:t>
            </w:r>
            <w:r>
              <w:rPr>
                <w:noProof/>
                <w:webHidden/>
              </w:rPr>
              <w:tab/>
            </w:r>
            <w:r>
              <w:rPr>
                <w:noProof/>
                <w:webHidden/>
              </w:rPr>
              <w:fldChar w:fldCharType="begin"/>
            </w:r>
            <w:r>
              <w:rPr>
                <w:noProof/>
                <w:webHidden/>
              </w:rPr>
              <w:instrText xml:space="preserve"> PAGEREF _Toc232580612 \h </w:instrText>
            </w:r>
            <w:r>
              <w:rPr>
                <w:noProof/>
                <w:webHidden/>
              </w:rPr>
            </w:r>
            <w:r>
              <w:rPr>
                <w:noProof/>
                <w:webHidden/>
              </w:rPr>
              <w:fldChar w:fldCharType="separate"/>
            </w:r>
            <w:r w:rsidR="00552FC6">
              <w:rPr>
                <w:noProof/>
                <w:webHidden/>
              </w:rPr>
              <w:t>113</w:t>
            </w:r>
            <w:r>
              <w:rPr>
                <w:noProof/>
                <w:webHidden/>
              </w:rPr>
              <w:fldChar w:fldCharType="end"/>
            </w:r>
          </w:hyperlink>
        </w:p>
        <w:p w14:paraId="19639CF9" w14:textId="70934994" w:rsidR="00BB1F67" w:rsidRDefault="00BB1F67" w:rsidP="00F860C0">
          <w:pPr>
            <w:pStyle w:val="TDC2"/>
            <w:rPr>
              <w:rFonts w:asciiTheme="minorHAnsi" w:eastAsiaTheme="minorEastAsia" w:hAnsiTheme="minorHAnsi"/>
            </w:rPr>
          </w:pPr>
          <w:hyperlink w:anchor="_Toc232580613" w:history="1">
            <w:r w:rsidRPr="00EA33DE">
              <w:rPr>
                <w:rStyle w:val="Hipervnculo"/>
                <w:rFonts w:eastAsia="Times New Roman"/>
              </w:rPr>
              <w:t>5.6.</w:t>
            </w:r>
            <w:r w:rsidR="00F860C0">
              <w:rPr>
                <w:rStyle w:val="Hipervnculo"/>
                <w:rFonts w:eastAsia="Times New Roman"/>
              </w:rPr>
              <w:t xml:space="preserve"> </w:t>
            </w:r>
            <w:r w:rsidRPr="00EA33DE">
              <w:rPr>
                <w:rStyle w:val="Hipervnculo"/>
                <w:rFonts w:eastAsia="Times New Roman"/>
              </w:rPr>
              <w:t>Grilla de análisis y ensamblajes categoriales, en clave caleidoscópica</w:t>
            </w:r>
            <w:r>
              <w:rPr>
                <w:webHidden/>
              </w:rPr>
              <w:tab/>
            </w:r>
            <w:r>
              <w:rPr>
                <w:webHidden/>
              </w:rPr>
              <w:fldChar w:fldCharType="begin"/>
            </w:r>
            <w:r>
              <w:rPr>
                <w:webHidden/>
              </w:rPr>
              <w:instrText xml:space="preserve"> PAGEREF _Toc232580613 \h </w:instrText>
            </w:r>
            <w:r>
              <w:rPr>
                <w:webHidden/>
              </w:rPr>
            </w:r>
            <w:r>
              <w:rPr>
                <w:webHidden/>
              </w:rPr>
              <w:fldChar w:fldCharType="separate"/>
            </w:r>
            <w:r w:rsidR="00552FC6">
              <w:rPr>
                <w:webHidden/>
              </w:rPr>
              <w:t>114</w:t>
            </w:r>
            <w:r>
              <w:rPr>
                <w:webHidden/>
              </w:rPr>
              <w:fldChar w:fldCharType="end"/>
            </w:r>
          </w:hyperlink>
        </w:p>
        <w:p w14:paraId="1D89B1CF" w14:textId="46562FAB" w:rsidR="00BB1F67" w:rsidRDefault="00BB1F67" w:rsidP="00F860C0">
          <w:pPr>
            <w:pStyle w:val="TDC2"/>
            <w:rPr>
              <w:rFonts w:asciiTheme="minorHAnsi" w:eastAsiaTheme="minorEastAsia" w:hAnsiTheme="minorHAnsi"/>
            </w:rPr>
          </w:pPr>
          <w:hyperlink w:anchor="_Toc232580614" w:history="1">
            <w:r w:rsidRPr="00EA33DE">
              <w:rPr>
                <w:rStyle w:val="Hipervnculo"/>
              </w:rPr>
              <w:t>5.7.</w:t>
            </w:r>
            <w:r w:rsidR="00F860C0">
              <w:rPr>
                <w:rStyle w:val="Hipervnculo"/>
              </w:rPr>
              <w:t xml:space="preserve"> </w:t>
            </w:r>
            <w:r w:rsidRPr="00EA33DE">
              <w:rPr>
                <w:rStyle w:val="Hipervnculo"/>
              </w:rPr>
              <w:t>Lentes del caleidoscopio: la entrevista como técnica e instrumento de recolección de la información</w:t>
            </w:r>
            <w:r w:rsidR="00F860C0">
              <w:rPr>
                <w:rStyle w:val="Hipervnculo"/>
              </w:rPr>
              <w:t>…….</w:t>
            </w:r>
            <w:r w:rsidR="00F860C0">
              <w:rPr>
                <w:rStyle w:val="Hipervnculo"/>
              </w:rPr>
              <w:tab/>
            </w:r>
            <w:r>
              <w:rPr>
                <w:webHidden/>
              </w:rPr>
              <w:fldChar w:fldCharType="begin"/>
            </w:r>
            <w:r>
              <w:rPr>
                <w:webHidden/>
              </w:rPr>
              <w:instrText xml:space="preserve"> PAGEREF _Toc232580614 \h </w:instrText>
            </w:r>
            <w:r>
              <w:rPr>
                <w:webHidden/>
              </w:rPr>
            </w:r>
            <w:r>
              <w:rPr>
                <w:webHidden/>
              </w:rPr>
              <w:fldChar w:fldCharType="separate"/>
            </w:r>
            <w:r w:rsidR="00552FC6">
              <w:rPr>
                <w:webHidden/>
              </w:rPr>
              <w:t>116</w:t>
            </w:r>
            <w:r>
              <w:rPr>
                <w:webHidden/>
              </w:rPr>
              <w:fldChar w:fldCharType="end"/>
            </w:r>
          </w:hyperlink>
        </w:p>
        <w:p w14:paraId="46771243" w14:textId="1B6B14ED" w:rsidR="00BB1F67" w:rsidRDefault="00BB1F67" w:rsidP="00F860C0">
          <w:pPr>
            <w:pStyle w:val="TDC2"/>
            <w:rPr>
              <w:rFonts w:asciiTheme="minorHAnsi" w:eastAsiaTheme="minorEastAsia" w:hAnsiTheme="minorHAnsi"/>
            </w:rPr>
          </w:pPr>
          <w:hyperlink w:anchor="_Toc232580615" w:history="1">
            <w:r w:rsidRPr="00EA33DE">
              <w:rPr>
                <w:rStyle w:val="Hipervnculo"/>
                <w:rFonts w:eastAsia="Times New Roman"/>
              </w:rPr>
              <w:t>5.8.Diseño Metodológico: la cartografía discursiva de trayectorias profesionales</w:t>
            </w:r>
            <w:r>
              <w:rPr>
                <w:webHidden/>
              </w:rPr>
              <w:tab/>
            </w:r>
            <w:r>
              <w:rPr>
                <w:webHidden/>
              </w:rPr>
              <w:fldChar w:fldCharType="begin"/>
            </w:r>
            <w:r>
              <w:rPr>
                <w:webHidden/>
              </w:rPr>
              <w:instrText xml:space="preserve"> PAGEREF _Toc232580615 \h </w:instrText>
            </w:r>
            <w:r>
              <w:rPr>
                <w:webHidden/>
              </w:rPr>
            </w:r>
            <w:r>
              <w:rPr>
                <w:webHidden/>
              </w:rPr>
              <w:fldChar w:fldCharType="separate"/>
            </w:r>
            <w:r w:rsidR="00552FC6">
              <w:rPr>
                <w:webHidden/>
              </w:rPr>
              <w:t>118</w:t>
            </w:r>
            <w:r>
              <w:rPr>
                <w:webHidden/>
              </w:rPr>
              <w:fldChar w:fldCharType="end"/>
            </w:r>
          </w:hyperlink>
        </w:p>
        <w:p w14:paraId="610479CB" w14:textId="28399EF3"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16" w:history="1">
            <w:r w:rsidRPr="00EA33DE">
              <w:rPr>
                <w:rStyle w:val="Hipervnculo"/>
                <w:bCs/>
                <w:noProof/>
              </w:rPr>
              <w:t>5.8.1.</w:t>
            </w:r>
            <w:r w:rsidR="00F860C0">
              <w:rPr>
                <w:rFonts w:asciiTheme="minorHAnsi" w:eastAsiaTheme="minorEastAsia" w:hAnsiTheme="minorHAnsi"/>
                <w:noProof/>
              </w:rPr>
              <w:t xml:space="preserve"> </w:t>
            </w:r>
            <w:r w:rsidRPr="00EA33DE">
              <w:rPr>
                <w:rStyle w:val="Hipervnculo"/>
                <w:noProof/>
              </w:rPr>
              <w:t>Criterios de Selección de Participantes</w:t>
            </w:r>
            <w:r>
              <w:rPr>
                <w:noProof/>
                <w:webHidden/>
              </w:rPr>
              <w:tab/>
            </w:r>
            <w:r>
              <w:rPr>
                <w:noProof/>
                <w:webHidden/>
              </w:rPr>
              <w:fldChar w:fldCharType="begin"/>
            </w:r>
            <w:r>
              <w:rPr>
                <w:noProof/>
                <w:webHidden/>
              </w:rPr>
              <w:instrText xml:space="preserve"> PAGEREF _Toc232580616 \h </w:instrText>
            </w:r>
            <w:r>
              <w:rPr>
                <w:noProof/>
                <w:webHidden/>
              </w:rPr>
            </w:r>
            <w:r>
              <w:rPr>
                <w:noProof/>
                <w:webHidden/>
              </w:rPr>
              <w:fldChar w:fldCharType="separate"/>
            </w:r>
            <w:r w:rsidR="00552FC6">
              <w:rPr>
                <w:noProof/>
                <w:webHidden/>
              </w:rPr>
              <w:t>119</w:t>
            </w:r>
            <w:r>
              <w:rPr>
                <w:noProof/>
                <w:webHidden/>
              </w:rPr>
              <w:fldChar w:fldCharType="end"/>
            </w:r>
          </w:hyperlink>
        </w:p>
        <w:p w14:paraId="03C13857" w14:textId="4BF51DF3"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17" w:history="1">
            <w:r w:rsidRPr="00EA33DE">
              <w:rPr>
                <w:rStyle w:val="Hipervnculo"/>
                <w:noProof/>
              </w:rPr>
              <w:t>5.8.2.</w:t>
            </w:r>
            <w:r w:rsidR="00F860C0">
              <w:rPr>
                <w:rFonts w:asciiTheme="minorHAnsi" w:eastAsiaTheme="minorEastAsia" w:hAnsiTheme="minorHAnsi"/>
                <w:noProof/>
              </w:rPr>
              <w:t xml:space="preserve"> </w:t>
            </w:r>
            <w:r w:rsidRPr="00EA33DE">
              <w:rPr>
                <w:rStyle w:val="Hipervnculo"/>
                <w:noProof/>
              </w:rPr>
              <w:t>Unidad de trabajo, Instrumentos y Procedimiento de Recolección</w:t>
            </w:r>
            <w:r>
              <w:rPr>
                <w:noProof/>
                <w:webHidden/>
              </w:rPr>
              <w:tab/>
            </w:r>
            <w:r>
              <w:rPr>
                <w:noProof/>
                <w:webHidden/>
              </w:rPr>
              <w:fldChar w:fldCharType="begin"/>
            </w:r>
            <w:r>
              <w:rPr>
                <w:noProof/>
                <w:webHidden/>
              </w:rPr>
              <w:instrText xml:space="preserve"> PAGEREF _Toc232580617 \h </w:instrText>
            </w:r>
            <w:r>
              <w:rPr>
                <w:noProof/>
                <w:webHidden/>
              </w:rPr>
            </w:r>
            <w:r>
              <w:rPr>
                <w:noProof/>
                <w:webHidden/>
              </w:rPr>
              <w:fldChar w:fldCharType="separate"/>
            </w:r>
            <w:r w:rsidR="00552FC6">
              <w:rPr>
                <w:noProof/>
                <w:webHidden/>
              </w:rPr>
              <w:t>120</w:t>
            </w:r>
            <w:r>
              <w:rPr>
                <w:noProof/>
                <w:webHidden/>
              </w:rPr>
              <w:fldChar w:fldCharType="end"/>
            </w:r>
          </w:hyperlink>
        </w:p>
        <w:p w14:paraId="568E4016" w14:textId="0B756C59" w:rsidR="00BB1F67" w:rsidRDefault="00BB1F67" w:rsidP="00F860C0">
          <w:pPr>
            <w:pStyle w:val="TDC2"/>
            <w:rPr>
              <w:rFonts w:asciiTheme="minorHAnsi" w:eastAsiaTheme="minorEastAsia" w:hAnsiTheme="minorHAnsi"/>
            </w:rPr>
          </w:pPr>
          <w:hyperlink w:anchor="_Toc232580621" w:history="1">
            <w:r w:rsidRPr="00EA33DE">
              <w:rPr>
                <w:rStyle w:val="Hipervnculo"/>
              </w:rPr>
              <w:t>5.9.</w:t>
            </w:r>
            <w:r w:rsidR="00F860C0">
              <w:rPr>
                <w:rFonts w:asciiTheme="minorHAnsi" w:eastAsiaTheme="minorEastAsia" w:hAnsiTheme="minorHAnsi"/>
              </w:rPr>
              <w:t xml:space="preserve"> </w:t>
            </w:r>
            <w:r w:rsidRPr="00EA33DE">
              <w:rPr>
                <w:rStyle w:val="Hipervnculo"/>
              </w:rPr>
              <w:t>Consideraciones Éticas.</w:t>
            </w:r>
            <w:r>
              <w:rPr>
                <w:webHidden/>
              </w:rPr>
              <w:tab/>
            </w:r>
            <w:r>
              <w:rPr>
                <w:webHidden/>
              </w:rPr>
              <w:fldChar w:fldCharType="begin"/>
            </w:r>
            <w:r>
              <w:rPr>
                <w:webHidden/>
              </w:rPr>
              <w:instrText xml:space="preserve"> PAGEREF _Toc232580621 \h </w:instrText>
            </w:r>
            <w:r>
              <w:rPr>
                <w:webHidden/>
              </w:rPr>
            </w:r>
            <w:r>
              <w:rPr>
                <w:webHidden/>
              </w:rPr>
              <w:fldChar w:fldCharType="separate"/>
            </w:r>
            <w:r w:rsidR="00552FC6">
              <w:rPr>
                <w:webHidden/>
              </w:rPr>
              <w:t>123</w:t>
            </w:r>
            <w:r>
              <w:rPr>
                <w:webHidden/>
              </w:rPr>
              <w:fldChar w:fldCharType="end"/>
            </w:r>
          </w:hyperlink>
        </w:p>
        <w:p w14:paraId="2A3D82AE" w14:textId="133B7B04"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22" w:history="1">
            <w:r w:rsidRPr="00EA33DE">
              <w:rPr>
                <w:rStyle w:val="Hipervnculo"/>
                <w:noProof/>
              </w:rPr>
              <w:t>5.9.1.</w:t>
            </w:r>
            <w:r w:rsidR="00F860C0">
              <w:rPr>
                <w:rStyle w:val="Hipervnculo"/>
                <w:noProof/>
              </w:rPr>
              <w:t xml:space="preserve"> </w:t>
            </w:r>
            <w:r w:rsidRPr="00EA33DE">
              <w:rPr>
                <w:rStyle w:val="Hipervnculo"/>
                <w:noProof/>
              </w:rPr>
              <w:t>Consentimiento informado y autonomía</w:t>
            </w:r>
            <w:r>
              <w:rPr>
                <w:noProof/>
                <w:webHidden/>
              </w:rPr>
              <w:tab/>
            </w:r>
            <w:r>
              <w:rPr>
                <w:noProof/>
                <w:webHidden/>
              </w:rPr>
              <w:fldChar w:fldCharType="begin"/>
            </w:r>
            <w:r>
              <w:rPr>
                <w:noProof/>
                <w:webHidden/>
              </w:rPr>
              <w:instrText xml:space="preserve"> PAGEREF _Toc232580622 \h </w:instrText>
            </w:r>
            <w:r>
              <w:rPr>
                <w:noProof/>
                <w:webHidden/>
              </w:rPr>
            </w:r>
            <w:r>
              <w:rPr>
                <w:noProof/>
                <w:webHidden/>
              </w:rPr>
              <w:fldChar w:fldCharType="separate"/>
            </w:r>
            <w:r w:rsidR="00552FC6">
              <w:rPr>
                <w:noProof/>
                <w:webHidden/>
              </w:rPr>
              <w:t>123</w:t>
            </w:r>
            <w:r>
              <w:rPr>
                <w:noProof/>
                <w:webHidden/>
              </w:rPr>
              <w:fldChar w:fldCharType="end"/>
            </w:r>
          </w:hyperlink>
        </w:p>
        <w:p w14:paraId="14CB1C43" w14:textId="3028F2A3"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23" w:history="1">
            <w:r w:rsidRPr="00EA33DE">
              <w:rPr>
                <w:rStyle w:val="Hipervnculo"/>
                <w:noProof/>
              </w:rPr>
              <w:t>5.9.2.</w:t>
            </w:r>
            <w:r w:rsidR="00F860C0">
              <w:rPr>
                <w:rStyle w:val="Hipervnculo"/>
                <w:noProof/>
              </w:rPr>
              <w:t xml:space="preserve"> </w:t>
            </w:r>
            <w:r w:rsidRPr="00EA33DE">
              <w:rPr>
                <w:rStyle w:val="Hipervnculo"/>
                <w:noProof/>
              </w:rPr>
              <w:t>Confidencialidad y manejo de la información</w:t>
            </w:r>
            <w:r>
              <w:rPr>
                <w:noProof/>
                <w:webHidden/>
              </w:rPr>
              <w:tab/>
            </w:r>
            <w:r>
              <w:rPr>
                <w:noProof/>
                <w:webHidden/>
              </w:rPr>
              <w:fldChar w:fldCharType="begin"/>
            </w:r>
            <w:r>
              <w:rPr>
                <w:noProof/>
                <w:webHidden/>
              </w:rPr>
              <w:instrText xml:space="preserve"> PAGEREF _Toc232580623 \h </w:instrText>
            </w:r>
            <w:r>
              <w:rPr>
                <w:noProof/>
                <w:webHidden/>
              </w:rPr>
            </w:r>
            <w:r>
              <w:rPr>
                <w:noProof/>
                <w:webHidden/>
              </w:rPr>
              <w:fldChar w:fldCharType="separate"/>
            </w:r>
            <w:r w:rsidR="00552FC6">
              <w:rPr>
                <w:noProof/>
                <w:webHidden/>
              </w:rPr>
              <w:t>124</w:t>
            </w:r>
            <w:r>
              <w:rPr>
                <w:noProof/>
                <w:webHidden/>
              </w:rPr>
              <w:fldChar w:fldCharType="end"/>
            </w:r>
          </w:hyperlink>
        </w:p>
        <w:p w14:paraId="4F080204" w14:textId="1475EB7E" w:rsidR="00BB1F67" w:rsidRDefault="00BB1F67" w:rsidP="00F860C0">
          <w:pPr>
            <w:pStyle w:val="TDC3"/>
            <w:tabs>
              <w:tab w:val="left" w:pos="1969"/>
              <w:tab w:val="right" w:leader="dot" w:pos="9394"/>
            </w:tabs>
            <w:ind w:left="0" w:firstLine="0"/>
            <w:rPr>
              <w:rFonts w:asciiTheme="minorHAnsi" w:eastAsiaTheme="minorEastAsia" w:hAnsiTheme="minorHAnsi"/>
              <w:noProof/>
            </w:rPr>
          </w:pPr>
          <w:hyperlink w:anchor="_Toc232580624" w:history="1">
            <w:r w:rsidRPr="00EA33DE">
              <w:rPr>
                <w:rStyle w:val="Hipervnculo"/>
                <w:noProof/>
              </w:rPr>
              <w:t>5.9.3.</w:t>
            </w:r>
            <w:r w:rsidR="00F860C0">
              <w:rPr>
                <w:rStyle w:val="Hipervnculo"/>
                <w:noProof/>
              </w:rPr>
              <w:t xml:space="preserve"> </w:t>
            </w:r>
            <w:r w:rsidRPr="00EA33DE">
              <w:rPr>
                <w:rStyle w:val="Hipervnculo"/>
                <w:noProof/>
              </w:rPr>
              <w:t>Ética relacional y reflexividad crítica</w:t>
            </w:r>
            <w:r>
              <w:rPr>
                <w:noProof/>
                <w:webHidden/>
              </w:rPr>
              <w:tab/>
            </w:r>
            <w:r>
              <w:rPr>
                <w:noProof/>
                <w:webHidden/>
              </w:rPr>
              <w:fldChar w:fldCharType="begin"/>
            </w:r>
            <w:r>
              <w:rPr>
                <w:noProof/>
                <w:webHidden/>
              </w:rPr>
              <w:instrText xml:space="preserve"> PAGEREF _Toc232580624 \h </w:instrText>
            </w:r>
            <w:r>
              <w:rPr>
                <w:noProof/>
                <w:webHidden/>
              </w:rPr>
            </w:r>
            <w:r>
              <w:rPr>
                <w:noProof/>
                <w:webHidden/>
              </w:rPr>
              <w:fldChar w:fldCharType="separate"/>
            </w:r>
            <w:r w:rsidR="00552FC6">
              <w:rPr>
                <w:noProof/>
                <w:webHidden/>
              </w:rPr>
              <w:t>124</w:t>
            </w:r>
            <w:r>
              <w:rPr>
                <w:noProof/>
                <w:webHidden/>
              </w:rPr>
              <w:fldChar w:fldCharType="end"/>
            </w:r>
          </w:hyperlink>
        </w:p>
        <w:p w14:paraId="01423ED4" w14:textId="1982CFC5" w:rsidR="00BB1F67" w:rsidRDefault="00BB1F67" w:rsidP="00187C9E">
          <w:pPr>
            <w:pStyle w:val="TDC1"/>
            <w:rPr>
              <w:rFonts w:asciiTheme="minorHAnsi" w:eastAsiaTheme="minorEastAsia" w:hAnsiTheme="minorHAnsi"/>
            </w:rPr>
          </w:pPr>
          <w:hyperlink w:anchor="_Toc232580625" w:history="1">
            <w:r w:rsidRPr="00EA33DE">
              <w:rPr>
                <w:rStyle w:val="Hipervnculo"/>
              </w:rPr>
              <w:t>6.</w:t>
            </w:r>
            <w:r w:rsidR="00F860C0">
              <w:rPr>
                <w:rStyle w:val="Hipervnculo"/>
              </w:rPr>
              <w:t xml:space="preserve"> </w:t>
            </w:r>
            <w:r w:rsidRPr="00EA33DE">
              <w:rPr>
                <w:rStyle w:val="Hipervnculo"/>
              </w:rPr>
              <w:t>Resultados</w:t>
            </w:r>
            <w:r>
              <w:rPr>
                <w:webHidden/>
              </w:rPr>
              <w:tab/>
            </w:r>
            <w:r>
              <w:rPr>
                <w:webHidden/>
              </w:rPr>
              <w:fldChar w:fldCharType="begin"/>
            </w:r>
            <w:r>
              <w:rPr>
                <w:webHidden/>
              </w:rPr>
              <w:instrText xml:space="preserve"> PAGEREF _Toc232580625 \h </w:instrText>
            </w:r>
            <w:r>
              <w:rPr>
                <w:webHidden/>
              </w:rPr>
            </w:r>
            <w:r>
              <w:rPr>
                <w:webHidden/>
              </w:rPr>
              <w:fldChar w:fldCharType="separate"/>
            </w:r>
            <w:r w:rsidR="00552FC6">
              <w:rPr>
                <w:webHidden/>
              </w:rPr>
              <w:t>126</w:t>
            </w:r>
            <w:r>
              <w:rPr>
                <w:webHidden/>
              </w:rPr>
              <w:fldChar w:fldCharType="end"/>
            </w:r>
          </w:hyperlink>
        </w:p>
        <w:p w14:paraId="657109A7" w14:textId="4B681C64" w:rsidR="00BB1F67" w:rsidRDefault="00BB1F67" w:rsidP="00F860C0">
          <w:pPr>
            <w:pStyle w:val="TDC2"/>
            <w:rPr>
              <w:rFonts w:asciiTheme="minorHAnsi" w:eastAsiaTheme="minorEastAsia" w:hAnsiTheme="minorHAnsi"/>
            </w:rPr>
          </w:pPr>
          <w:hyperlink w:anchor="_Toc232580626" w:history="1">
            <w:r w:rsidRPr="00EA33DE">
              <w:rPr>
                <w:rStyle w:val="Hipervnculo"/>
              </w:rPr>
              <w:t>6.1.</w:t>
            </w:r>
            <w:r w:rsidR="00F860C0">
              <w:rPr>
                <w:rStyle w:val="Hipervnculo"/>
              </w:rPr>
              <w:t xml:space="preserve"> </w:t>
            </w:r>
            <w:r w:rsidRPr="00EA33DE">
              <w:rPr>
                <w:rStyle w:val="Hipervnculo"/>
              </w:rPr>
              <w:t>Discursos hegemónicos sobre salud mental: el lugar del diagnóstico</w:t>
            </w:r>
            <w:r>
              <w:rPr>
                <w:webHidden/>
              </w:rPr>
              <w:tab/>
            </w:r>
            <w:r>
              <w:rPr>
                <w:webHidden/>
              </w:rPr>
              <w:fldChar w:fldCharType="begin"/>
            </w:r>
            <w:r>
              <w:rPr>
                <w:webHidden/>
              </w:rPr>
              <w:instrText xml:space="preserve"> PAGEREF _Toc232580626 \h </w:instrText>
            </w:r>
            <w:r>
              <w:rPr>
                <w:webHidden/>
              </w:rPr>
            </w:r>
            <w:r>
              <w:rPr>
                <w:webHidden/>
              </w:rPr>
              <w:fldChar w:fldCharType="separate"/>
            </w:r>
            <w:r w:rsidR="00552FC6">
              <w:rPr>
                <w:webHidden/>
              </w:rPr>
              <w:t>127</w:t>
            </w:r>
            <w:r>
              <w:rPr>
                <w:webHidden/>
              </w:rPr>
              <w:fldChar w:fldCharType="end"/>
            </w:r>
          </w:hyperlink>
        </w:p>
        <w:p w14:paraId="3C8C462D" w14:textId="095E5451" w:rsidR="00BB1F67" w:rsidRDefault="00BB1F67" w:rsidP="00F860C0">
          <w:pPr>
            <w:pStyle w:val="TDC2"/>
            <w:rPr>
              <w:rFonts w:asciiTheme="minorHAnsi" w:eastAsiaTheme="minorEastAsia" w:hAnsiTheme="minorHAnsi"/>
            </w:rPr>
          </w:pPr>
          <w:hyperlink w:anchor="_Toc232580627" w:history="1">
            <w:r w:rsidRPr="00EA33DE">
              <w:rPr>
                <w:rStyle w:val="Hipervnculo"/>
              </w:rPr>
              <w:t>6.2.</w:t>
            </w:r>
            <w:r w:rsidR="00F860C0">
              <w:rPr>
                <w:rStyle w:val="Hipervnculo"/>
              </w:rPr>
              <w:t xml:space="preserve"> </w:t>
            </w:r>
            <w:r w:rsidRPr="00EA33DE">
              <w:rPr>
                <w:rStyle w:val="Hipervnculo"/>
              </w:rPr>
              <w:t>Discursos hegemónicos sobre salud mental: Manual diagnóstico como regulador</w:t>
            </w:r>
            <w:r>
              <w:rPr>
                <w:webHidden/>
              </w:rPr>
              <w:tab/>
            </w:r>
            <w:r>
              <w:rPr>
                <w:webHidden/>
              </w:rPr>
              <w:fldChar w:fldCharType="begin"/>
            </w:r>
            <w:r>
              <w:rPr>
                <w:webHidden/>
              </w:rPr>
              <w:instrText xml:space="preserve"> PAGEREF _Toc232580627 \h </w:instrText>
            </w:r>
            <w:r>
              <w:rPr>
                <w:webHidden/>
              </w:rPr>
            </w:r>
            <w:r>
              <w:rPr>
                <w:webHidden/>
              </w:rPr>
              <w:fldChar w:fldCharType="separate"/>
            </w:r>
            <w:r w:rsidR="00552FC6">
              <w:rPr>
                <w:webHidden/>
              </w:rPr>
              <w:t>129</w:t>
            </w:r>
            <w:r>
              <w:rPr>
                <w:webHidden/>
              </w:rPr>
              <w:fldChar w:fldCharType="end"/>
            </w:r>
          </w:hyperlink>
        </w:p>
        <w:p w14:paraId="6C6D10F9" w14:textId="4EAE1A59" w:rsidR="00BB1F67" w:rsidRDefault="00BB1F67" w:rsidP="00F860C0">
          <w:pPr>
            <w:pStyle w:val="TDC2"/>
            <w:rPr>
              <w:rFonts w:asciiTheme="minorHAnsi" w:eastAsiaTheme="minorEastAsia" w:hAnsiTheme="minorHAnsi"/>
            </w:rPr>
          </w:pPr>
          <w:hyperlink w:anchor="_Toc232580628" w:history="1">
            <w:r w:rsidRPr="00EA33DE">
              <w:rPr>
                <w:rStyle w:val="Hipervnculo"/>
                <w:rFonts w:eastAsia="Times New Roman"/>
                <w:lang w:val="es-MX"/>
              </w:rPr>
              <w:t>6.3.</w:t>
            </w:r>
            <w:r w:rsidR="00F860C0">
              <w:rPr>
                <w:rStyle w:val="Hipervnculo"/>
                <w:rFonts w:eastAsia="Times New Roman"/>
                <w:lang w:val="es-MX"/>
              </w:rPr>
              <w:t xml:space="preserve"> </w:t>
            </w:r>
            <w:r w:rsidRPr="00EA33DE">
              <w:rPr>
                <w:rStyle w:val="Hipervnculo"/>
                <w:rFonts w:eastAsia="Times New Roman"/>
                <w:lang w:val="es-MX"/>
              </w:rPr>
              <w:t xml:space="preserve">Discursos hegemónicos sobre salud mental: </w:t>
            </w:r>
            <w:r w:rsidRPr="00EA33DE">
              <w:rPr>
                <w:rStyle w:val="Hipervnculo"/>
              </w:rPr>
              <w:t>del bienestar y la funcionalidad a la adaptación como fórmulas de normalidad</w:t>
            </w:r>
            <w:r w:rsidRPr="00EA33DE">
              <w:rPr>
                <w:rStyle w:val="Hipervnculo"/>
                <w:rFonts w:eastAsia="Times New Roman"/>
                <w:lang w:val="es-MX"/>
              </w:rPr>
              <w:t xml:space="preserve"> </w:t>
            </w:r>
            <w:r w:rsidRPr="00EA33DE">
              <w:rPr>
                <w:rStyle w:val="Hipervnculo"/>
              </w:rPr>
              <w:t>(SM = B + (F × A)ᴺ)</w:t>
            </w:r>
            <w:r>
              <w:rPr>
                <w:webHidden/>
              </w:rPr>
              <w:tab/>
            </w:r>
            <w:r>
              <w:rPr>
                <w:webHidden/>
              </w:rPr>
              <w:fldChar w:fldCharType="begin"/>
            </w:r>
            <w:r>
              <w:rPr>
                <w:webHidden/>
              </w:rPr>
              <w:instrText xml:space="preserve"> PAGEREF _Toc232580628 \h </w:instrText>
            </w:r>
            <w:r>
              <w:rPr>
                <w:webHidden/>
              </w:rPr>
            </w:r>
            <w:r>
              <w:rPr>
                <w:webHidden/>
              </w:rPr>
              <w:fldChar w:fldCharType="separate"/>
            </w:r>
            <w:r w:rsidR="00552FC6">
              <w:rPr>
                <w:webHidden/>
              </w:rPr>
              <w:t>131</w:t>
            </w:r>
            <w:r>
              <w:rPr>
                <w:webHidden/>
              </w:rPr>
              <w:fldChar w:fldCharType="end"/>
            </w:r>
          </w:hyperlink>
        </w:p>
        <w:p w14:paraId="2F311E7D" w14:textId="0C731C79" w:rsidR="00BB1F67" w:rsidRDefault="00BB1F67" w:rsidP="00F860C0">
          <w:pPr>
            <w:pStyle w:val="TDC2"/>
            <w:rPr>
              <w:rFonts w:asciiTheme="minorHAnsi" w:eastAsiaTheme="minorEastAsia" w:hAnsiTheme="minorHAnsi"/>
            </w:rPr>
          </w:pPr>
          <w:hyperlink w:anchor="_Toc232580629" w:history="1">
            <w:r w:rsidRPr="00EA33DE">
              <w:rPr>
                <w:rStyle w:val="Hipervnculo"/>
              </w:rPr>
              <w:t>6.4.</w:t>
            </w:r>
            <w:r w:rsidR="00F860C0">
              <w:rPr>
                <w:rFonts w:asciiTheme="minorHAnsi" w:eastAsiaTheme="minorEastAsia" w:hAnsiTheme="minorHAnsi"/>
              </w:rPr>
              <w:t xml:space="preserve"> </w:t>
            </w:r>
            <w:r w:rsidRPr="00EA33DE">
              <w:rPr>
                <w:rStyle w:val="Hipervnculo"/>
                <w:rFonts w:eastAsia="Times New Roman"/>
                <w:lang w:val="es-MX"/>
              </w:rPr>
              <w:t xml:space="preserve">Factores estructurales y sociales: </w:t>
            </w:r>
            <w:r w:rsidRPr="00EA33DE">
              <w:rPr>
                <w:rStyle w:val="Hipervnculo"/>
              </w:rPr>
              <w:t>Dispositivos de regulación y control social</w:t>
            </w:r>
            <w:r>
              <w:rPr>
                <w:webHidden/>
              </w:rPr>
              <w:tab/>
            </w:r>
            <w:r>
              <w:rPr>
                <w:webHidden/>
              </w:rPr>
              <w:fldChar w:fldCharType="begin"/>
            </w:r>
            <w:r>
              <w:rPr>
                <w:webHidden/>
              </w:rPr>
              <w:instrText xml:space="preserve"> PAGEREF _Toc232580629 \h </w:instrText>
            </w:r>
            <w:r>
              <w:rPr>
                <w:webHidden/>
              </w:rPr>
            </w:r>
            <w:r>
              <w:rPr>
                <w:webHidden/>
              </w:rPr>
              <w:fldChar w:fldCharType="separate"/>
            </w:r>
            <w:r w:rsidR="00552FC6">
              <w:rPr>
                <w:webHidden/>
              </w:rPr>
              <w:t>134</w:t>
            </w:r>
            <w:r>
              <w:rPr>
                <w:webHidden/>
              </w:rPr>
              <w:fldChar w:fldCharType="end"/>
            </w:r>
          </w:hyperlink>
        </w:p>
        <w:p w14:paraId="0A6B68F8" w14:textId="3074600E" w:rsidR="00BB1F67" w:rsidRDefault="00BB1F67" w:rsidP="00F860C0">
          <w:pPr>
            <w:pStyle w:val="TDC2"/>
            <w:rPr>
              <w:rFonts w:asciiTheme="minorHAnsi" w:eastAsiaTheme="minorEastAsia" w:hAnsiTheme="minorHAnsi"/>
            </w:rPr>
          </w:pPr>
          <w:hyperlink w:anchor="_Toc232580630" w:history="1">
            <w:r w:rsidRPr="00EA33DE">
              <w:rPr>
                <w:rStyle w:val="Hipervnculo"/>
              </w:rPr>
              <w:t>6.5.</w:t>
            </w:r>
            <w:r w:rsidR="00F860C0">
              <w:rPr>
                <w:rStyle w:val="Hipervnculo"/>
              </w:rPr>
              <w:t xml:space="preserve"> </w:t>
            </w:r>
            <w:r w:rsidRPr="00EA33DE">
              <w:rPr>
                <w:rStyle w:val="Hipervnculo"/>
                <w:rFonts w:eastAsia="Times New Roman"/>
                <w:lang w:val="es-MX"/>
              </w:rPr>
              <w:t>Factores estructurales y sociales:</w:t>
            </w:r>
            <w:r w:rsidRPr="00EA33DE">
              <w:rPr>
                <w:rStyle w:val="Hipervnculo"/>
              </w:rPr>
              <w:t xml:space="preserve"> la salud mental como construcción relacional y material</w:t>
            </w:r>
            <w:r>
              <w:rPr>
                <w:webHidden/>
              </w:rPr>
              <w:tab/>
            </w:r>
            <w:r>
              <w:rPr>
                <w:webHidden/>
              </w:rPr>
              <w:fldChar w:fldCharType="begin"/>
            </w:r>
            <w:r>
              <w:rPr>
                <w:webHidden/>
              </w:rPr>
              <w:instrText xml:space="preserve"> PAGEREF _Toc232580630 \h </w:instrText>
            </w:r>
            <w:r>
              <w:rPr>
                <w:webHidden/>
              </w:rPr>
            </w:r>
            <w:r>
              <w:rPr>
                <w:webHidden/>
              </w:rPr>
              <w:fldChar w:fldCharType="separate"/>
            </w:r>
            <w:r w:rsidR="00552FC6">
              <w:rPr>
                <w:webHidden/>
              </w:rPr>
              <w:t>136</w:t>
            </w:r>
            <w:r>
              <w:rPr>
                <w:webHidden/>
              </w:rPr>
              <w:fldChar w:fldCharType="end"/>
            </w:r>
          </w:hyperlink>
        </w:p>
        <w:p w14:paraId="55A6B77A" w14:textId="3D4E0555" w:rsidR="00BB1F67" w:rsidRDefault="00BB1F67" w:rsidP="00F860C0">
          <w:pPr>
            <w:pStyle w:val="TDC2"/>
            <w:rPr>
              <w:rFonts w:asciiTheme="minorHAnsi" w:eastAsiaTheme="minorEastAsia" w:hAnsiTheme="minorHAnsi"/>
            </w:rPr>
          </w:pPr>
          <w:hyperlink w:anchor="_Toc232580631" w:history="1">
            <w:r w:rsidRPr="00EA33DE">
              <w:rPr>
                <w:rStyle w:val="Hipervnculo"/>
                <w:rFonts w:eastAsia="Times New Roman"/>
                <w:lang w:val="es-MX"/>
              </w:rPr>
              <w:t>6.6.</w:t>
            </w:r>
            <w:r w:rsidR="00F860C0">
              <w:rPr>
                <w:rFonts w:asciiTheme="minorHAnsi" w:eastAsiaTheme="minorEastAsia" w:hAnsiTheme="minorHAnsi"/>
              </w:rPr>
              <w:t xml:space="preserve"> </w:t>
            </w:r>
            <w:r w:rsidRPr="00EA33DE">
              <w:rPr>
                <w:rStyle w:val="Hipervnculo"/>
                <w:rFonts w:eastAsia="Times New Roman"/>
                <w:lang w:val="es-MX"/>
              </w:rPr>
              <w:t xml:space="preserve">Factores estructurales y sociales:  </w:t>
            </w:r>
            <w:r w:rsidRPr="00EA33DE">
              <w:rPr>
                <w:rStyle w:val="Hipervnculo"/>
              </w:rPr>
              <w:t>Subjetivación neoliberal</w:t>
            </w:r>
            <w:r>
              <w:rPr>
                <w:webHidden/>
              </w:rPr>
              <w:tab/>
            </w:r>
            <w:r>
              <w:rPr>
                <w:webHidden/>
              </w:rPr>
              <w:fldChar w:fldCharType="begin"/>
            </w:r>
            <w:r>
              <w:rPr>
                <w:webHidden/>
              </w:rPr>
              <w:instrText xml:space="preserve"> PAGEREF _Toc232580631 \h </w:instrText>
            </w:r>
            <w:r>
              <w:rPr>
                <w:webHidden/>
              </w:rPr>
            </w:r>
            <w:r>
              <w:rPr>
                <w:webHidden/>
              </w:rPr>
              <w:fldChar w:fldCharType="separate"/>
            </w:r>
            <w:r w:rsidR="00552FC6">
              <w:rPr>
                <w:webHidden/>
              </w:rPr>
              <w:t>138</w:t>
            </w:r>
            <w:r>
              <w:rPr>
                <w:webHidden/>
              </w:rPr>
              <w:fldChar w:fldCharType="end"/>
            </w:r>
          </w:hyperlink>
        </w:p>
        <w:p w14:paraId="77D9A4CD" w14:textId="346BE962" w:rsidR="00BB1F67" w:rsidRDefault="00BB1F67" w:rsidP="00F860C0">
          <w:pPr>
            <w:pStyle w:val="TDC2"/>
            <w:rPr>
              <w:rFonts w:asciiTheme="minorHAnsi" w:eastAsiaTheme="minorEastAsia" w:hAnsiTheme="minorHAnsi"/>
            </w:rPr>
          </w:pPr>
          <w:hyperlink w:anchor="_Toc232580632" w:history="1">
            <w:r w:rsidRPr="00EA33DE">
              <w:rPr>
                <w:rStyle w:val="Hipervnculo"/>
              </w:rPr>
              <w:t>6.7.</w:t>
            </w:r>
            <w:r w:rsidR="00F860C0">
              <w:rPr>
                <w:rStyle w:val="Hipervnculo"/>
              </w:rPr>
              <w:t xml:space="preserve"> </w:t>
            </w:r>
            <w:r w:rsidRPr="00EA33DE">
              <w:rPr>
                <w:rStyle w:val="Hipervnculo"/>
              </w:rPr>
              <w:t>Intervención y clínica: la terapia como espacio de ajuste y normalización</w:t>
            </w:r>
            <w:r>
              <w:rPr>
                <w:webHidden/>
              </w:rPr>
              <w:tab/>
            </w:r>
            <w:r>
              <w:rPr>
                <w:webHidden/>
              </w:rPr>
              <w:fldChar w:fldCharType="begin"/>
            </w:r>
            <w:r>
              <w:rPr>
                <w:webHidden/>
              </w:rPr>
              <w:instrText xml:space="preserve"> PAGEREF _Toc232580632 \h </w:instrText>
            </w:r>
            <w:r>
              <w:rPr>
                <w:webHidden/>
              </w:rPr>
            </w:r>
            <w:r>
              <w:rPr>
                <w:webHidden/>
              </w:rPr>
              <w:fldChar w:fldCharType="separate"/>
            </w:r>
            <w:r w:rsidR="00552FC6">
              <w:rPr>
                <w:webHidden/>
              </w:rPr>
              <w:t>140</w:t>
            </w:r>
            <w:r>
              <w:rPr>
                <w:webHidden/>
              </w:rPr>
              <w:fldChar w:fldCharType="end"/>
            </w:r>
          </w:hyperlink>
        </w:p>
        <w:p w14:paraId="7394325F" w14:textId="322B59A4" w:rsidR="00BB1F67" w:rsidRDefault="00BB1F67" w:rsidP="00F860C0">
          <w:pPr>
            <w:pStyle w:val="TDC2"/>
            <w:rPr>
              <w:rFonts w:asciiTheme="minorHAnsi" w:eastAsiaTheme="minorEastAsia" w:hAnsiTheme="minorHAnsi"/>
            </w:rPr>
          </w:pPr>
          <w:hyperlink w:anchor="_Toc232580633" w:history="1">
            <w:r w:rsidRPr="00EA33DE">
              <w:rPr>
                <w:rStyle w:val="Hipervnculo"/>
                <w:rFonts w:eastAsia="Times New Roman"/>
                <w:lang w:val="es-MX"/>
              </w:rPr>
              <w:t>6.8.</w:t>
            </w:r>
            <w:r w:rsidR="00F860C0">
              <w:rPr>
                <w:rFonts w:asciiTheme="minorHAnsi" w:eastAsiaTheme="minorEastAsia" w:hAnsiTheme="minorHAnsi"/>
              </w:rPr>
              <w:t xml:space="preserve"> </w:t>
            </w:r>
            <w:r w:rsidRPr="00EA33DE">
              <w:rPr>
                <w:rStyle w:val="Hipervnculo"/>
                <w:rFonts w:eastAsia="Times New Roman"/>
                <w:lang w:val="es-MX"/>
              </w:rPr>
              <w:t xml:space="preserve">Intervención y clínica: </w:t>
            </w:r>
            <w:r w:rsidRPr="00EA33DE">
              <w:rPr>
                <w:rStyle w:val="Hipervnculo"/>
              </w:rPr>
              <w:t>Tecnologías de subjetivación y control</w:t>
            </w:r>
            <w:r>
              <w:rPr>
                <w:webHidden/>
              </w:rPr>
              <w:tab/>
            </w:r>
            <w:r>
              <w:rPr>
                <w:webHidden/>
              </w:rPr>
              <w:fldChar w:fldCharType="begin"/>
            </w:r>
            <w:r>
              <w:rPr>
                <w:webHidden/>
              </w:rPr>
              <w:instrText xml:space="preserve"> PAGEREF _Toc232580633 \h </w:instrText>
            </w:r>
            <w:r>
              <w:rPr>
                <w:webHidden/>
              </w:rPr>
            </w:r>
            <w:r>
              <w:rPr>
                <w:webHidden/>
              </w:rPr>
              <w:fldChar w:fldCharType="separate"/>
            </w:r>
            <w:r w:rsidR="00552FC6">
              <w:rPr>
                <w:webHidden/>
              </w:rPr>
              <w:t>142</w:t>
            </w:r>
            <w:r>
              <w:rPr>
                <w:webHidden/>
              </w:rPr>
              <w:fldChar w:fldCharType="end"/>
            </w:r>
          </w:hyperlink>
        </w:p>
        <w:p w14:paraId="175D67EA" w14:textId="5195D50F" w:rsidR="00BB1F67" w:rsidRDefault="00BB1F67" w:rsidP="00F860C0">
          <w:pPr>
            <w:pStyle w:val="TDC2"/>
            <w:rPr>
              <w:rFonts w:asciiTheme="minorHAnsi" w:eastAsiaTheme="minorEastAsia" w:hAnsiTheme="minorHAnsi"/>
            </w:rPr>
          </w:pPr>
          <w:hyperlink w:anchor="_Toc232580634" w:history="1">
            <w:r w:rsidRPr="00EA33DE">
              <w:rPr>
                <w:rStyle w:val="Hipervnculo"/>
              </w:rPr>
              <w:t>6.9.</w:t>
            </w:r>
            <w:r w:rsidR="00F860C0">
              <w:rPr>
                <w:rStyle w:val="Hipervnculo"/>
              </w:rPr>
              <w:t xml:space="preserve"> </w:t>
            </w:r>
            <w:r w:rsidRPr="00EA33DE">
              <w:rPr>
                <w:rStyle w:val="Hipervnculo"/>
                <w:rFonts w:eastAsia="Times New Roman"/>
                <w:lang w:val="es-MX"/>
              </w:rPr>
              <w:t xml:space="preserve">Intervención y clínica: </w:t>
            </w:r>
            <w:r w:rsidRPr="00EA33DE">
              <w:rPr>
                <w:rStyle w:val="Hipervnculo"/>
              </w:rPr>
              <w:t>Saberes expertos, la producción de verdad</w:t>
            </w:r>
            <w:r>
              <w:rPr>
                <w:webHidden/>
              </w:rPr>
              <w:tab/>
            </w:r>
            <w:r>
              <w:rPr>
                <w:webHidden/>
              </w:rPr>
              <w:fldChar w:fldCharType="begin"/>
            </w:r>
            <w:r>
              <w:rPr>
                <w:webHidden/>
              </w:rPr>
              <w:instrText xml:space="preserve"> PAGEREF _Toc232580634 \h </w:instrText>
            </w:r>
            <w:r>
              <w:rPr>
                <w:webHidden/>
              </w:rPr>
            </w:r>
            <w:r>
              <w:rPr>
                <w:webHidden/>
              </w:rPr>
              <w:fldChar w:fldCharType="separate"/>
            </w:r>
            <w:r w:rsidR="00552FC6">
              <w:rPr>
                <w:webHidden/>
              </w:rPr>
              <w:t>144</w:t>
            </w:r>
            <w:r>
              <w:rPr>
                <w:webHidden/>
              </w:rPr>
              <w:fldChar w:fldCharType="end"/>
            </w:r>
          </w:hyperlink>
        </w:p>
        <w:p w14:paraId="75684A28" w14:textId="47965EE1" w:rsidR="00BB1F67" w:rsidRPr="00F860C0" w:rsidRDefault="00BB1F67" w:rsidP="00F860C0">
          <w:pPr>
            <w:pStyle w:val="TDC2"/>
            <w:rPr>
              <w:rFonts w:asciiTheme="minorHAnsi" w:eastAsiaTheme="minorEastAsia" w:hAnsiTheme="minorHAnsi"/>
              <w:sz w:val="20"/>
              <w:szCs w:val="20"/>
            </w:rPr>
          </w:pPr>
          <w:hyperlink w:anchor="_Toc232580635" w:history="1">
            <w:r w:rsidRPr="00F860C0">
              <w:rPr>
                <w:rStyle w:val="Hipervnculo"/>
                <w:sz w:val="20"/>
                <w:szCs w:val="20"/>
              </w:rPr>
              <w:t>6.10.</w:t>
            </w:r>
            <w:r w:rsidR="00F860C0" w:rsidRPr="00F860C0">
              <w:rPr>
                <w:rStyle w:val="Hipervnculo"/>
                <w:sz w:val="20"/>
                <w:szCs w:val="20"/>
              </w:rPr>
              <w:t xml:space="preserve"> </w:t>
            </w:r>
            <w:r w:rsidRPr="00F860C0">
              <w:rPr>
                <w:rStyle w:val="Hipervnculo"/>
                <w:sz w:val="20"/>
                <w:szCs w:val="20"/>
              </w:rPr>
              <w:t>Modelos teóricos y posiciones epistemológicas: configuraciones del saber en salud menta</w:t>
            </w:r>
            <w:r w:rsidR="00322EE2">
              <w:rPr>
                <w:rStyle w:val="Hipervnculo"/>
                <w:sz w:val="20"/>
                <w:szCs w:val="20"/>
              </w:rPr>
              <w:t>l</w:t>
            </w:r>
            <w:r w:rsidR="00F860C0" w:rsidRPr="00F860C0">
              <w:rPr>
                <w:rStyle w:val="Hipervnculo"/>
                <w:sz w:val="20"/>
                <w:szCs w:val="20"/>
              </w:rPr>
              <w:tab/>
              <w:t>…</w:t>
            </w:r>
            <w:r w:rsidRPr="00F860C0">
              <w:rPr>
                <w:webHidden/>
                <w:sz w:val="20"/>
                <w:szCs w:val="20"/>
              </w:rPr>
              <w:fldChar w:fldCharType="begin"/>
            </w:r>
            <w:r w:rsidRPr="00F860C0">
              <w:rPr>
                <w:webHidden/>
                <w:sz w:val="20"/>
                <w:szCs w:val="20"/>
              </w:rPr>
              <w:instrText xml:space="preserve"> PAGEREF _Toc232580635 \h </w:instrText>
            </w:r>
            <w:r w:rsidRPr="00F860C0">
              <w:rPr>
                <w:webHidden/>
                <w:sz w:val="20"/>
                <w:szCs w:val="20"/>
              </w:rPr>
            </w:r>
            <w:r w:rsidRPr="00F860C0">
              <w:rPr>
                <w:webHidden/>
                <w:sz w:val="20"/>
                <w:szCs w:val="20"/>
              </w:rPr>
              <w:fldChar w:fldCharType="separate"/>
            </w:r>
            <w:r w:rsidR="00552FC6">
              <w:rPr>
                <w:webHidden/>
                <w:sz w:val="20"/>
                <w:szCs w:val="20"/>
              </w:rPr>
              <w:t>146</w:t>
            </w:r>
            <w:r w:rsidRPr="00F860C0">
              <w:rPr>
                <w:webHidden/>
                <w:sz w:val="20"/>
                <w:szCs w:val="20"/>
              </w:rPr>
              <w:fldChar w:fldCharType="end"/>
            </w:r>
          </w:hyperlink>
        </w:p>
        <w:p w14:paraId="3CF1CBAE" w14:textId="3F097A70" w:rsidR="00BB1F67" w:rsidRDefault="00BB1F67" w:rsidP="00F860C0">
          <w:pPr>
            <w:pStyle w:val="TDC2"/>
            <w:rPr>
              <w:rFonts w:asciiTheme="minorHAnsi" w:eastAsiaTheme="minorEastAsia" w:hAnsiTheme="minorHAnsi"/>
            </w:rPr>
          </w:pPr>
          <w:hyperlink w:anchor="_Toc232580636" w:history="1">
            <w:r w:rsidRPr="00EA33DE">
              <w:rPr>
                <w:rStyle w:val="Hipervnculo"/>
              </w:rPr>
              <w:t>6.11.</w:t>
            </w:r>
            <w:r w:rsidR="00F860C0">
              <w:rPr>
                <w:rFonts w:asciiTheme="minorHAnsi" w:eastAsiaTheme="minorEastAsia" w:hAnsiTheme="minorHAnsi"/>
              </w:rPr>
              <w:t xml:space="preserve"> </w:t>
            </w:r>
            <w:r w:rsidRPr="00EA33DE">
              <w:rPr>
                <w:rStyle w:val="Hipervnculo"/>
              </w:rPr>
              <w:t>Individualización y responsabilización del sujeto</w:t>
            </w:r>
            <w:r>
              <w:rPr>
                <w:webHidden/>
              </w:rPr>
              <w:tab/>
            </w:r>
            <w:r>
              <w:rPr>
                <w:webHidden/>
              </w:rPr>
              <w:fldChar w:fldCharType="begin"/>
            </w:r>
            <w:r>
              <w:rPr>
                <w:webHidden/>
              </w:rPr>
              <w:instrText xml:space="preserve"> PAGEREF _Toc232580636 \h </w:instrText>
            </w:r>
            <w:r>
              <w:rPr>
                <w:webHidden/>
              </w:rPr>
            </w:r>
            <w:r>
              <w:rPr>
                <w:webHidden/>
              </w:rPr>
              <w:fldChar w:fldCharType="separate"/>
            </w:r>
            <w:r w:rsidR="00552FC6">
              <w:rPr>
                <w:webHidden/>
              </w:rPr>
              <w:t>149</w:t>
            </w:r>
            <w:r>
              <w:rPr>
                <w:webHidden/>
              </w:rPr>
              <w:fldChar w:fldCharType="end"/>
            </w:r>
          </w:hyperlink>
        </w:p>
        <w:p w14:paraId="231FA276" w14:textId="5E62717D" w:rsidR="00BB1F67" w:rsidRDefault="00BB1F67" w:rsidP="00F860C0">
          <w:pPr>
            <w:pStyle w:val="TDC2"/>
            <w:rPr>
              <w:rFonts w:asciiTheme="minorHAnsi" w:eastAsiaTheme="minorEastAsia" w:hAnsiTheme="minorHAnsi"/>
            </w:rPr>
          </w:pPr>
          <w:hyperlink w:anchor="_Toc232580637" w:history="1">
            <w:r w:rsidRPr="00EA33DE">
              <w:rPr>
                <w:rStyle w:val="Hipervnculo"/>
              </w:rPr>
              <w:t>6.12.Dispositivos técnicos de normalización y subjetivación</w:t>
            </w:r>
            <w:r>
              <w:rPr>
                <w:webHidden/>
              </w:rPr>
              <w:tab/>
            </w:r>
            <w:r>
              <w:rPr>
                <w:webHidden/>
              </w:rPr>
              <w:fldChar w:fldCharType="begin"/>
            </w:r>
            <w:r>
              <w:rPr>
                <w:webHidden/>
              </w:rPr>
              <w:instrText xml:space="preserve"> PAGEREF _Toc232580637 \h </w:instrText>
            </w:r>
            <w:r>
              <w:rPr>
                <w:webHidden/>
              </w:rPr>
            </w:r>
            <w:r>
              <w:rPr>
                <w:webHidden/>
              </w:rPr>
              <w:fldChar w:fldCharType="separate"/>
            </w:r>
            <w:r w:rsidR="00552FC6">
              <w:rPr>
                <w:webHidden/>
              </w:rPr>
              <w:t>151</w:t>
            </w:r>
            <w:r>
              <w:rPr>
                <w:webHidden/>
              </w:rPr>
              <w:fldChar w:fldCharType="end"/>
            </w:r>
          </w:hyperlink>
        </w:p>
        <w:p w14:paraId="0FA850F4" w14:textId="41089905" w:rsidR="00BB1F67" w:rsidRDefault="00BB1F67" w:rsidP="00F860C0">
          <w:pPr>
            <w:pStyle w:val="TDC2"/>
            <w:rPr>
              <w:rFonts w:asciiTheme="minorHAnsi" w:eastAsiaTheme="minorEastAsia" w:hAnsiTheme="minorHAnsi"/>
            </w:rPr>
          </w:pPr>
          <w:hyperlink w:anchor="_Toc232580638" w:history="1">
            <w:r w:rsidRPr="00EA33DE">
              <w:rPr>
                <w:rStyle w:val="Hipervnculo"/>
              </w:rPr>
              <w:t>6.13.Contradicciones en las prácticas y saberes profesionales</w:t>
            </w:r>
            <w:r>
              <w:rPr>
                <w:webHidden/>
              </w:rPr>
              <w:tab/>
            </w:r>
            <w:r>
              <w:rPr>
                <w:webHidden/>
              </w:rPr>
              <w:fldChar w:fldCharType="begin"/>
            </w:r>
            <w:r>
              <w:rPr>
                <w:webHidden/>
              </w:rPr>
              <w:instrText xml:space="preserve"> PAGEREF _Toc232580638 \h </w:instrText>
            </w:r>
            <w:r>
              <w:rPr>
                <w:webHidden/>
              </w:rPr>
            </w:r>
            <w:r>
              <w:rPr>
                <w:webHidden/>
              </w:rPr>
              <w:fldChar w:fldCharType="separate"/>
            </w:r>
            <w:r w:rsidR="00552FC6">
              <w:rPr>
                <w:webHidden/>
              </w:rPr>
              <w:t>154</w:t>
            </w:r>
            <w:r>
              <w:rPr>
                <w:webHidden/>
              </w:rPr>
              <w:fldChar w:fldCharType="end"/>
            </w:r>
          </w:hyperlink>
        </w:p>
        <w:p w14:paraId="47364A13" w14:textId="048FF404" w:rsidR="00BB1F67" w:rsidRDefault="00BB1F67" w:rsidP="00F860C0">
          <w:pPr>
            <w:pStyle w:val="TDC2"/>
            <w:rPr>
              <w:rFonts w:asciiTheme="minorHAnsi" w:eastAsiaTheme="minorEastAsia" w:hAnsiTheme="minorHAnsi"/>
            </w:rPr>
          </w:pPr>
          <w:hyperlink w:anchor="_Toc232580639" w:history="1">
            <w:r w:rsidRPr="00EA33DE">
              <w:rPr>
                <w:rStyle w:val="Hipervnculo"/>
              </w:rPr>
              <w:t>6.14.Tensiones entre dimensiones individuales, colectivas y estructurales</w:t>
            </w:r>
            <w:r>
              <w:rPr>
                <w:webHidden/>
              </w:rPr>
              <w:tab/>
            </w:r>
            <w:r>
              <w:rPr>
                <w:webHidden/>
              </w:rPr>
              <w:fldChar w:fldCharType="begin"/>
            </w:r>
            <w:r>
              <w:rPr>
                <w:webHidden/>
              </w:rPr>
              <w:instrText xml:space="preserve"> PAGEREF _Toc232580639 \h </w:instrText>
            </w:r>
            <w:r>
              <w:rPr>
                <w:webHidden/>
              </w:rPr>
            </w:r>
            <w:r>
              <w:rPr>
                <w:webHidden/>
              </w:rPr>
              <w:fldChar w:fldCharType="separate"/>
            </w:r>
            <w:r w:rsidR="00552FC6">
              <w:rPr>
                <w:webHidden/>
              </w:rPr>
              <w:t>156</w:t>
            </w:r>
            <w:r>
              <w:rPr>
                <w:webHidden/>
              </w:rPr>
              <w:fldChar w:fldCharType="end"/>
            </w:r>
          </w:hyperlink>
        </w:p>
        <w:p w14:paraId="08C4A5E7" w14:textId="4EA33836" w:rsidR="00BB1F67" w:rsidRDefault="00BB1F67" w:rsidP="00F860C0">
          <w:pPr>
            <w:pStyle w:val="TDC2"/>
            <w:rPr>
              <w:rFonts w:asciiTheme="minorHAnsi" w:eastAsiaTheme="minorEastAsia" w:hAnsiTheme="minorHAnsi"/>
            </w:rPr>
          </w:pPr>
          <w:hyperlink w:anchor="_Toc232580640" w:history="1">
            <w:r w:rsidRPr="00EA33DE">
              <w:rPr>
                <w:rStyle w:val="Hipervnculo"/>
                <w:lang w:val="es-MX"/>
              </w:rPr>
              <w:t>6.15.Psicología como herramienta vs. como normalizadora</w:t>
            </w:r>
            <w:r>
              <w:rPr>
                <w:webHidden/>
              </w:rPr>
              <w:tab/>
            </w:r>
            <w:r>
              <w:rPr>
                <w:webHidden/>
              </w:rPr>
              <w:fldChar w:fldCharType="begin"/>
            </w:r>
            <w:r>
              <w:rPr>
                <w:webHidden/>
              </w:rPr>
              <w:instrText xml:space="preserve"> PAGEREF _Toc232580640 \h </w:instrText>
            </w:r>
            <w:r>
              <w:rPr>
                <w:webHidden/>
              </w:rPr>
            </w:r>
            <w:r>
              <w:rPr>
                <w:webHidden/>
              </w:rPr>
              <w:fldChar w:fldCharType="separate"/>
            </w:r>
            <w:r w:rsidR="00552FC6">
              <w:rPr>
                <w:webHidden/>
              </w:rPr>
              <w:t>159</w:t>
            </w:r>
            <w:r>
              <w:rPr>
                <w:webHidden/>
              </w:rPr>
              <w:fldChar w:fldCharType="end"/>
            </w:r>
          </w:hyperlink>
        </w:p>
        <w:p w14:paraId="7B1D5114" w14:textId="145ADB0A" w:rsidR="00BB1F67" w:rsidRDefault="00BB1F67" w:rsidP="00187C9E">
          <w:pPr>
            <w:pStyle w:val="TDC1"/>
            <w:rPr>
              <w:rFonts w:asciiTheme="minorHAnsi" w:eastAsiaTheme="minorEastAsia" w:hAnsiTheme="minorHAnsi"/>
            </w:rPr>
          </w:pPr>
          <w:hyperlink w:anchor="_Toc232580641" w:history="1">
            <w:r w:rsidRPr="00EA33DE">
              <w:rPr>
                <w:rStyle w:val="Hipervnculo"/>
              </w:rPr>
              <w:t>7.Discusión</w:t>
            </w:r>
            <w:r w:rsidR="00F860C0">
              <w:rPr>
                <w:rStyle w:val="Hipervnculo"/>
              </w:rPr>
              <w:tab/>
            </w:r>
            <w:r>
              <w:rPr>
                <w:webHidden/>
              </w:rPr>
              <w:tab/>
            </w:r>
            <w:r>
              <w:rPr>
                <w:webHidden/>
              </w:rPr>
              <w:fldChar w:fldCharType="begin"/>
            </w:r>
            <w:r>
              <w:rPr>
                <w:webHidden/>
              </w:rPr>
              <w:instrText xml:space="preserve"> PAGEREF _Toc232580641 \h </w:instrText>
            </w:r>
            <w:r>
              <w:rPr>
                <w:webHidden/>
              </w:rPr>
            </w:r>
            <w:r>
              <w:rPr>
                <w:webHidden/>
              </w:rPr>
              <w:fldChar w:fldCharType="separate"/>
            </w:r>
            <w:r w:rsidR="00552FC6">
              <w:rPr>
                <w:webHidden/>
              </w:rPr>
              <w:t>162</w:t>
            </w:r>
            <w:r>
              <w:rPr>
                <w:webHidden/>
              </w:rPr>
              <w:fldChar w:fldCharType="end"/>
            </w:r>
          </w:hyperlink>
        </w:p>
        <w:p w14:paraId="2EBC5504" w14:textId="01FB1961" w:rsidR="00BB1F67" w:rsidRDefault="00BB1F67" w:rsidP="00F860C0">
          <w:pPr>
            <w:pStyle w:val="TDC2"/>
            <w:rPr>
              <w:rFonts w:asciiTheme="minorHAnsi" w:eastAsiaTheme="minorEastAsia" w:hAnsiTheme="minorHAnsi"/>
            </w:rPr>
          </w:pPr>
          <w:hyperlink w:anchor="_Toc232580642" w:history="1">
            <w:r w:rsidRPr="00EA33DE">
              <w:rPr>
                <w:rStyle w:val="Hipervnculo"/>
              </w:rPr>
              <w:t>7.1.</w:t>
            </w:r>
            <w:r w:rsidR="00F860C0">
              <w:rPr>
                <w:rStyle w:val="Hipervnculo"/>
              </w:rPr>
              <w:t xml:space="preserve"> </w:t>
            </w:r>
            <w:r w:rsidRPr="00EA33DE">
              <w:rPr>
                <w:rStyle w:val="Hipervnculo"/>
              </w:rPr>
              <w:t>Movimiento 1: el régimen discursivo de la salud mental</w:t>
            </w:r>
            <w:r>
              <w:rPr>
                <w:webHidden/>
              </w:rPr>
              <w:tab/>
            </w:r>
            <w:r>
              <w:rPr>
                <w:webHidden/>
              </w:rPr>
              <w:fldChar w:fldCharType="begin"/>
            </w:r>
            <w:r>
              <w:rPr>
                <w:webHidden/>
              </w:rPr>
              <w:instrText xml:space="preserve"> PAGEREF _Toc232580642 \h </w:instrText>
            </w:r>
            <w:r>
              <w:rPr>
                <w:webHidden/>
              </w:rPr>
            </w:r>
            <w:r>
              <w:rPr>
                <w:webHidden/>
              </w:rPr>
              <w:fldChar w:fldCharType="separate"/>
            </w:r>
            <w:r w:rsidR="00552FC6">
              <w:rPr>
                <w:webHidden/>
              </w:rPr>
              <w:t>163</w:t>
            </w:r>
            <w:r>
              <w:rPr>
                <w:webHidden/>
              </w:rPr>
              <w:fldChar w:fldCharType="end"/>
            </w:r>
          </w:hyperlink>
        </w:p>
        <w:p w14:paraId="0A1651E6" w14:textId="13D03F55" w:rsidR="00BB1F67" w:rsidRPr="00F860C0" w:rsidRDefault="00BB1F67" w:rsidP="00F860C0">
          <w:pPr>
            <w:pStyle w:val="TDC2"/>
            <w:rPr>
              <w:rFonts w:asciiTheme="minorHAnsi" w:eastAsiaTheme="minorEastAsia" w:hAnsiTheme="minorHAnsi"/>
              <w:sz w:val="20"/>
              <w:szCs w:val="20"/>
            </w:rPr>
          </w:pPr>
          <w:hyperlink w:anchor="_Toc232580643" w:history="1">
            <w:r w:rsidRPr="00F860C0">
              <w:rPr>
                <w:rStyle w:val="Hipervnculo"/>
                <w:sz w:val="20"/>
                <w:szCs w:val="20"/>
              </w:rPr>
              <w:t>7.2.</w:t>
            </w:r>
            <w:r w:rsidR="00F860C0" w:rsidRPr="00F860C0">
              <w:rPr>
                <w:rStyle w:val="Hipervnculo"/>
                <w:sz w:val="20"/>
                <w:szCs w:val="20"/>
              </w:rPr>
              <w:t xml:space="preserve"> </w:t>
            </w:r>
            <w:r w:rsidRPr="00F860C0">
              <w:rPr>
                <w:rStyle w:val="Hipervnculo"/>
                <w:sz w:val="20"/>
                <w:szCs w:val="20"/>
              </w:rPr>
              <w:t>Movimiento 2: salud mental = bienestar × (adaptabilidad + funcionalidad) / normalidad SM = B × (A+F) / N</w:t>
            </w:r>
            <w:r w:rsidRPr="00F860C0">
              <w:rPr>
                <w:webHidden/>
                <w:sz w:val="20"/>
                <w:szCs w:val="20"/>
              </w:rPr>
              <w:tab/>
            </w:r>
            <w:r w:rsidRPr="00F860C0">
              <w:rPr>
                <w:webHidden/>
                <w:sz w:val="20"/>
                <w:szCs w:val="20"/>
              </w:rPr>
              <w:fldChar w:fldCharType="begin"/>
            </w:r>
            <w:r w:rsidRPr="00F860C0">
              <w:rPr>
                <w:webHidden/>
                <w:sz w:val="20"/>
                <w:szCs w:val="20"/>
              </w:rPr>
              <w:instrText xml:space="preserve"> PAGEREF _Toc232580643 \h </w:instrText>
            </w:r>
            <w:r w:rsidRPr="00F860C0">
              <w:rPr>
                <w:webHidden/>
                <w:sz w:val="20"/>
                <w:szCs w:val="20"/>
              </w:rPr>
            </w:r>
            <w:r w:rsidRPr="00F860C0">
              <w:rPr>
                <w:webHidden/>
                <w:sz w:val="20"/>
                <w:szCs w:val="20"/>
              </w:rPr>
              <w:fldChar w:fldCharType="separate"/>
            </w:r>
            <w:r w:rsidR="00552FC6">
              <w:rPr>
                <w:webHidden/>
                <w:sz w:val="20"/>
                <w:szCs w:val="20"/>
              </w:rPr>
              <w:t>167</w:t>
            </w:r>
            <w:r w:rsidRPr="00F860C0">
              <w:rPr>
                <w:webHidden/>
                <w:sz w:val="20"/>
                <w:szCs w:val="20"/>
              </w:rPr>
              <w:fldChar w:fldCharType="end"/>
            </w:r>
          </w:hyperlink>
        </w:p>
        <w:p w14:paraId="78DD2EA0" w14:textId="09F964D8" w:rsidR="00BB1F67" w:rsidRDefault="00BB1F67" w:rsidP="00F860C0">
          <w:pPr>
            <w:pStyle w:val="TDC2"/>
            <w:rPr>
              <w:rFonts w:asciiTheme="minorHAnsi" w:eastAsiaTheme="minorEastAsia" w:hAnsiTheme="minorHAnsi"/>
            </w:rPr>
          </w:pPr>
          <w:hyperlink w:anchor="_Toc232580649" w:history="1">
            <w:r w:rsidRPr="00EA33DE">
              <w:rPr>
                <w:rStyle w:val="Hipervnculo"/>
                <w:lang w:val="es-MX"/>
              </w:rPr>
              <w:t>7.3.</w:t>
            </w:r>
            <w:r w:rsidR="00F860C0">
              <w:rPr>
                <w:rFonts w:asciiTheme="minorHAnsi" w:eastAsiaTheme="minorEastAsia" w:hAnsiTheme="minorHAnsi"/>
              </w:rPr>
              <w:t xml:space="preserve"> </w:t>
            </w:r>
            <w:r w:rsidRPr="00EA33DE">
              <w:rPr>
                <w:rStyle w:val="Hipervnculo"/>
                <w:lang w:val="es-MX"/>
              </w:rPr>
              <w:t>Movimiento 3: las tensiones internas del régimen</w:t>
            </w:r>
            <w:r>
              <w:rPr>
                <w:webHidden/>
              </w:rPr>
              <w:tab/>
            </w:r>
            <w:r>
              <w:rPr>
                <w:webHidden/>
              </w:rPr>
              <w:fldChar w:fldCharType="begin"/>
            </w:r>
            <w:r>
              <w:rPr>
                <w:webHidden/>
              </w:rPr>
              <w:instrText xml:space="preserve"> PAGEREF _Toc232580649 \h </w:instrText>
            </w:r>
            <w:r>
              <w:rPr>
                <w:webHidden/>
              </w:rPr>
            </w:r>
            <w:r>
              <w:rPr>
                <w:webHidden/>
              </w:rPr>
              <w:fldChar w:fldCharType="separate"/>
            </w:r>
            <w:r w:rsidR="00552FC6">
              <w:rPr>
                <w:webHidden/>
              </w:rPr>
              <w:t>170</w:t>
            </w:r>
            <w:r>
              <w:rPr>
                <w:webHidden/>
              </w:rPr>
              <w:fldChar w:fldCharType="end"/>
            </w:r>
          </w:hyperlink>
        </w:p>
        <w:p w14:paraId="74EBEE8C" w14:textId="3A946845" w:rsidR="00BB1F67" w:rsidRDefault="00BB1F67" w:rsidP="00F860C0">
          <w:pPr>
            <w:pStyle w:val="TDC2"/>
            <w:rPr>
              <w:rFonts w:asciiTheme="minorHAnsi" w:eastAsiaTheme="minorEastAsia" w:hAnsiTheme="minorHAnsi"/>
            </w:rPr>
          </w:pPr>
          <w:hyperlink w:anchor="_Toc232580653" w:history="1">
            <w:r w:rsidRPr="00EA33DE">
              <w:rPr>
                <w:rStyle w:val="Hipervnculo"/>
                <w:lang w:val="es-MX"/>
              </w:rPr>
              <w:t>7.4.</w:t>
            </w:r>
            <w:r w:rsidR="00F860C0">
              <w:rPr>
                <w:rFonts w:asciiTheme="minorHAnsi" w:eastAsiaTheme="minorEastAsia" w:hAnsiTheme="minorHAnsi"/>
              </w:rPr>
              <w:t xml:space="preserve"> </w:t>
            </w:r>
            <w:r w:rsidRPr="00EA33DE">
              <w:rPr>
                <w:rStyle w:val="Hipervnculo"/>
                <w:lang w:val="es-MX"/>
              </w:rPr>
              <w:t>Movimiento 4: las tecnologías subjetivantes y el gobierno del yo</w:t>
            </w:r>
            <w:r>
              <w:rPr>
                <w:webHidden/>
              </w:rPr>
              <w:tab/>
            </w:r>
            <w:r>
              <w:rPr>
                <w:webHidden/>
              </w:rPr>
              <w:fldChar w:fldCharType="begin"/>
            </w:r>
            <w:r>
              <w:rPr>
                <w:webHidden/>
              </w:rPr>
              <w:instrText xml:space="preserve"> PAGEREF _Toc232580653 \h </w:instrText>
            </w:r>
            <w:r>
              <w:rPr>
                <w:webHidden/>
              </w:rPr>
            </w:r>
            <w:r>
              <w:rPr>
                <w:webHidden/>
              </w:rPr>
              <w:fldChar w:fldCharType="separate"/>
            </w:r>
            <w:r w:rsidR="00552FC6">
              <w:rPr>
                <w:webHidden/>
              </w:rPr>
              <w:t>174</w:t>
            </w:r>
            <w:r>
              <w:rPr>
                <w:webHidden/>
              </w:rPr>
              <w:fldChar w:fldCharType="end"/>
            </w:r>
          </w:hyperlink>
        </w:p>
        <w:p w14:paraId="57AA4667" w14:textId="078036B2" w:rsidR="00BB1F67" w:rsidRDefault="00BB1F67" w:rsidP="00F860C0">
          <w:pPr>
            <w:pStyle w:val="TDC2"/>
            <w:rPr>
              <w:rFonts w:asciiTheme="minorHAnsi" w:eastAsiaTheme="minorEastAsia" w:hAnsiTheme="minorHAnsi"/>
            </w:rPr>
          </w:pPr>
          <w:hyperlink w:anchor="_Toc232580659" w:history="1">
            <w:r w:rsidRPr="00EA33DE">
              <w:rPr>
                <w:rStyle w:val="Hipervnculo"/>
              </w:rPr>
              <w:t>7.5.</w:t>
            </w:r>
            <w:r w:rsidR="00F860C0">
              <w:rPr>
                <w:rFonts w:asciiTheme="minorHAnsi" w:eastAsiaTheme="minorEastAsia" w:hAnsiTheme="minorHAnsi"/>
              </w:rPr>
              <w:t xml:space="preserve"> </w:t>
            </w:r>
            <w:r w:rsidRPr="00EA33DE">
              <w:rPr>
                <w:rStyle w:val="Hipervnculo"/>
              </w:rPr>
              <w:t>Movimiento 5: los condicionantes estructurales: neoliberalismo, precariedad y psicopolítica</w:t>
            </w:r>
            <w:r>
              <w:rPr>
                <w:webHidden/>
              </w:rPr>
              <w:tab/>
            </w:r>
            <w:r>
              <w:rPr>
                <w:webHidden/>
              </w:rPr>
              <w:fldChar w:fldCharType="begin"/>
            </w:r>
            <w:r>
              <w:rPr>
                <w:webHidden/>
              </w:rPr>
              <w:instrText xml:space="preserve"> PAGEREF _Toc232580659 \h </w:instrText>
            </w:r>
            <w:r>
              <w:rPr>
                <w:webHidden/>
              </w:rPr>
            </w:r>
            <w:r>
              <w:rPr>
                <w:webHidden/>
              </w:rPr>
              <w:fldChar w:fldCharType="separate"/>
            </w:r>
            <w:r w:rsidR="00552FC6">
              <w:rPr>
                <w:webHidden/>
              </w:rPr>
              <w:t>178</w:t>
            </w:r>
            <w:r>
              <w:rPr>
                <w:webHidden/>
              </w:rPr>
              <w:fldChar w:fldCharType="end"/>
            </w:r>
          </w:hyperlink>
        </w:p>
        <w:p w14:paraId="6E9029BE" w14:textId="2528A843" w:rsidR="00BB1F67" w:rsidRDefault="00BB1F67" w:rsidP="00F860C0">
          <w:pPr>
            <w:pStyle w:val="TDC2"/>
            <w:rPr>
              <w:rFonts w:asciiTheme="minorHAnsi" w:eastAsiaTheme="minorEastAsia" w:hAnsiTheme="minorHAnsi"/>
            </w:rPr>
          </w:pPr>
          <w:hyperlink w:anchor="_Toc232580665" w:history="1">
            <w:r w:rsidRPr="00EA33DE">
              <w:rPr>
                <w:rStyle w:val="Hipervnculo"/>
                <w:lang w:val="es-MX"/>
              </w:rPr>
              <w:t>7.6.</w:t>
            </w:r>
            <w:r w:rsidR="00F860C0">
              <w:rPr>
                <w:rFonts w:asciiTheme="minorHAnsi" w:eastAsiaTheme="minorEastAsia" w:hAnsiTheme="minorHAnsi"/>
              </w:rPr>
              <w:t xml:space="preserve"> </w:t>
            </w:r>
            <w:r w:rsidRPr="00EA33DE">
              <w:rPr>
                <w:rStyle w:val="Hipervnculo"/>
              </w:rPr>
              <w:t>Movimiento 6:  paradojas y sofisticación del poder</w:t>
            </w:r>
            <w:r>
              <w:rPr>
                <w:webHidden/>
              </w:rPr>
              <w:tab/>
            </w:r>
            <w:r>
              <w:rPr>
                <w:webHidden/>
              </w:rPr>
              <w:fldChar w:fldCharType="begin"/>
            </w:r>
            <w:r>
              <w:rPr>
                <w:webHidden/>
              </w:rPr>
              <w:instrText xml:space="preserve"> PAGEREF _Toc232580665 \h </w:instrText>
            </w:r>
            <w:r>
              <w:rPr>
                <w:webHidden/>
              </w:rPr>
            </w:r>
            <w:r>
              <w:rPr>
                <w:webHidden/>
              </w:rPr>
              <w:fldChar w:fldCharType="separate"/>
            </w:r>
            <w:r w:rsidR="00552FC6">
              <w:rPr>
                <w:webHidden/>
              </w:rPr>
              <w:t>181</w:t>
            </w:r>
            <w:r>
              <w:rPr>
                <w:webHidden/>
              </w:rPr>
              <w:fldChar w:fldCharType="end"/>
            </w:r>
          </w:hyperlink>
        </w:p>
        <w:p w14:paraId="14298EDF" w14:textId="5E987041" w:rsidR="00BB1F67" w:rsidRDefault="00BB1F67" w:rsidP="00F860C0">
          <w:pPr>
            <w:pStyle w:val="TDC2"/>
            <w:rPr>
              <w:rFonts w:asciiTheme="minorHAnsi" w:eastAsiaTheme="minorEastAsia" w:hAnsiTheme="minorHAnsi"/>
            </w:rPr>
          </w:pPr>
          <w:hyperlink w:anchor="_Toc232580669" w:history="1">
            <w:r w:rsidRPr="00EA33DE">
              <w:rPr>
                <w:rStyle w:val="Hipervnculo"/>
              </w:rPr>
              <w:t>7.7.</w:t>
            </w:r>
            <w:r w:rsidR="00F860C0">
              <w:rPr>
                <w:rFonts w:asciiTheme="minorHAnsi" w:eastAsiaTheme="minorEastAsia" w:hAnsiTheme="minorHAnsi"/>
              </w:rPr>
              <w:t xml:space="preserve"> </w:t>
            </w:r>
            <w:r w:rsidRPr="00EA33DE">
              <w:rPr>
                <w:rStyle w:val="Hipervnculo"/>
              </w:rPr>
              <w:t>Desnaturalizar el presente: la genealogía como gesto crítico</w:t>
            </w:r>
            <w:r>
              <w:rPr>
                <w:webHidden/>
              </w:rPr>
              <w:tab/>
            </w:r>
            <w:r>
              <w:rPr>
                <w:webHidden/>
              </w:rPr>
              <w:fldChar w:fldCharType="begin"/>
            </w:r>
            <w:r>
              <w:rPr>
                <w:webHidden/>
              </w:rPr>
              <w:instrText xml:space="preserve"> PAGEREF _Toc232580669 \h </w:instrText>
            </w:r>
            <w:r>
              <w:rPr>
                <w:webHidden/>
              </w:rPr>
            </w:r>
            <w:r>
              <w:rPr>
                <w:webHidden/>
              </w:rPr>
              <w:fldChar w:fldCharType="separate"/>
            </w:r>
            <w:r w:rsidR="00552FC6">
              <w:rPr>
                <w:webHidden/>
              </w:rPr>
              <w:t>182</w:t>
            </w:r>
            <w:r>
              <w:rPr>
                <w:webHidden/>
              </w:rPr>
              <w:fldChar w:fldCharType="end"/>
            </w:r>
          </w:hyperlink>
        </w:p>
        <w:p w14:paraId="195AAB80" w14:textId="31BA69A9" w:rsidR="00BB1F67" w:rsidRDefault="00BB1F67" w:rsidP="00187C9E">
          <w:pPr>
            <w:pStyle w:val="TDC1"/>
            <w:rPr>
              <w:rFonts w:asciiTheme="minorHAnsi" w:eastAsiaTheme="minorEastAsia" w:hAnsiTheme="minorHAnsi"/>
            </w:rPr>
          </w:pPr>
          <w:hyperlink w:anchor="_Toc232580670" w:history="1">
            <w:r w:rsidRPr="00EA33DE">
              <w:rPr>
                <w:rStyle w:val="Hipervnculo"/>
              </w:rPr>
              <w:t>8.</w:t>
            </w:r>
            <w:r w:rsidR="00F860C0">
              <w:rPr>
                <w:rFonts w:asciiTheme="minorHAnsi" w:eastAsiaTheme="minorEastAsia" w:hAnsiTheme="minorHAnsi"/>
              </w:rPr>
              <w:t xml:space="preserve"> </w:t>
            </w:r>
            <w:r w:rsidRPr="00EA33DE">
              <w:rPr>
                <w:rStyle w:val="Hipervnculo"/>
              </w:rPr>
              <w:t>Conclusiones</w:t>
            </w:r>
            <w:r>
              <w:rPr>
                <w:webHidden/>
              </w:rPr>
              <w:tab/>
            </w:r>
            <w:r>
              <w:rPr>
                <w:webHidden/>
              </w:rPr>
              <w:fldChar w:fldCharType="begin"/>
            </w:r>
            <w:r>
              <w:rPr>
                <w:webHidden/>
              </w:rPr>
              <w:instrText xml:space="preserve"> PAGEREF _Toc232580670 \h </w:instrText>
            </w:r>
            <w:r>
              <w:rPr>
                <w:webHidden/>
              </w:rPr>
            </w:r>
            <w:r>
              <w:rPr>
                <w:webHidden/>
              </w:rPr>
              <w:fldChar w:fldCharType="separate"/>
            </w:r>
            <w:r w:rsidR="00552FC6">
              <w:rPr>
                <w:webHidden/>
              </w:rPr>
              <w:t>186</w:t>
            </w:r>
            <w:r>
              <w:rPr>
                <w:webHidden/>
              </w:rPr>
              <w:fldChar w:fldCharType="end"/>
            </w:r>
          </w:hyperlink>
        </w:p>
        <w:p w14:paraId="4672009A" w14:textId="23950434" w:rsidR="00BB1F67" w:rsidRDefault="00BB1F67" w:rsidP="00187C9E">
          <w:pPr>
            <w:pStyle w:val="TDC1"/>
            <w:rPr>
              <w:rFonts w:asciiTheme="minorHAnsi" w:eastAsiaTheme="minorEastAsia" w:hAnsiTheme="minorHAnsi"/>
            </w:rPr>
          </w:pPr>
          <w:hyperlink w:anchor="_Toc232580671" w:history="1">
            <w:r w:rsidRPr="00EA33DE">
              <w:rPr>
                <w:rStyle w:val="Hipervnculo"/>
              </w:rPr>
              <w:t>9.</w:t>
            </w:r>
            <w:r w:rsidR="00F860C0">
              <w:rPr>
                <w:rFonts w:asciiTheme="minorHAnsi" w:eastAsiaTheme="minorEastAsia" w:hAnsiTheme="minorHAnsi"/>
              </w:rPr>
              <w:t xml:space="preserve"> </w:t>
            </w:r>
            <w:r w:rsidRPr="00EA33DE">
              <w:rPr>
                <w:rStyle w:val="Hipervnculo"/>
              </w:rPr>
              <w:t>Recomendaciones</w:t>
            </w:r>
            <w:r>
              <w:rPr>
                <w:webHidden/>
              </w:rPr>
              <w:tab/>
            </w:r>
            <w:r>
              <w:rPr>
                <w:webHidden/>
              </w:rPr>
              <w:fldChar w:fldCharType="begin"/>
            </w:r>
            <w:r>
              <w:rPr>
                <w:webHidden/>
              </w:rPr>
              <w:instrText xml:space="preserve"> PAGEREF _Toc232580671 \h </w:instrText>
            </w:r>
            <w:r>
              <w:rPr>
                <w:webHidden/>
              </w:rPr>
            </w:r>
            <w:r>
              <w:rPr>
                <w:webHidden/>
              </w:rPr>
              <w:fldChar w:fldCharType="separate"/>
            </w:r>
            <w:r w:rsidR="00552FC6">
              <w:rPr>
                <w:webHidden/>
              </w:rPr>
              <w:t>190</w:t>
            </w:r>
            <w:r>
              <w:rPr>
                <w:webHidden/>
              </w:rPr>
              <w:fldChar w:fldCharType="end"/>
            </w:r>
          </w:hyperlink>
        </w:p>
        <w:p w14:paraId="1E8DE924" w14:textId="7167B5F1" w:rsidR="00BB1F67" w:rsidRDefault="00BB1F67" w:rsidP="00187C9E">
          <w:pPr>
            <w:pStyle w:val="TDC1"/>
            <w:rPr>
              <w:rFonts w:asciiTheme="minorHAnsi" w:eastAsiaTheme="minorEastAsia" w:hAnsiTheme="minorHAnsi"/>
            </w:rPr>
          </w:pPr>
          <w:hyperlink w:anchor="_Toc232580672" w:history="1">
            <w:r w:rsidRPr="00EA33DE">
              <w:rPr>
                <w:rStyle w:val="Hipervnculo"/>
              </w:rPr>
              <w:t>Referencias</w:t>
            </w:r>
            <w:r>
              <w:rPr>
                <w:webHidden/>
              </w:rPr>
              <w:tab/>
            </w:r>
            <w:r>
              <w:rPr>
                <w:webHidden/>
              </w:rPr>
              <w:fldChar w:fldCharType="begin"/>
            </w:r>
            <w:r>
              <w:rPr>
                <w:webHidden/>
              </w:rPr>
              <w:instrText xml:space="preserve"> PAGEREF _Toc232580672 \h </w:instrText>
            </w:r>
            <w:r>
              <w:rPr>
                <w:webHidden/>
              </w:rPr>
            </w:r>
            <w:r>
              <w:rPr>
                <w:webHidden/>
              </w:rPr>
              <w:fldChar w:fldCharType="separate"/>
            </w:r>
            <w:r w:rsidR="00552FC6">
              <w:rPr>
                <w:webHidden/>
              </w:rPr>
              <w:t>194</w:t>
            </w:r>
            <w:r>
              <w:rPr>
                <w:webHidden/>
              </w:rPr>
              <w:fldChar w:fldCharType="end"/>
            </w:r>
          </w:hyperlink>
        </w:p>
        <w:p w14:paraId="6E29125C" w14:textId="4535D1B6" w:rsidR="00E16CA7" w:rsidRDefault="000E5B14" w:rsidP="003D4A80">
          <w:pPr>
            <w:ind w:firstLine="142"/>
            <w:rPr>
              <w:rFonts w:cs="Times New Roman"/>
            </w:rPr>
          </w:pPr>
          <w:r w:rsidRPr="00556A8B">
            <w:rPr>
              <w:rFonts w:cs="Times New Roman"/>
            </w:rPr>
            <w:fldChar w:fldCharType="end"/>
          </w:r>
        </w:p>
        <w:p w14:paraId="784E7099" w14:textId="20295EDD" w:rsidR="000E5B14" w:rsidRPr="00556A8B" w:rsidRDefault="00000000" w:rsidP="00073580">
          <w:pPr>
            <w:ind w:firstLine="0"/>
            <w:rPr>
              <w:rFonts w:cs="Times New Roman"/>
            </w:rPr>
          </w:pPr>
        </w:p>
      </w:sdtContent>
    </w:sdt>
    <w:p w14:paraId="74429E4E" w14:textId="77777777" w:rsidR="000E5B14" w:rsidRPr="00556A8B" w:rsidRDefault="000E5B14" w:rsidP="00073580">
      <w:pPr>
        <w:jc w:val="center"/>
        <w:rPr>
          <w:rFonts w:cs="Times New Roman"/>
        </w:rPr>
      </w:pPr>
      <w:r w:rsidRPr="00556A8B">
        <w:rPr>
          <w:rFonts w:cs="Times New Roman"/>
        </w:rPr>
        <w:t xml:space="preserve"> </w:t>
      </w:r>
    </w:p>
    <w:p w14:paraId="4D941A8E" w14:textId="77777777" w:rsidR="00BB1F67" w:rsidRDefault="00BB1F67" w:rsidP="00710FAD">
      <w:pPr>
        <w:ind w:firstLine="0"/>
        <w:jc w:val="center"/>
        <w:rPr>
          <w:rFonts w:cs="Times New Roman"/>
          <w:b/>
        </w:rPr>
      </w:pPr>
    </w:p>
    <w:p w14:paraId="2D09181A" w14:textId="77777777" w:rsidR="00BB1F67" w:rsidRDefault="00BB1F67" w:rsidP="00710FAD">
      <w:pPr>
        <w:ind w:firstLine="0"/>
        <w:jc w:val="center"/>
        <w:rPr>
          <w:rFonts w:cs="Times New Roman"/>
          <w:b/>
        </w:rPr>
      </w:pPr>
    </w:p>
    <w:p w14:paraId="67C257E0" w14:textId="77777777" w:rsidR="003D4A80" w:rsidRDefault="003D4A80" w:rsidP="00710FAD">
      <w:pPr>
        <w:ind w:firstLine="0"/>
        <w:jc w:val="center"/>
        <w:rPr>
          <w:rFonts w:cs="Times New Roman"/>
          <w:b/>
        </w:rPr>
      </w:pPr>
      <w:r>
        <w:rPr>
          <w:rFonts w:cs="Times New Roman"/>
          <w:b/>
        </w:rPr>
        <w:br/>
      </w:r>
    </w:p>
    <w:p w14:paraId="448DBB4A" w14:textId="77777777" w:rsidR="00F860C0" w:rsidRDefault="00F860C0">
      <w:pPr>
        <w:spacing w:after="160" w:line="278" w:lineRule="auto"/>
        <w:ind w:firstLine="0"/>
        <w:contextualSpacing w:val="0"/>
        <w:rPr>
          <w:rFonts w:cs="Times New Roman"/>
          <w:b/>
        </w:rPr>
      </w:pPr>
      <w:r>
        <w:rPr>
          <w:rFonts w:cs="Times New Roman"/>
          <w:b/>
        </w:rPr>
        <w:br w:type="page"/>
      </w:r>
    </w:p>
    <w:p w14:paraId="7117ECD2" w14:textId="7977DA5E" w:rsidR="000E5B14" w:rsidRDefault="000E5B14" w:rsidP="00710FAD">
      <w:pPr>
        <w:ind w:firstLine="0"/>
        <w:jc w:val="center"/>
        <w:rPr>
          <w:rFonts w:cs="Times New Roman"/>
          <w:b/>
        </w:rPr>
      </w:pPr>
      <w:r w:rsidRPr="00556A8B">
        <w:rPr>
          <w:rFonts w:cs="Times New Roman"/>
          <w:b/>
        </w:rPr>
        <w:lastRenderedPageBreak/>
        <w:t xml:space="preserve">Lista de </w:t>
      </w:r>
      <w:r w:rsidR="00187C9E">
        <w:rPr>
          <w:rFonts w:cs="Times New Roman"/>
          <w:b/>
        </w:rPr>
        <w:t>Figuras</w:t>
      </w:r>
    </w:p>
    <w:p w14:paraId="4458759F" w14:textId="77777777" w:rsidR="00187C9E" w:rsidRPr="00556A8B" w:rsidRDefault="00187C9E" w:rsidP="00710FAD">
      <w:pPr>
        <w:ind w:firstLine="0"/>
        <w:jc w:val="center"/>
        <w:rPr>
          <w:rFonts w:cs="Times New Roman"/>
          <w:b/>
        </w:rPr>
      </w:pPr>
    </w:p>
    <w:p w14:paraId="52989F75" w14:textId="0171247B" w:rsidR="00187C9E" w:rsidRPr="00187C9E" w:rsidRDefault="00E5599C" w:rsidP="00187C9E">
      <w:pPr>
        <w:pStyle w:val="TDC1"/>
        <w:rPr>
          <w:rFonts w:asciiTheme="minorHAnsi" w:eastAsiaTheme="minorEastAsia" w:hAnsiTheme="minorHAnsi"/>
          <w:lang w:val="es-ES" w:eastAsia="es-ES_tradnl"/>
        </w:rPr>
      </w:pPr>
      <w:r w:rsidRPr="00556A8B">
        <w:rPr>
          <w:rFonts w:cs="Times New Roman"/>
        </w:rPr>
        <w:fldChar w:fldCharType="begin"/>
      </w:r>
      <w:r w:rsidRPr="00556A8B">
        <w:rPr>
          <w:rFonts w:cs="Times New Roman"/>
        </w:rPr>
        <w:instrText xml:space="preserve"> TOC \t "Tablas;1" </w:instrText>
      </w:r>
      <w:r w:rsidRPr="00556A8B">
        <w:rPr>
          <w:rFonts w:cs="Times New Roman"/>
        </w:rPr>
        <w:fldChar w:fldCharType="separate"/>
      </w:r>
      <w:r w:rsidR="00187C9E" w:rsidRPr="00187C9E">
        <w:t>Figura 1. Grafo de asociaciones discursivas</w:t>
      </w:r>
      <w:r w:rsidR="00187C9E" w:rsidRPr="00187C9E">
        <w:tab/>
      </w:r>
      <w:r w:rsidR="00187C9E" w:rsidRPr="00187C9E">
        <w:fldChar w:fldCharType="begin"/>
      </w:r>
      <w:r w:rsidR="00187C9E" w:rsidRPr="00187C9E">
        <w:instrText xml:space="preserve"> PAGEREF _Toc235178350 \h </w:instrText>
      </w:r>
      <w:r w:rsidR="00187C9E" w:rsidRPr="00187C9E">
        <w:fldChar w:fldCharType="separate"/>
      </w:r>
      <w:r w:rsidR="00552FC6">
        <w:t>106</w:t>
      </w:r>
      <w:r w:rsidR="00187C9E" w:rsidRPr="00187C9E">
        <w:fldChar w:fldCharType="end"/>
      </w:r>
    </w:p>
    <w:p w14:paraId="442A31A2" w14:textId="1A812CF1" w:rsidR="00187C9E" w:rsidRPr="00187C9E" w:rsidRDefault="00187C9E" w:rsidP="00187C9E">
      <w:pPr>
        <w:pStyle w:val="TDC1"/>
        <w:rPr>
          <w:rFonts w:asciiTheme="minorHAnsi" w:eastAsiaTheme="minorEastAsia" w:hAnsiTheme="minorHAnsi"/>
          <w:lang w:val="es-ES" w:eastAsia="es-ES_tradnl"/>
        </w:rPr>
      </w:pPr>
      <w:r w:rsidRPr="00187C9E">
        <w:t>Figura 2. Matriz cruzada de categorías y ejes discursivos</w:t>
      </w:r>
      <w:r w:rsidRPr="00187C9E">
        <w:tab/>
      </w:r>
      <w:r w:rsidRPr="00187C9E">
        <w:fldChar w:fldCharType="begin"/>
      </w:r>
      <w:r w:rsidRPr="00187C9E">
        <w:instrText xml:space="preserve"> PAGEREF _Toc235178351 \h </w:instrText>
      </w:r>
      <w:r w:rsidRPr="00187C9E">
        <w:fldChar w:fldCharType="separate"/>
      </w:r>
      <w:r w:rsidR="00552FC6">
        <w:t>112</w:t>
      </w:r>
      <w:r w:rsidRPr="00187C9E">
        <w:fldChar w:fldCharType="end"/>
      </w:r>
    </w:p>
    <w:p w14:paraId="21BEDD6F" w14:textId="3B6C9A94" w:rsidR="00187C9E" w:rsidRPr="00187C9E" w:rsidRDefault="00187C9E" w:rsidP="00187C9E">
      <w:pPr>
        <w:pStyle w:val="TDC1"/>
        <w:rPr>
          <w:rFonts w:asciiTheme="minorHAnsi" w:eastAsiaTheme="minorEastAsia" w:hAnsiTheme="minorHAnsi"/>
          <w:lang w:val="es-ES" w:eastAsia="es-ES_tradnl"/>
        </w:rPr>
      </w:pPr>
      <w:r w:rsidRPr="00187C9E">
        <w:t>Figura 3. Grilla analítica final</w:t>
      </w:r>
      <w:r w:rsidRPr="00187C9E">
        <w:tab/>
      </w:r>
      <w:r w:rsidRPr="00187C9E">
        <w:fldChar w:fldCharType="begin"/>
      </w:r>
      <w:r w:rsidRPr="00187C9E">
        <w:instrText xml:space="preserve"> PAGEREF _Toc235178352 \h </w:instrText>
      </w:r>
      <w:r w:rsidRPr="00187C9E">
        <w:fldChar w:fldCharType="separate"/>
      </w:r>
      <w:r w:rsidR="00552FC6">
        <w:t>114</w:t>
      </w:r>
      <w:r w:rsidRPr="00187C9E">
        <w:fldChar w:fldCharType="end"/>
      </w:r>
    </w:p>
    <w:p w14:paraId="3241AD0A" w14:textId="649C8F77" w:rsidR="00187C9E" w:rsidRPr="00187C9E" w:rsidRDefault="00187C9E" w:rsidP="00187C9E">
      <w:pPr>
        <w:pStyle w:val="TDC1"/>
        <w:rPr>
          <w:rFonts w:asciiTheme="minorHAnsi" w:eastAsiaTheme="minorEastAsia" w:hAnsiTheme="minorHAnsi"/>
          <w:lang w:val="es-ES" w:eastAsia="es-ES_tradnl"/>
        </w:rPr>
      </w:pPr>
      <w:r w:rsidRPr="00187C9E">
        <w:t>Figura 4. Esquema actancial del dispositivo psi</w:t>
      </w:r>
      <w:r w:rsidRPr="00187C9E">
        <w:tab/>
      </w:r>
      <w:r w:rsidRPr="00187C9E">
        <w:fldChar w:fldCharType="begin"/>
      </w:r>
      <w:r w:rsidRPr="00187C9E">
        <w:instrText xml:space="preserve"> PAGEREF _Toc235178353 \h </w:instrText>
      </w:r>
      <w:r w:rsidRPr="00187C9E">
        <w:fldChar w:fldCharType="separate"/>
      </w:r>
      <w:r w:rsidR="00552FC6">
        <w:t>125</w:t>
      </w:r>
      <w:r w:rsidRPr="00187C9E">
        <w:fldChar w:fldCharType="end"/>
      </w:r>
    </w:p>
    <w:p w14:paraId="187F7CF1" w14:textId="1C981793" w:rsidR="000E5B14" w:rsidRPr="00556A8B" w:rsidRDefault="00E5599C" w:rsidP="00073580">
      <w:pPr>
        <w:jc w:val="center"/>
        <w:rPr>
          <w:rFonts w:cs="Times New Roman"/>
        </w:rPr>
      </w:pPr>
      <w:r w:rsidRPr="00556A8B">
        <w:rPr>
          <w:rFonts w:cs="Times New Roman"/>
        </w:rPr>
        <w:fldChar w:fldCharType="end"/>
      </w:r>
    </w:p>
    <w:p w14:paraId="6DE8EDE2" w14:textId="77777777" w:rsidR="000E5B14" w:rsidRPr="00556A8B" w:rsidRDefault="000E5B14" w:rsidP="00073580">
      <w:pPr>
        <w:jc w:val="center"/>
        <w:rPr>
          <w:rFonts w:cs="Times New Roman"/>
        </w:rPr>
      </w:pPr>
    </w:p>
    <w:p w14:paraId="1BFAEA1E" w14:textId="77777777" w:rsidR="000E5B14" w:rsidRPr="00556A8B" w:rsidRDefault="000E5B14" w:rsidP="00073580">
      <w:pPr>
        <w:tabs>
          <w:tab w:val="left" w:pos="2842"/>
        </w:tabs>
        <w:rPr>
          <w:rFonts w:cs="Times New Roman"/>
        </w:rPr>
      </w:pPr>
      <w:r w:rsidRPr="00556A8B">
        <w:rPr>
          <w:rFonts w:cs="Times New Roman"/>
        </w:rPr>
        <w:tab/>
      </w:r>
    </w:p>
    <w:p w14:paraId="03F453D9" w14:textId="77777777" w:rsidR="000E5B14" w:rsidRPr="00556A8B" w:rsidRDefault="000E5B14" w:rsidP="00073580">
      <w:pPr>
        <w:jc w:val="center"/>
        <w:rPr>
          <w:rFonts w:cs="Times New Roman"/>
        </w:rPr>
      </w:pPr>
    </w:p>
    <w:p w14:paraId="4F41623B" w14:textId="77777777" w:rsidR="000E5B14" w:rsidRPr="00556A8B" w:rsidRDefault="000E5B14" w:rsidP="00073580">
      <w:pPr>
        <w:jc w:val="center"/>
        <w:rPr>
          <w:rFonts w:cs="Times New Roman"/>
        </w:rPr>
      </w:pPr>
    </w:p>
    <w:p w14:paraId="1A624654" w14:textId="77777777" w:rsidR="000E5B14" w:rsidRPr="00556A8B" w:rsidRDefault="000E5B14" w:rsidP="00073580">
      <w:pPr>
        <w:jc w:val="center"/>
        <w:rPr>
          <w:rFonts w:cs="Times New Roman"/>
        </w:rPr>
      </w:pPr>
    </w:p>
    <w:p w14:paraId="4730D6A3" w14:textId="77777777" w:rsidR="000E5B14" w:rsidRPr="00556A8B" w:rsidRDefault="000E5B14" w:rsidP="00073580">
      <w:pPr>
        <w:jc w:val="center"/>
        <w:rPr>
          <w:rFonts w:cs="Times New Roman"/>
        </w:rPr>
      </w:pPr>
    </w:p>
    <w:p w14:paraId="5F49E625" w14:textId="77777777" w:rsidR="004F3F26" w:rsidRPr="00556A8B" w:rsidRDefault="004F3F26" w:rsidP="00073580">
      <w:pPr>
        <w:jc w:val="center"/>
        <w:rPr>
          <w:rFonts w:cs="Times New Roman"/>
        </w:rPr>
      </w:pPr>
    </w:p>
    <w:p w14:paraId="37A7080D" w14:textId="77777777" w:rsidR="000E5B14" w:rsidRPr="00556A8B" w:rsidRDefault="000E5B14" w:rsidP="00073580">
      <w:pPr>
        <w:jc w:val="center"/>
        <w:rPr>
          <w:rFonts w:cs="Times New Roman"/>
        </w:rPr>
      </w:pPr>
    </w:p>
    <w:p w14:paraId="1DECB696" w14:textId="6565D569" w:rsidR="00187C9E" w:rsidRDefault="00187C9E">
      <w:pPr>
        <w:spacing w:after="160" w:line="278" w:lineRule="auto"/>
        <w:ind w:firstLine="0"/>
        <w:contextualSpacing w:val="0"/>
        <w:rPr>
          <w:rFonts w:cs="Times New Roman"/>
        </w:rPr>
      </w:pPr>
      <w:r>
        <w:rPr>
          <w:rFonts w:cs="Times New Roman"/>
        </w:rPr>
        <w:br w:type="page"/>
      </w:r>
    </w:p>
    <w:p w14:paraId="69A6D3E1" w14:textId="77777777" w:rsidR="000E5B14" w:rsidRPr="00556A8B" w:rsidRDefault="000E5B14" w:rsidP="00710FAD">
      <w:pPr>
        <w:pStyle w:val="Ttulo1"/>
        <w:spacing w:line="360" w:lineRule="auto"/>
        <w:ind w:firstLine="0"/>
        <w:rPr>
          <w:rFonts w:cs="Times New Roman"/>
          <w:szCs w:val="24"/>
        </w:rPr>
      </w:pPr>
      <w:bookmarkStart w:id="15" w:name="_Toc232580549"/>
      <w:r w:rsidRPr="00556A8B">
        <w:rPr>
          <w:rFonts w:cs="Times New Roman"/>
          <w:szCs w:val="24"/>
        </w:rPr>
        <w:lastRenderedPageBreak/>
        <w:t>Resumen</w:t>
      </w:r>
      <w:bookmarkEnd w:id="15"/>
    </w:p>
    <w:p w14:paraId="73B48520" w14:textId="77777777" w:rsidR="000E5B14" w:rsidRPr="00556A8B" w:rsidRDefault="000E5B14" w:rsidP="00357B2F">
      <w:pPr>
        <w:ind w:firstLine="0"/>
      </w:pPr>
    </w:p>
    <w:p w14:paraId="3F17480A" w14:textId="7F581200" w:rsidR="007A3896" w:rsidRPr="00556A8B" w:rsidRDefault="007A3896" w:rsidP="00357B2F">
      <w:r w:rsidRPr="00556A8B">
        <w:t>La presente investigación analiza cómo las prácticas discursivas de la psicología participan en la producción de formas de subjetividad consideradas saludables en el presente histórico. Desde una perspectiva genealógic</w:t>
      </w:r>
      <w:r w:rsidR="0077250D">
        <w:t>a</w:t>
      </w:r>
      <w:r w:rsidRPr="00556A8B">
        <w:t xml:space="preserve"> inspirada en Michel Foucault, se asume que la salud mental no constituye una realidad neutra ni meramente clínica, sino un régimen de verdad que articula saber, poder y gobierno de la vida. El estudio adopta un enfoque cualitativo con diseño de análisis estructural de contenido en clave postestructuralista, apoyado en el dispositivo analítico del “caleidoscopio discursivo”, aplicado a entrevistas en profundidad con profesionales de la psicología.</w:t>
      </w:r>
    </w:p>
    <w:p w14:paraId="019ED4C5" w14:textId="5CC04D10" w:rsidR="007A3896" w:rsidRPr="00556A8B" w:rsidRDefault="007A3896" w:rsidP="00357B2F">
      <w:pPr>
        <w:ind w:firstLine="708"/>
      </w:pPr>
      <w:r w:rsidRPr="00556A8B">
        <w:t>Los resultados evidencian que la salud mental opera como dispositivo de producción de subjetividad mediante tres operadores centrales: el diagnóstico como bisagra entre saber y poder; los manuales clasificatorios como tecnologías de estandarización; y el bienestar como imperativo normativo. Estos elementos configuran una gramática discursiva centrada en adaptabilidad, funcionalidad, autorregulación y resiliencia, que desplaza progresivamente el malestar hacia la esfera de la responsabilidad individual, incluso en contextos estructuralmente adversos.</w:t>
      </w:r>
    </w:p>
    <w:p w14:paraId="45554D87" w14:textId="77777777" w:rsidR="007A3896" w:rsidRPr="00556A8B" w:rsidRDefault="007A3896" w:rsidP="00357B2F">
      <w:pPr>
        <w:ind w:firstLine="708"/>
      </w:pPr>
      <w:r w:rsidRPr="00556A8B">
        <w:t>Se concluye que la psicología contemporánea actúa simultáneamente como campo de cuidado y como tecnología de gubernamentalidad, produciendo sujetos orientados a la autooptimización. La investigación no propone un modelo alternativo de salud mental, sino que desnaturaliza su configuración actual, abriendo un espacio crítico para imaginar otras formas de acompañar el sufrimiento humano.</w:t>
      </w:r>
    </w:p>
    <w:p w14:paraId="748C0437" w14:textId="77777777" w:rsidR="007A3896" w:rsidRPr="00556A8B" w:rsidRDefault="007A3896" w:rsidP="00073580">
      <w:pPr>
        <w:rPr>
          <w:rFonts w:cs="Times New Roman"/>
        </w:rPr>
      </w:pPr>
    </w:p>
    <w:p w14:paraId="0AEC9853" w14:textId="3A8AA4EC" w:rsidR="007A3896" w:rsidRPr="00556A8B" w:rsidRDefault="007A3896" w:rsidP="00073580">
      <w:pPr>
        <w:ind w:firstLine="0"/>
        <w:rPr>
          <w:rFonts w:cs="Times New Roman"/>
        </w:rPr>
      </w:pPr>
      <w:r w:rsidRPr="00556A8B">
        <w:rPr>
          <w:rFonts w:cs="Times New Roman"/>
          <w:b/>
          <w:bCs/>
        </w:rPr>
        <w:t>Palabras clave</w:t>
      </w:r>
      <w:r w:rsidRPr="00556A8B">
        <w:rPr>
          <w:rFonts w:cs="Times New Roman"/>
        </w:rPr>
        <w:t>: salud mental, prácticas discursivas, subjetividad, gubernamentalidad, psicociencias, genealogía.</w:t>
      </w:r>
    </w:p>
    <w:p w14:paraId="389B66B9" w14:textId="77777777" w:rsidR="003254F8" w:rsidRPr="00556A8B" w:rsidRDefault="000E5B14" w:rsidP="00073580">
      <w:pPr>
        <w:rPr>
          <w:rFonts w:cs="Times New Roman"/>
          <w:b/>
        </w:rPr>
        <w:sectPr w:rsidR="003254F8" w:rsidRPr="00556A8B" w:rsidSect="000E5B14">
          <w:headerReference w:type="default" r:id="rId14"/>
          <w:type w:val="nextColumn"/>
          <w:pgSz w:w="12240" w:h="15840"/>
          <w:pgMar w:top="1418" w:right="1418" w:bottom="1418" w:left="1418" w:header="709" w:footer="709" w:gutter="0"/>
          <w:cols w:space="708"/>
          <w:docGrid w:linePitch="360"/>
        </w:sectPr>
      </w:pPr>
      <w:r w:rsidRPr="00556A8B">
        <w:rPr>
          <w:rFonts w:cs="Times New Roman"/>
          <w:b/>
        </w:rPr>
        <w:br w:type="page"/>
      </w:r>
    </w:p>
    <w:p w14:paraId="6FDAD584" w14:textId="3CC098CE" w:rsidR="000E5B14" w:rsidRPr="00556A8B" w:rsidRDefault="000E5B14" w:rsidP="00073580">
      <w:pPr>
        <w:pStyle w:val="Ttulo1"/>
        <w:spacing w:line="360" w:lineRule="auto"/>
        <w:rPr>
          <w:rFonts w:cs="Times New Roman"/>
          <w:szCs w:val="24"/>
          <w:lang w:val="en-US"/>
        </w:rPr>
      </w:pPr>
      <w:bookmarkStart w:id="16" w:name="_Toc232580550"/>
      <w:r w:rsidRPr="00556A8B">
        <w:rPr>
          <w:rFonts w:cs="Times New Roman"/>
          <w:szCs w:val="24"/>
          <w:lang w:val="en-US"/>
        </w:rPr>
        <w:t>Abstract</w:t>
      </w:r>
      <w:bookmarkEnd w:id="16"/>
    </w:p>
    <w:p w14:paraId="393E0DE2" w14:textId="77777777" w:rsidR="000E5B14" w:rsidRPr="00556A8B" w:rsidRDefault="000E5B14" w:rsidP="00073580">
      <w:pPr>
        <w:rPr>
          <w:rFonts w:cs="Times New Roman"/>
          <w:lang w:val="en-US"/>
        </w:rPr>
      </w:pPr>
    </w:p>
    <w:p w14:paraId="778AA5B3" w14:textId="77777777" w:rsidR="000E5B14" w:rsidRPr="00556A8B" w:rsidRDefault="000E5B14" w:rsidP="00357B2F">
      <w:pPr>
        <w:rPr>
          <w:lang w:val="en-US"/>
        </w:rPr>
      </w:pPr>
    </w:p>
    <w:p w14:paraId="0B2D773F" w14:textId="77777777" w:rsidR="007A3896" w:rsidRPr="00556A8B" w:rsidRDefault="007A3896" w:rsidP="00357B2F">
      <w:pPr>
        <w:rPr>
          <w:lang w:val="en-US"/>
        </w:rPr>
      </w:pPr>
      <w:r w:rsidRPr="00556A8B">
        <w:rPr>
          <w:lang w:val="en-US"/>
        </w:rPr>
        <w:t>This doctoral research examines how psychological discursive practices contribute to the production of forms of subjectivity considered healthy in the present historical configuration. Drawing on a genealogical-archaeological perspective inspired by Michel Foucault, mental health is approached not as a neutral or merely clinical reality, but as a regime of truth articulating knowledge, power, and the government of life. The study adopts a qualitative design based on poststructuralist structural content analysis, using the “discursive kaleidoscope” as an analytical device applied to in-depth interviews with psychology professionals.</w:t>
      </w:r>
    </w:p>
    <w:p w14:paraId="6A445F96" w14:textId="77777777" w:rsidR="007A3896" w:rsidRPr="00556A8B" w:rsidRDefault="007A3896" w:rsidP="00357B2F">
      <w:pPr>
        <w:rPr>
          <w:lang w:val="en-US"/>
        </w:rPr>
      </w:pPr>
      <w:r w:rsidRPr="00556A8B">
        <w:rPr>
          <w:lang w:val="en-US"/>
        </w:rPr>
        <w:t>Findings indicate that mental health operates as a dispositif of subjectivity production through three central operators: diagnosis as a hinge between knowledge and power; diagnostic manuals as technologies of global standardization; and well-being as a normative imperative. Together, these elements configure a discursive grammar centered on adaptability, functionality, self-regulation, and resilience, progressively relocating distress to the sphere of individual responsibility, even within structurally adverse contexts.</w:t>
      </w:r>
    </w:p>
    <w:p w14:paraId="76659C38" w14:textId="2B00C85C" w:rsidR="007A3896" w:rsidRPr="00556A8B" w:rsidRDefault="007A3896" w:rsidP="00357B2F">
      <w:pPr>
        <w:rPr>
          <w:lang w:val="en-US"/>
        </w:rPr>
      </w:pPr>
      <w:r w:rsidRPr="00556A8B">
        <w:rPr>
          <w:lang w:val="en-US"/>
        </w:rPr>
        <w:t>The study concludes that contemporary psychology functions simultaneously as a field of care and as a technology of governmentality, fostering self-optimizing subjects aligned with neoliberal rationalities. Rather than proposing an alternative model of mental health, this research seeks to denaturalize its current configuration and open a critical space for imagining other ways of accompanying human suffering.</w:t>
      </w:r>
    </w:p>
    <w:p w14:paraId="571BF378" w14:textId="77777777" w:rsidR="007A3896" w:rsidRPr="00556A8B" w:rsidRDefault="007A3896" w:rsidP="00073580">
      <w:pPr>
        <w:ind w:firstLine="708"/>
        <w:rPr>
          <w:rFonts w:cs="Times New Roman"/>
          <w:lang w:val="en-US"/>
        </w:rPr>
      </w:pPr>
      <w:r w:rsidRPr="00556A8B">
        <w:rPr>
          <w:rFonts w:cs="Times New Roman"/>
          <w:b/>
          <w:bCs/>
          <w:lang w:val="en-US"/>
        </w:rPr>
        <w:t>Keywords:</w:t>
      </w:r>
      <w:r w:rsidRPr="00556A8B">
        <w:rPr>
          <w:rFonts w:cs="Times New Roman"/>
          <w:lang w:val="en-US"/>
        </w:rPr>
        <w:t xml:space="preserve"> mental health, discursive practices, subjectivity, governmentality, psy-sciences, genealogy.</w:t>
      </w:r>
    </w:p>
    <w:p w14:paraId="348CAC3D" w14:textId="77777777" w:rsidR="000E5B14" w:rsidRPr="00556A8B" w:rsidRDefault="000E5B14" w:rsidP="00073580">
      <w:pPr>
        <w:ind w:firstLine="0"/>
        <w:rPr>
          <w:rFonts w:cs="Times New Roman"/>
          <w:lang w:val="en-US"/>
        </w:rPr>
      </w:pPr>
    </w:p>
    <w:p w14:paraId="469BC868" w14:textId="77777777" w:rsidR="001411D5" w:rsidRDefault="001411D5">
      <w:pPr>
        <w:spacing w:after="160" w:line="278" w:lineRule="auto"/>
        <w:ind w:firstLine="0"/>
        <w:contextualSpacing w:val="0"/>
        <w:rPr>
          <w:rFonts w:cs="Times New Roman"/>
          <w:lang w:val="en-US"/>
        </w:rPr>
        <w:sectPr w:rsidR="001411D5" w:rsidSect="005C2961">
          <w:headerReference w:type="default" r:id="rId15"/>
          <w:type w:val="continuous"/>
          <w:pgSz w:w="12240" w:h="15840"/>
          <w:pgMar w:top="1418" w:right="1418" w:bottom="1418" w:left="1418" w:header="709" w:footer="709" w:gutter="0"/>
          <w:cols w:space="708"/>
          <w:docGrid w:linePitch="360"/>
        </w:sectPr>
      </w:pPr>
      <w:r>
        <w:rPr>
          <w:rFonts w:cs="Times New Roman"/>
          <w:lang w:val="en-US"/>
        </w:rPr>
        <w:br w:type="page"/>
      </w:r>
    </w:p>
    <w:p w14:paraId="13B87F8C" w14:textId="1DB107DE" w:rsidR="001411D5" w:rsidRDefault="001411D5">
      <w:pPr>
        <w:spacing w:after="160" w:line="278" w:lineRule="auto"/>
        <w:ind w:firstLine="0"/>
        <w:contextualSpacing w:val="0"/>
        <w:rPr>
          <w:rFonts w:cs="Times New Roman"/>
          <w:lang w:val="en-US"/>
        </w:rPr>
      </w:pPr>
    </w:p>
    <w:p w14:paraId="6A18F2C8" w14:textId="77777777" w:rsidR="000E5B14" w:rsidRPr="00556A8B" w:rsidRDefault="000E5B14" w:rsidP="00073580">
      <w:pPr>
        <w:pStyle w:val="Ttulo1"/>
        <w:spacing w:line="360" w:lineRule="auto"/>
        <w:ind w:firstLine="0"/>
      </w:pPr>
      <w:bookmarkStart w:id="17" w:name="_Toc437858002"/>
      <w:bookmarkStart w:id="18" w:name="_Toc437858423"/>
      <w:bookmarkStart w:id="19" w:name="_Toc440985125"/>
      <w:bookmarkStart w:id="20" w:name="_Toc232580551"/>
      <w:r w:rsidRPr="00556A8B">
        <w:t>Introducción</w:t>
      </w:r>
      <w:bookmarkEnd w:id="17"/>
      <w:bookmarkEnd w:id="18"/>
      <w:bookmarkEnd w:id="19"/>
      <w:bookmarkEnd w:id="20"/>
    </w:p>
    <w:p w14:paraId="10848833" w14:textId="77777777" w:rsidR="00C22D9D" w:rsidRPr="00556A8B" w:rsidRDefault="00C22D9D" w:rsidP="00357B2F"/>
    <w:p w14:paraId="0C3970A2" w14:textId="77777777" w:rsidR="00E73E90" w:rsidRPr="00556A8B" w:rsidRDefault="00E73E90" w:rsidP="00357B2F">
      <w:pPr>
        <w:spacing w:after="160"/>
      </w:pPr>
      <w:r w:rsidRPr="00556A8B">
        <w:t>La salud mental se ha consolidado en las últimas décadas como uno de los campos de mayor visibilidad, expansión y controversia en el debate contemporáneo. En lo que aquí se denomina presente histórico, entendido no como mera referencia cronológica sino como configuración discursiva en la que convergen múltiples sedimentaciones, desplazamientos y rearticulaciones de saber, se observa una proliferación sostenida de discursos, políticas públicas, intervenciones clínicas y tecnologías orientadas a promover el bienestar psicológico, prevenir trastornos y optimizar el funcionamiento emocional de individuos y poblaciones. Este despliegue no constituye un fenómeno aislado ni accidental. Responde a transformaciones profundas en las formas de comprender, nombrar y gestionar el sufrimiento humano, así como a nuevas racionalidades que articulan ciencia, política y economía en la administración de la vida psíquica.</w:t>
      </w:r>
    </w:p>
    <w:p w14:paraId="12A2BE7C" w14:textId="77777777" w:rsidR="00E73E90" w:rsidRPr="00556A8B" w:rsidRDefault="00E73E90" w:rsidP="00357B2F">
      <w:pPr>
        <w:spacing w:after="160"/>
      </w:pPr>
      <w:r w:rsidRPr="00556A8B">
        <w:t>En este escenario, la salud mental ha dejado de circunscribirse al ámbito estrictamente clínico para convertirse en un eje transversal que atraviesa la educación, el trabajo, la crianza, los medios de comunicación y la vida cotidiana. Conceptos como bienestar, resiliencia, autorregulación emocional, adaptación o equilibrio circulan hoy con notable naturalidad, configurando expectativas sociales acerca de lo que significa vivir bien, ser funcional o mantener una vida psicológicamente saludable. Esta expansión implica que amplias dimensiones de la experiencia humana sean interpretadas bajo lenguajes técnicos provenientes de las psicociencias, generando marcos específicos de autoevaluación y autoconducción.</w:t>
      </w:r>
    </w:p>
    <w:p w14:paraId="528B30D1" w14:textId="5E4D99F3" w:rsidR="000E4CF7" w:rsidRPr="000E4CF7" w:rsidRDefault="000E4CF7" w:rsidP="000E4CF7">
      <w:pPr>
        <w:spacing w:after="160"/>
      </w:pPr>
      <w:r w:rsidRPr="000E4CF7">
        <w:t>Sin embargo, el creciente protagonismo de la salud mental rara vez es interrogado críticamente. Esta investigación se sitúa precisamente en ese silencio, y lo hace a través de cuatro tensiones analíticas que orientan la problematización</w:t>
      </w:r>
      <w:r>
        <w:t xml:space="preserve">, </w:t>
      </w:r>
      <w:r w:rsidRPr="000E4CF7">
        <w:t>¿Qué significa estar mentalmente sano en esta configuración histórica particular? ¿Quién define los límites entre lo normal y lo patológico? ¿Cómo se producen y legitiman las categorías mediante las cuales se clasifica e interviene el malestar psíquico? ¿Qué efectos generan estas prácticas en los modos de autocomprensión, en las trayectorias vitales y en las relaciones sociales?</w:t>
      </w:r>
      <w:r>
        <w:t xml:space="preserve"> </w:t>
      </w:r>
      <w:r w:rsidRPr="000E4CF7">
        <w:t>Estas tensiones no son meramente especulativas ni preguntas independientes entre sí conforman un campo de fuerzas que se implican mutuamente. In</w:t>
      </w:r>
      <w:r>
        <w:t>fluyen</w:t>
      </w:r>
      <w:r w:rsidRPr="000E4CF7">
        <w:t xml:space="preserve"> en la organización concreta de la vida social, en la distribución de </w:t>
      </w:r>
      <w:r w:rsidRPr="000E4CF7">
        <w:lastRenderedPageBreak/>
        <w:t>recursos, en la definición de responsabilidades y en la configuración de formas contemporáneas de subjetividad.</w:t>
      </w:r>
    </w:p>
    <w:p w14:paraId="27F5916B" w14:textId="77777777" w:rsidR="00E73E90" w:rsidRPr="00556A8B" w:rsidRDefault="00E73E90" w:rsidP="00357B2F">
      <w:pPr>
        <w:spacing w:after="160"/>
      </w:pPr>
      <w:r w:rsidRPr="00556A8B">
        <w:t>La presente investigación se sitúa en una perspectiva que problematiza la idea de la salud mental como realidad neutra o exclusivamente técnica. Más que asumirla como entidad objetiva preexistente a la intervención científica, la aborda como una construcción histórica y política que emerge en condiciones específicas y produce efectos materiales sobre cuerpos, emociones y experiencias. Desde este enfoque, los discursos psicológicos no se comprenden como simples descripciones de estados internos, sino como prácticas que participan activamente en la constitución de aquello que nombran. Al establecer criterios de normalidad, diseñar técnicas de intervención o promover ideales de bienestar, la psicología contribuye a instituir regímenes de verdad que delimitan lo pensable, lo decible y lo practicable en relación con la experiencia psíquica.</w:t>
      </w:r>
    </w:p>
    <w:p w14:paraId="12D875CA" w14:textId="348CC65D" w:rsidR="00E73E90" w:rsidRPr="00556A8B" w:rsidRDefault="00E73E90" w:rsidP="00357B2F">
      <w:pPr>
        <w:spacing w:after="160"/>
      </w:pPr>
      <w:r w:rsidRPr="00556A8B">
        <w:t>Esta tesis se inscribe en los estudios críticos sobre las psicociencias y sus efectos de subjetivación. Su objetivo consiste en analizar cómo las prácticas discursivas de la psicología participan en la producción de formas de subjetividad consideradas saludables en el presente histórico. Para ello se adopta una perspectiva genealógica inspirada en Michel Foucault y desarrollos contemporáneos afines, orientada a desnaturalizar aquello que aparece como evidente y a mostrar su carácter contingente y políticamente estructurado. Este posicionamiento no busca deslegitimar la búsqueda de bienestar ni negar la realidad del sufrimiento psíquico. Se orienta, más bien, a problematizar las formas dominantes mediante las cuales dicho sufrimiento es interpretado, clasificado e intervenido.</w:t>
      </w:r>
    </w:p>
    <w:p w14:paraId="152B778A" w14:textId="77777777" w:rsidR="00E73E90" w:rsidRPr="00556A8B" w:rsidRDefault="00E73E90" w:rsidP="00357B2F">
      <w:pPr>
        <w:spacing w:after="160"/>
      </w:pPr>
      <w:r w:rsidRPr="00556A8B">
        <w:t>Si bien existe una amplia literatura crítica sobre medicalización, gubernamentalidad y psiquiatrización de la vida cotidiana, son menos frecuentes los estudios empíricos que examinen, a partir de las voces de profesionales, cómo se configuran discursivamente las nociones de salud mental y subjetividad saludable. En este sentido, la investigación desplaza el foco desde las categorías diagnósticas o los marcos teóricos abstractos hacia las prácticas discursivas concretas que las sostienen, rearticulan y actualizan en la práctica profesional cotidiana.</w:t>
      </w:r>
    </w:p>
    <w:p w14:paraId="3F95A29A" w14:textId="17A29B14" w:rsidR="00E73E90" w:rsidRPr="00556A8B" w:rsidRDefault="00E73E90" w:rsidP="00357B2F">
      <w:pPr>
        <w:spacing w:after="160"/>
      </w:pPr>
      <w:r w:rsidRPr="00556A8B">
        <w:t xml:space="preserve">Metodológicamente, el estudio adopta un enfoque cualitativo con orientación genealógica. Se recurre al análisis estructural de contenido en clave postestructuralista, articulado con el dispositivo analítico denominado caleidoscopio discursivo. A partir de entrevistas en profundidad a profesionales de la psicología, se identifican las gramáticas implícitas, las oposiciones </w:t>
      </w:r>
      <w:r w:rsidRPr="00556A8B">
        <w:lastRenderedPageBreak/>
        <w:t>estructurales y los efectos de subjetivación que organizan sus enunciados. El interés no radica en evaluar la validez científica de las teorías psicológicas, sino en comprender cómo determinados saberes operan como tecnologías de gobierno del yo y participan en la configuración de horizontes normativos de vida.</w:t>
      </w:r>
    </w:p>
    <w:p w14:paraId="6A8BD3FF" w14:textId="54241812" w:rsidR="00E73E90" w:rsidRPr="00556A8B" w:rsidRDefault="00E73E90" w:rsidP="00357B2F">
      <w:pPr>
        <w:spacing w:after="160"/>
      </w:pPr>
      <w:r w:rsidRPr="00556A8B">
        <w:t xml:space="preserve">El marco conceptual se articula en torno a nociones como régimen de verdad, dispositivo, </w:t>
      </w:r>
      <w:r w:rsidR="009A7B04">
        <w:t>prácticas de sí</w:t>
      </w:r>
      <w:r w:rsidRPr="00556A8B">
        <w:t>, gubernamentalidad y subjetividad. Estas categorías permiten analizar formas contemporáneas de poder que operan no principalmente mediante coerción directa, sino a través de procesos de interiorización, autorregulación y autoconducción. Desde esta perspectiva, la salud mental se configura como un espacio privilegiado para observar la imbricación entre cuidado y normalización, entre acompañamiento terapéutico y regulación de la vida psíquica.</w:t>
      </w:r>
    </w:p>
    <w:p w14:paraId="1150C69D" w14:textId="77777777" w:rsidR="00E73E90" w:rsidRPr="00556A8B" w:rsidRDefault="00E73E90" w:rsidP="00357B2F">
      <w:pPr>
        <w:spacing w:after="160"/>
      </w:pPr>
      <w:r w:rsidRPr="00556A8B">
        <w:t>La estructura de la tesis sigue el recorrido analítico desarrollado. Tras esta introducción se presenta el marco teórico que delimita las coordenadas conceptuales del estudio. Luego se expone el diseño metodológico y las decisiones analíticas adoptadas. Posteriormente se desarrollan los resultados organizados en categorías emergentes y, finalmente, se ofrece una discusión que reconfigura los hallazgos a la luz del marco conceptual. Las conclusiones sintetizan los aportes principales y abren una reflexión crítica sobre la salud mental como dispositivo contemporáneo de producción de subjetividad.</w:t>
      </w:r>
    </w:p>
    <w:p w14:paraId="62E03ADE" w14:textId="0C90384E" w:rsidR="00E73E90" w:rsidRPr="00556A8B" w:rsidRDefault="00E73E90" w:rsidP="00357B2F">
      <w:pPr>
        <w:spacing w:after="160"/>
      </w:pPr>
      <w:r w:rsidRPr="00556A8B">
        <w:t>Más que proponer un modelo alternativo de salud mental, esta investigación busca ampliar el campo de lo pensable. Al mostrar que las formas contemporáneas de subjetividad saludable son históricas, situadas y contingentes</w:t>
      </w:r>
      <w:r w:rsidR="00947C93" w:rsidRPr="00556A8B">
        <w:t xml:space="preserve"> —y que el presente no es un corte espontáneo en el tiempo, sino el efecto de sedimentaciones discursivas que lo constituyen y lo limitan, preservadas en el </w:t>
      </w:r>
      <w:r w:rsidR="00947C93" w:rsidRPr="00556A8B">
        <w:rPr>
          <w:i/>
          <w:iCs/>
        </w:rPr>
        <w:t>archivo</w:t>
      </w:r>
      <w:r w:rsidR="00947C93" w:rsidRPr="00556A8B">
        <w:t xml:space="preserve"> como sistema que regula qué enunciados pueden aparecer y ser reconocidos como verdaderos en una época—</w:t>
      </w:r>
      <w:r w:rsidRPr="00556A8B">
        <w:t>, se abre la posibilidad de interrogarlas, transformarlas y explorar otros modos de comprender y acompañar el sufrimiento humano, reconociendo la dimensión ética y política que atraviesa toda práctica psicológica.</w:t>
      </w:r>
    </w:p>
    <w:p w14:paraId="71959249" w14:textId="3F507230" w:rsidR="00D02917" w:rsidRPr="00556A8B" w:rsidRDefault="00D02917" w:rsidP="00357B2F">
      <w:pPr>
        <w:spacing w:after="160"/>
      </w:pPr>
      <w:r w:rsidRPr="00556A8B">
        <w:t>.</w:t>
      </w:r>
    </w:p>
    <w:p w14:paraId="6836FB25" w14:textId="5EA921F0" w:rsidR="000E5B14" w:rsidRPr="00556A8B" w:rsidRDefault="000E5B14" w:rsidP="00357B2F">
      <w:pPr>
        <w:pStyle w:val="Ttulo2"/>
      </w:pPr>
      <w:r w:rsidRPr="00556A8B">
        <w:br w:type="page"/>
      </w:r>
      <w:bookmarkStart w:id="21" w:name="_Toc440985126"/>
      <w:bookmarkStart w:id="22" w:name="_Toc232580552"/>
      <w:r w:rsidRPr="00556A8B">
        <w:lastRenderedPageBreak/>
        <w:t>Planteamiento del problema</w:t>
      </w:r>
      <w:bookmarkEnd w:id="21"/>
      <w:bookmarkEnd w:id="22"/>
    </w:p>
    <w:p w14:paraId="7494D50D" w14:textId="5D3E3271" w:rsidR="00D02917" w:rsidRPr="00556A8B" w:rsidRDefault="00D02917" w:rsidP="00357B2F">
      <w:bookmarkStart w:id="23" w:name="_Toc440985128"/>
      <w:r w:rsidRPr="00556A8B">
        <w:rPr>
          <w:bCs/>
        </w:rPr>
        <w:t>Al interrogar la definición de salud mental emergen múltiples conceptualizaciones provenientes de diversas perspectivas disciplinares, entre ellas la psicología, la psiquiatría, la</w:t>
      </w:r>
      <w:r w:rsidRPr="00556A8B">
        <w:t xml:space="preserve"> neurociencia, la sociología, la antropología y la epidemiología. En este entramado, se consolida una idea predominante: la salud mental como un estado de armonía interna, equilibrio biopsicosocial y capacidad de adaptación a las demandas del entorno, preservando un sentido de normalidad (Maitta Rosada et al., 2018; Gómez-Arias, 2018; Rodelo Valle y Garay Núñez, 2020; Hernández-Holguín, 2020; Matos-Ramírez et al., 2024). Esta construcción hegemónica suele articularse con dimensiones asociadas al bienestar subjetivo, psicológico y social en la vida cotidiana (Miravet et al., 2020; Montoya Vélez et al., 2020; Vera Tangarife et al., 2020; Muñoz Arroyave et al., 2022).</w:t>
      </w:r>
    </w:p>
    <w:p w14:paraId="0CBE3D73" w14:textId="77777777" w:rsidR="00D02917" w:rsidRPr="00556A8B" w:rsidRDefault="00D02917" w:rsidP="00357B2F">
      <w:r w:rsidRPr="00556A8B">
        <w:t>Desde este enfoque, un buen estado de salud mental permitiría afrontar el estrés, tomar decisiones equilibradas y establecer relaciones saludables consigo mismo y con el entorno, trascendiendo la mera ausencia de enfermedad y destacando capacidades funcionales y adaptativas (López-Rodríguez, 2018; Betancur-Betancur et al., 2020; Cantor-Cruz et al., 2021). Esta definición, ampliamente difundida en discursos médicos, psicológicos y sociales, configura un ideal de sujeto empoderado, funcional y emocionalmente equilibrado. Sin embargo, detrás de esta formulación aparentemente universal y centrada en el rendimiento individual, subyacen presupuestos normativos que promueven la uniformidad y operan como dispositivos de regulación (Caponi, 2018). Lejos de ser imparcial, esta perspectiva tiende a universalizarse y a instituirse como estándar ideal que incide en la individualidad, en el orden social y en el propio campo disciplinar (Stolkiner, 2021).</w:t>
      </w:r>
    </w:p>
    <w:p w14:paraId="794823A4" w14:textId="7B2E959F" w:rsidR="00D02917" w:rsidRPr="00556A8B" w:rsidRDefault="00D02917" w:rsidP="00357B2F">
      <w:r w:rsidRPr="00556A8B">
        <w:t xml:space="preserve">Como </w:t>
      </w:r>
      <w:r w:rsidR="00C22D9D" w:rsidRPr="00556A8B">
        <w:t>sugiere</w:t>
      </w:r>
      <w:r w:rsidRPr="00556A8B">
        <w:t xml:space="preserve"> Gómez-Arias (2018), la clasificación de la salud mental no constituye una categorización neutral ni atemporal, sino que se encuentra en permanente tensión con dinámicas sociales, políticas y económicas que regulan el comportamiento humano y delimitan la subjetividad de lo normal. Canguilhem (1981) y Barukel y Stolkiner (2018) sostienen que la salud mental se inscribe en premisas históricas, culturales y políticas que determinan qué se considera “normal” o “patológico”, “sano” o “enfermo” en un momento específico. Tales construcciones moldean la comprensión, clasificación y gestión de los individuos en la sociedad contemporánea, estableciendo no solo las formas legítimas de experimentar y expresar el malestar, sino también expectativas de comportamiento, autorregulación y adaptación a los </w:t>
      </w:r>
      <w:r w:rsidRPr="00556A8B">
        <w:lastRenderedPageBreak/>
        <w:t>mandatos sociales y disciplinares vigentes (Ruperthuz Honorato y Lévy Lazcano, 2017; Bedoya Hernández, 2022).</w:t>
      </w:r>
    </w:p>
    <w:p w14:paraId="5F8C33A0" w14:textId="557BA321" w:rsidR="00D02917" w:rsidRPr="00556A8B" w:rsidRDefault="00D02917" w:rsidP="00357B2F">
      <w:r w:rsidRPr="00556A8B">
        <w:t>Analizar la conceptualización de la salud mental implica, por tanto, interrogarla como construcción social situada, históricamente configurada por un entramado de ideas, prácticas y normas inscritas en relaciones de poder, dispositivos científicos y discursos disciplinares (Bedoya Hernández, 2021). Barbosa (2022) subraya que las formas de comprender e intervenir el malestar psíquico han estado siempre entrelazadas con saberes dominantes, regímenes de verdad y prácticas sociales propias de cada época. De Souza Lima (2021) señala que el concepto histórico de locura ilustra cómo las sociedades han producido categorías para interpretar, regular y conducir experiencias que desbordan los límites de lo considerado normal. Desde las concepciones humoralistas</w:t>
      </w:r>
      <w:r w:rsidR="00C22D9D" w:rsidRPr="00556A8B">
        <w:t xml:space="preserve">, </w:t>
      </w:r>
      <w:r w:rsidRPr="00556A8B">
        <w:t>como la teoría hipocrática de los cuatro humores (Valera et al., 2024)</w:t>
      </w:r>
      <w:r w:rsidR="00C22D9D" w:rsidRPr="00556A8B">
        <w:t xml:space="preserve">, </w:t>
      </w:r>
      <w:r w:rsidRPr="00556A8B">
        <w:t>hasta las interpretaciones religiosas que atribuían la locura a posesiones demoníacas o castigos divinos (Salaverry, 2012; Pro-Velasco, 2020), las formas de comprender el sufrimiento mental han respondido a marcos epistémicos, éticos y políticos particulares (Otero y Gibert, 2016).</w:t>
      </w:r>
    </w:p>
    <w:p w14:paraId="48A5DD67" w14:textId="210CCB8B" w:rsidR="00C22D9D" w:rsidRPr="00556A8B" w:rsidRDefault="00D02917" w:rsidP="00357B2F">
      <w:r w:rsidRPr="00556A8B">
        <w:t>Estos marcos delimitan qué se considera conocimiento legítimo sobre la mente, qué valores orientan las intervenciones y qué intereses configuran las prácticas institucionales (Cifuentes-Muñoz, 2024). No solo definen qué cuenta como enfermedad o salud, sino que establecen jerarquías entre saberes, otorgan autoridad a determinados discursos</w:t>
      </w:r>
      <w:r w:rsidR="00C22D9D" w:rsidRPr="00556A8B">
        <w:t xml:space="preserve">, </w:t>
      </w:r>
      <w:r w:rsidRPr="00556A8B">
        <w:t>como el biomédico o el psicológico</w:t>
      </w:r>
      <w:r w:rsidR="00C22D9D" w:rsidRPr="00556A8B">
        <w:t>,</w:t>
      </w:r>
      <w:r w:rsidRPr="00556A8B">
        <w:t xml:space="preserve"> y excluyen otras formas de abordar el malestar (Sanabria-González, 2019). Durante la Edad Media, el tratamiento de la locura estuvo vinculado a instituciones religiosas que ejercían control sobre conductas consideradas desviadas mediante prácticas como el confinamiento y el exorcismo, inscribiendo el malestar en una lógica moral y espiritual (Foucault, 2015). Con la modernidad y el auge del racionalismo científico, se produjo un giro decisivo en la interpretación del sufrimiento mental (Apreda, 2010; Cifuentes-Muñoz, 2023).</w:t>
      </w:r>
    </w:p>
    <w:p w14:paraId="0670DB6F" w14:textId="77777777" w:rsidR="00D02917" w:rsidRPr="00556A8B" w:rsidRDefault="00D02917" w:rsidP="00357B2F">
      <w:r w:rsidRPr="00556A8B">
        <w:t xml:space="preserve">La locura fue progresivamente resignificada como categoría médica y absorbida por la psiquiatría y las ciencias del comportamiento (Foucault, 1981; 2007; 2015b). Este proceso no fue neutral ni meramente técnico, sino que implicó una transformación en las formas de ejercicio del poder sobre cuerpos y subjetividades, dando lugar a lo que Foucault denominó la psiquiatrización de la sociedad. En este marco, la locura se constituyó en objeto científico de intervención y clasificación (Figueiredo, 2002). Rose (2012) advierte que las psicociencias no solo diagnostican </w:t>
      </w:r>
      <w:r w:rsidRPr="00556A8B">
        <w:lastRenderedPageBreak/>
        <w:t>y clasifican, sino que participan activamente en la producción de sujetos ajustados a normas de funcionalidad, productividad y adaptación social.</w:t>
      </w:r>
    </w:p>
    <w:p w14:paraId="329EF6A2" w14:textId="1141B765" w:rsidR="00D02917" w:rsidRPr="00556A8B" w:rsidRDefault="00D02917" w:rsidP="00357B2F">
      <w:r w:rsidRPr="00556A8B">
        <w:t>En consecuencia, la psicología emerge ligada a dispositivos de normalización que, bajo la promesa de bienestar, establecen parámetros de salud, adaptación y equilibrio, al tiempo que marginan o patologizan formas alternativas de habitar el mundo (Caponi, 2012; Bedoya Hernández y Caponi, 2021; Foucault, 1975). Tales dispositivos no solo regulan comportamientos, sino que producen subjetividades acordes con regímenes de verdad específicos (</w:t>
      </w:r>
      <w:r w:rsidR="001C7FE5" w:rsidRPr="00556A8B">
        <w:t>Arruda Leal Ferreira, A.</w:t>
      </w:r>
      <w:r w:rsidRPr="00556A8B">
        <w:t>, 2011). Las categorías de normalidad, patología o funcionalidad no surgen de manera desinteresada, sino en entramados de poder-saber que definen lo que cuenta como conocimiento válido (Hernández Holguín, 2020; Bedoya Hernández, 2022).</w:t>
      </w:r>
    </w:p>
    <w:p w14:paraId="17687F5E" w14:textId="77777777" w:rsidR="00D02917" w:rsidRPr="00556A8B" w:rsidRDefault="00D02917" w:rsidP="00357B2F">
      <w:r w:rsidRPr="00556A8B">
        <w:t>Investigaciones recientes han profundizado en esta comprensión crítica. Rose (2019; 2020) analiza cómo las ciencias del cerebro y la psicología operan como tecnologías de gobierno. Parker (2015) y Stecher y De La Fabián (2017) muestran cómo la psicología funciona como dispositivo regulador en contextos clínicos, educativos y laborales. En esta lógica de gubernamentalidad (Foucault, 2009), la salud mental se convierte en un campo estratégico para intervenir conductas y orientar formas de vida. Así, la regulación se extiende más allá del consultorio, permeando educación, trabajo, medios de comunicación y vida cotidiana (Stolkiner, 2021).</w:t>
      </w:r>
    </w:p>
    <w:p w14:paraId="1EEAFCD0" w14:textId="07BC4129" w:rsidR="00D02917" w:rsidRPr="00556A8B" w:rsidRDefault="00D02917" w:rsidP="00357B2F">
      <w:r w:rsidRPr="00556A8B">
        <w:t>Las categorías diagnósticas, aunque presentadas como objetivas, reducen con frecuencia al sujeto a conjuntos sintomáticos definidos en marcos normativos (López</w:t>
      </w:r>
      <w:r w:rsidR="001C7FE5" w:rsidRPr="00556A8B">
        <w:t>-</w:t>
      </w:r>
      <w:r w:rsidRPr="00556A8B">
        <w:t xml:space="preserve">Rodríguez, 2018; Gonzales y Piñones, 2018). Deleuze (1995) sugiere que el control contemporáneo opera mediante mecanismos de autogestión y autoevaluación, lo que Foucault (2008a; 2009a) denomina </w:t>
      </w:r>
      <w:r w:rsidR="009A7B04">
        <w:t>Técnicas de sí</w:t>
      </w:r>
      <w:r w:rsidRPr="00556A8B">
        <w:t>. Así, el sujeto interioriza normas disciplinares y se convierte en gestor de su propia salud mental.</w:t>
      </w:r>
    </w:p>
    <w:p w14:paraId="37F16BDD" w14:textId="7A8D3A13" w:rsidR="00D02917" w:rsidRPr="00556A8B" w:rsidRDefault="00D02917" w:rsidP="00357B2F">
      <w:r w:rsidRPr="00556A8B">
        <w:t>Las clasificaciones diagnósticas contemporáneas</w:t>
      </w:r>
      <w:r w:rsidR="001C7FE5" w:rsidRPr="00556A8B">
        <w:t xml:space="preserve">, </w:t>
      </w:r>
      <w:r w:rsidRPr="00556A8B">
        <w:t>depresión, ansiedad, trastornos de personalidad, TDAH</w:t>
      </w:r>
      <w:r w:rsidR="001C7FE5" w:rsidRPr="00556A8B">
        <w:t>,</w:t>
      </w:r>
      <w:r w:rsidRPr="00556A8B">
        <w:t xml:space="preserve"> institucionalizadas a través del DSM y la CIE (Braunstein, 2013; Caponi, 2018; Crespo-Su</w:t>
      </w:r>
      <w:r w:rsidR="001C7FE5" w:rsidRPr="00556A8B">
        <w:t>á</w:t>
      </w:r>
      <w:r w:rsidRPr="00556A8B">
        <w:t>rez, 2021) funcionan como tecnologías globales de estandarización. Aunque científicamente legitimadas, responden a supuestos normativos sobre funcionalidad y estabilidad. En este marco, el diagnóstico no solo organiza la clínica, sino que configura identidades y regula trayectorias vitales (Barukel y Stolkiner, 2018; Alcívar Chávez, 2022).</w:t>
      </w:r>
    </w:p>
    <w:p w14:paraId="43C3CEE2" w14:textId="77777777" w:rsidR="00D02917" w:rsidRPr="00556A8B" w:rsidRDefault="00D02917" w:rsidP="00357B2F">
      <w:r w:rsidRPr="00556A8B">
        <w:lastRenderedPageBreak/>
        <w:t>Este proceso ha derivado en una psiquiatrización de la vida cotidiana (Caponi, 2018; Angel y Amaral, 2023; Marzal y Caponi, 2025), donde experiencias como tristeza, angustia o desborde emocional se traducen rápidamente en categorías clínicas. Se consolida así una subjetividad autorregulada y adaptativa, alineada con ideales de productividad y eficiencia (Rose, 2019).</w:t>
      </w:r>
    </w:p>
    <w:p w14:paraId="7C1CA46C" w14:textId="77777777" w:rsidR="003C3B0B" w:rsidRPr="003C3B0B" w:rsidRDefault="003C3B0B" w:rsidP="003C3B0B">
      <w:r w:rsidRPr="003C3B0B">
        <w:t>En el contexto latinoamericano, esta problematización adquiere particular relevancia. La región ha desarrollado un debate crítico sostenido sobre los modos en que los discursos psicológicos, psicopedagógicos y biomédicos operan como dispositivos de regulación de la vida y producción de subjetividad. Este debate puede organizarse en cuatro núcleos de problematización que, aunque distintos en su énfasis, convergen en interrogar las condiciones históricas y políticas que hacen posible que ciertos modos de ser, sentir y padecer sean reconocidos como saludables o patológicos.</w:t>
      </w:r>
    </w:p>
    <w:p w14:paraId="71DCC2D6" w14:textId="77777777" w:rsidR="003C3B0B" w:rsidRPr="003C3B0B" w:rsidRDefault="003C3B0B" w:rsidP="003C3B0B">
      <w:r w:rsidRPr="003C3B0B">
        <w:t>Un primer núcleo crítico ha interrogado los modos en que los discursos psicológicos y psicopedagógicos transforman diferencias subjetivas en categorías diagnósticas. Dueñas (2011) y Dueñas y Kligman (2009) han mostrado cómo ciertos discursos de la psicología y la psicopedagogía en el ámbito educativo no describen neutralmente a los niños sino que los producen como sujetos deficitarios, patologizando lo que en otros marcos podría leerse como diferencia o malestar situado. En la misma dirección, Vasen (2005, 2007) ha señalado que diagnósticos como el TDAH operan menos como hallazgos clínicos que como respuestas farmacológicas a demandas de adaptación escolar y productividad. Untoiglich (2013) ha insistido en que los diagnósticos en la infancia no son sentencias sino construcciones provisionales que pueden tanto abrir como clausurar posibilidades subjetivas. Desde Brasil, Moysés y Collares (1996, 2013) han documentado cómo la medicalización transforma el espacio pedagógico en espacio clínico, desplazando la responsabilidad del fracaso escolar desde las condiciones institucionales hacia el cuerpo y la mente del niño. Bleichmar (2005) ha advertido, por su parte, que la subjetividad contemporánea se encuentra en riesgo precisamente porque los dispositivos que deberían sostenerla la someten a exigencias de rendimiento que la vacían de sentido.</w:t>
      </w:r>
    </w:p>
    <w:p w14:paraId="3D2B7278" w14:textId="77777777" w:rsidR="003C3B0B" w:rsidRPr="003C3B0B" w:rsidRDefault="003C3B0B" w:rsidP="003C3B0B">
      <w:r w:rsidRPr="003C3B0B">
        <w:t xml:space="preserve">Un segundo núcleo ha interrogado los fundamentos epistemológicos y políticos de la psicología como disciplina. Pavón-Cuéllar (2011, 2019) ha rastreado las tradiciones alternativas y críticas dentro de la psicología latinoamericana, mostrando que esta no es un campo homogéneo sino un terreno de disputa donde coexisten racionalidades hegemónicas y posiciones de </w:t>
      </w:r>
      <w:r w:rsidRPr="003C3B0B">
        <w:lastRenderedPageBreak/>
        <w:t>resistencia. Estrada Mesa y Molina Valencia (2006) han señalado, desde Colombia, las condiciones históricas y políticas que configuran una psicología que opera sin interrogar sus propios presupuestos de poder. En esta misma línea, Bedoya Hernández (2018, 2021, 2022) y Bedoya-Hernández y Castrillón-Aldana (2018) han mostrado cómo las psicociencias no son saberes neutros sino dispositivos de gobierno de la subjetividad articulados a racionalidades neoliberales que prescriben formas de autogestión, optimización y responsabilización individual como condiciones del sujeto saludable. Bedoya-Hernández, De Francisco-León y Mesa-Osorio (2020) han extendido este análisis al campo de las políticas públicas de salud mental, evidenciando cómo la medicalización constituye una estrategia de gobierno que opera a través de los discursos disciplinares.</w:t>
      </w:r>
    </w:p>
    <w:p w14:paraId="46D340A2" w14:textId="77777777" w:rsidR="003C3B0B" w:rsidRPr="003C3B0B" w:rsidRDefault="003C3B0B" w:rsidP="003C3B0B">
      <w:r w:rsidRPr="003C3B0B">
        <w:t>Un tercer núcleo ha desarrollado una crítica sistemática al modelo biomédico desde la perspectiva de la salud colectiva. Menéndez (1985, 2009) ha conceptualizado el modelo médico hegemónico como una forma de racionalidad que individualiza el sufrimiento, biologiza el malestar y subordina otros saberes al discurso científico-técnico, produciendo sujetos que se comprenden a sí mismos en términos de déficit, riesgo y necesidad de intervención. Castro (2014) ha mostrado cómo este modelo se encarna en prácticas institucionales concretas que naturalizan relaciones asimétricas de poder entre profesionales y pacientes. Stolkiner (2012, 2013) ha advertido que la era de la salud perfecta produce una medicalización de la vida cotidiana que convierte el sufrimiento subjetivo en problema técnico, despojándolo de su dimensión política e histórica. Caponi (2012, 2016) ha aportado una perspectiva genealógica al mostrar cómo dispositivos como el DSM operan como mecanismos de seguridad que clasifican y gestionan poblaciones a través de categorías diagnósticas que amplían continuamente el umbral de lo patologizable.</w:t>
      </w:r>
    </w:p>
    <w:p w14:paraId="316354EE" w14:textId="77777777" w:rsidR="003C3B0B" w:rsidRPr="003C3B0B" w:rsidRDefault="003C3B0B" w:rsidP="003C3B0B">
      <w:r w:rsidRPr="003C3B0B">
        <w:t xml:space="preserve">Un cuarto núcleo ha rastreado históricamente los modos en que las instituciones de salud y los saberes disciplinares han operado como mecanismos de control sobre los cuerpos, las conductas y las subjetividades. Illanes (1993, 2007) ha documentado, desde Chile, cómo la salud pública emergió como proyecto político-estatal de normalización de poblaciones. Ferreira (2014, 2019) ha mostrado cómo la psicología participa en la producción de subjetividades ensamblando redes de prácticas, saberes e instituciones que configuran formas específicas de vida psíquica. Janin (2011, 2013) ha aportado una perspectiva clínica crítica que sitúa el sufrimiento infantil en </w:t>
      </w:r>
      <w:r w:rsidRPr="003C3B0B">
        <w:lastRenderedPageBreak/>
        <w:t>el cruce entre constitución psíquica y condiciones sociales e históricas, resistiendo las lecturas que lo reducen a disfunción neurobiológica.</w:t>
      </w:r>
    </w:p>
    <w:p w14:paraId="4ABDEC47" w14:textId="77777777" w:rsidR="003C3B0B" w:rsidRPr="003C3B0B" w:rsidRDefault="003C3B0B" w:rsidP="003C3B0B">
      <w:r w:rsidRPr="003C3B0B">
        <w:t>Sin embargo, pese a la riqueza de este debate, persiste un vacío en torno a cómo las prácticas discursivas contemporáneas de la psicología producen formas específicas de subjetividad saludable en el presente histórico (Gallo Acosta y Quiñones Useche, 2016; Pereira-Perdomo y Zúñiga-Iturra, 2022). Si bien los estudios foucaultianos han examinado manuales diagnósticos, psicofarmacología e internamientos (Slemon et al., 2018; Montero-Martínez, 2022; Iliopoulos, 2021; Beavis, 2025; Joranger, 2025), se ha explorado menos el papel de nuevas configuraciones discursivas: divulgación científica, psicoeducación, discursos en redes sociales y prácticas de autoayuda.</w:t>
      </w:r>
    </w:p>
    <w:p w14:paraId="731E3402" w14:textId="77777777" w:rsidR="003C3B0B" w:rsidRPr="003C3B0B" w:rsidRDefault="003C3B0B" w:rsidP="003C3B0B">
      <w:r w:rsidRPr="003C3B0B">
        <w:t>En el caso colombiano, y particularmente en Medellín — ciudad que concentra una alta densidad de instituciones de salud mental, programas de formación en psicología y escenarios de intervención clínica, comunitaria e institucional —, esta tensión adquiere contornos específicos. La expansión de los discursos psi en espacios educativos, laborales y mediáticos, sumada a la implementación de políticas como la Ley 1616 de 2013, ha configurado un campo donde los profesionales de la psicología operan simultáneamente como agentes terapéuticos y como productores de formas de subjetividad que responden a racionalidades neoliberales de gestión del yo. Es en este escenario situado donde la investigación ancla su mirada.</w:t>
      </w:r>
    </w:p>
    <w:p w14:paraId="68BE3738" w14:textId="77777777" w:rsidR="003C3B0B" w:rsidRPr="003C3B0B" w:rsidRDefault="003C3B0B" w:rsidP="003C3B0B">
      <w:r w:rsidRPr="003C3B0B">
        <w:t>Asimismo, aunque existen críticas epistemológicas a las categorías diagnósticas, son escasos los estudios empíricos que analicen, a partir de las voces de profesionales, cómo las prácticas discursivas disciplinares delimitan formas legítimas de ser sujeto saludable. Desde enfoques sociolingüísticos se ha mostrado que la salud mental y el estigma se constituyen discursivamente (Zayts-Spence et al., 2023), pero persisten limitaciones metodológicas para examinar estos procesos en la práctica profesional cotidiana.</w:t>
      </w:r>
    </w:p>
    <w:p w14:paraId="64596158" w14:textId="4226C8E4" w:rsidR="003C3B0B" w:rsidRPr="003C3B0B" w:rsidRDefault="003C3B0B" w:rsidP="003C3B0B">
      <w:r w:rsidRPr="003C3B0B">
        <w:t xml:space="preserve">En este escenario, resulta necesario desplazar el foco desde las categorías hacia las prácticas discursivas que las sostienen y rearticulan. Si la salud mental es un campo atravesado por relaciones de poder y </w:t>
      </w:r>
      <w:r w:rsidR="009A7B04">
        <w:t>prácticas de sí</w:t>
      </w:r>
      <w:r w:rsidRPr="003C3B0B">
        <w:t>, entonces los discursos psicológicos no son meros lenguajes técnicos, sino dispositivos activos de subjetivación. En consecuencia, el problema no consiste únicamente en identificar qué discursos circulan, sino en comprender cómo operan como tecnologías que organizan experiencias, orientan conductas y producen formas específicas de vida psíquica en el presente histórico.</w:t>
      </w:r>
    </w:p>
    <w:p w14:paraId="53F84C6D" w14:textId="77777777" w:rsidR="003C3B0B" w:rsidRPr="003C3B0B" w:rsidRDefault="003C3B0B" w:rsidP="003C3B0B">
      <w:r w:rsidRPr="003C3B0B">
        <w:lastRenderedPageBreak/>
        <w:t>Por ello, esta investigación se orienta por la siguiente pregunta:</w:t>
      </w:r>
    </w:p>
    <w:p w14:paraId="7798DB2B" w14:textId="77777777" w:rsidR="003C3B0B" w:rsidRPr="003C3B0B" w:rsidRDefault="003C3B0B" w:rsidP="003C3B0B">
      <w:r w:rsidRPr="003C3B0B">
        <w:t>¿Cuáles son las formas de subjetividad saludable producidas por las prácticas discursivas de la psicología en torno a la salud mental en el presente histórico?</w:t>
      </w:r>
    </w:p>
    <w:p w14:paraId="0B4FF7F2" w14:textId="77777777" w:rsidR="00D02917" w:rsidRPr="00556A8B" w:rsidRDefault="00D02917" w:rsidP="00357B2F">
      <w:pPr>
        <w:ind w:firstLine="708"/>
        <w:rPr>
          <w:b/>
        </w:rPr>
      </w:pPr>
    </w:p>
    <w:p w14:paraId="36FC905C" w14:textId="168BC314" w:rsidR="00DE23BF" w:rsidRPr="00556A8B" w:rsidRDefault="00DE23BF" w:rsidP="00073580">
      <w:pPr>
        <w:pStyle w:val="Ttulo1"/>
        <w:numPr>
          <w:ilvl w:val="0"/>
          <w:numId w:val="6"/>
        </w:numPr>
        <w:spacing w:line="360" w:lineRule="auto"/>
        <w:ind w:left="142" w:firstLine="0"/>
      </w:pPr>
      <w:bookmarkStart w:id="24" w:name="_Toc232580553"/>
      <w:bookmarkEnd w:id="23"/>
      <w:r w:rsidRPr="00556A8B">
        <w:t>Justificación</w:t>
      </w:r>
      <w:bookmarkEnd w:id="24"/>
    </w:p>
    <w:p w14:paraId="26ADF0A9" w14:textId="77777777" w:rsidR="001C7FE5" w:rsidRPr="00556A8B" w:rsidRDefault="001C7FE5" w:rsidP="00357B2F"/>
    <w:p w14:paraId="517B0AC5" w14:textId="23694BCC" w:rsidR="00DE23BF" w:rsidRPr="00556A8B" w:rsidRDefault="00DE23BF" w:rsidP="00357B2F">
      <w:r w:rsidRPr="00556A8B">
        <w:t>En el presente histórico</w:t>
      </w:r>
      <w:r w:rsidR="001C7FE5" w:rsidRPr="00556A8B">
        <w:t xml:space="preserve">, </w:t>
      </w:r>
      <w:r w:rsidRPr="00556A8B">
        <w:t>entendido como ese pliegue temporal en el que convergen saberes, prácticas y regímenes de verdad sedimentados</w:t>
      </w:r>
      <w:r w:rsidR="001C7FE5" w:rsidRPr="00556A8B">
        <w:t>,</w:t>
      </w:r>
      <w:r w:rsidRPr="00556A8B">
        <w:t xml:space="preserve"> la salud mental ha adquirido un lugar central en las discusiones públicas, científicas y políticas. Ha dejado de ser un asunto estrictamente clínico para convertirse en un eje articulador de prácticas, instituciones y expectativas sociales en torno a lo que significa vivir “bien”. Este posicionamiento privilegiado no es natural ni neutro; es el resultado de transformaciones históricas que han configurado modos específicos de problematizar la vida, gestionar el malestar y delimitar formas de subjetividad consideradas legítimas y deseables. Comprender dichas transformaciones es fundamental para analizar cómo, bajo discursos orientados aparentemente al bienestar, se despliegan dispositivos que organizan sensibilidades, conductas y horizontes de normalidad propios de este presente histórico.</w:t>
      </w:r>
    </w:p>
    <w:p w14:paraId="78590B5E" w14:textId="1BD5644D" w:rsidR="00DE23BF" w:rsidRPr="00556A8B" w:rsidRDefault="00DE23BF" w:rsidP="00357B2F">
      <w:r w:rsidRPr="00556A8B">
        <w:t>En este escenario, las psicociencias</w:t>
      </w:r>
      <w:r w:rsidR="001C7FE5" w:rsidRPr="00556A8B">
        <w:t xml:space="preserve">, </w:t>
      </w:r>
      <w:r w:rsidRPr="00556A8B">
        <w:t>y la psicología en particular</w:t>
      </w:r>
      <w:r w:rsidR="001C7FE5" w:rsidRPr="00556A8B">
        <w:t>,</w:t>
      </w:r>
      <w:r w:rsidRPr="00556A8B">
        <w:t xml:space="preserve"> se han consolidado como saberes autorizados para orientar la vida cotidiana. A través de sus tecnologías de intervención, ofrecen marcos explicativos y repertorios prácticos que operan más allá del espacio clínico tradicional. Sus discursos atraviesan escuelas, organizaciones, medios de comunicación, políticas públicas y redes sociales, modelando la manera en que los sujetos interpretan su malestar, regulan sus emociones y evalúan su propio valor. Esta expansión diagnóstica y terapéutica ha contribuido a que amplias formas de sufrimiento sean leídas como problemas individuales susceptibles de gestión personal, reforzando lógicas de responsabilización que, si bien prometen autonomía, tienden a invisibilizar determinantes estructurales, históricos y políticos del malestar.</w:t>
      </w:r>
    </w:p>
    <w:p w14:paraId="0B161342" w14:textId="5A29ABEC" w:rsidR="00DE23BF" w:rsidRPr="00556A8B" w:rsidRDefault="00DE23BF" w:rsidP="00357B2F">
      <w:r w:rsidRPr="00556A8B">
        <w:t>Las transformaciones sociopolíticas que caracterizan este presente</w:t>
      </w:r>
      <w:r w:rsidR="001C7FE5" w:rsidRPr="00556A8B">
        <w:t xml:space="preserve">, </w:t>
      </w:r>
      <w:r w:rsidRPr="00556A8B">
        <w:t>marcadas por racionalidades neoliberales, precarización de la vida e intensificación de formas de psicopolítica</w:t>
      </w:r>
      <w:r w:rsidR="001C7FE5" w:rsidRPr="00556A8B">
        <w:t>,</w:t>
      </w:r>
      <w:r w:rsidRPr="00556A8B">
        <w:t xml:space="preserve"> han reforzado dicha tendencia. La apelación constante al autocuidado, la resiliencia, la productividad emocional o la gestión individualizada del estrés se inscribe en una configuración </w:t>
      </w:r>
      <w:r w:rsidRPr="00556A8B">
        <w:lastRenderedPageBreak/>
        <w:t xml:space="preserve">histórica específica en la que los dispositivos de salud mental operan como engranajes en la administración de la vida y en la regulación de la subjetividad. En este nudo histórico, saturado de tensiones entre racionalidades económicas, políticas y científicas, se naturaliza la idea de que cada </w:t>
      </w:r>
      <w:r w:rsidR="007B2E62">
        <w:t>sujeto</w:t>
      </w:r>
      <w:r w:rsidR="007B2E62" w:rsidRPr="00556A8B">
        <w:t xml:space="preserve"> </w:t>
      </w:r>
      <w:r w:rsidRPr="00556A8B">
        <w:t>debe “trabajar en sí mismo” para adaptarse a condiciones estructuralmente adversas. De ahí la necesidad de interrogar críticamente la articulación entre estos discursos y las dinámicas de poder que atraviesan la vida social contemporánea.</w:t>
      </w:r>
    </w:p>
    <w:p w14:paraId="68ED7310" w14:textId="79B1C027" w:rsidR="00DE23BF" w:rsidRPr="00556A8B" w:rsidRDefault="00DE23BF" w:rsidP="00357B2F">
      <w:r w:rsidRPr="00556A8B">
        <w:t>A partir de este panorama, se vuelve imprescindible examinar las prácticas discursivas que, en nombre de la salud mental, producen formas de subjetividad saludable alineadas con los regímenes de verdad del presente histórico. Analizar cómo los psicólogos</w:t>
      </w:r>
      <w:r w:rsidR="001C7FE5" w:rsidRPr="00556A8B">
        <w:t xml:space="preserve">, </w:t>
      </w:r>
      <w:r w:rsidRPr="00556A8B">
        <w:t>en tanto actores profesionales investidos de autoridad epistémica</w:t>
      </w:r>
      <w:r w:rsidR="001C7FE5" w:rsidRPr="00556A8B">
        <w:t xml:space="preserve">, </w:t>
      </w:r>
      <w:r w:rsidRPr="00556A8B">
        <w:t xml:space="preserve">construyen, reproducen o tensionan estas narrativas permite comprender no solo los sentidos atribuidos al bienestar, la normalidad, la funcionalidad y la adaptabilidad, sino también los modos en que tales discursos organizan </w:t>
      </w:r>
      <w:r w:rsidR="001C7FE5" w:rsidRPr="00556A8B">
        <w:t xml:space="preserve">expectativas, </w:t>
      </w:r>
      <w:r w:rsidRPr="00556A8B">
        <w:t>orientan conductas y delimitan horizontes de intervención en distintos escenarios. Esta problematización adquiere mayor urgencia si se reconoce que el presente histórico no constituye un simple momento cronológico, sino una formación discursiva contingente resultante de acumulaciones, rupturas y rearticulaciones que han hecho posible cierta manera de comprender y gobernar la salud mental.</w:t>
      </w:r>
    </w:p>
    <w:p w14:paraId="78640D78" w14:textId="77777777" w:rsidR="00DE23BF" w:rsidRPr="00556A8B" w:rsidRDefault="00DE23BF" w:rsidP="00357B2F">
      <w:r w:rsidRPr="00556A8B">
        <w:t>El estudio propone aportar una mirada rigurosa y situada sobre estas configuraciones, articulando un análisis estructural de contenido con una perspectiva foucaultiana que permita identificar las reglas, lógicas y gramáticas que ordenan lo decible en torno a la salud mental en el presente histórico. Este enfoque posibilita develar los mecanismos mediante los cuales determinados discursos adquieren estatuto de verdad, así como las operaciones que habilitan, limitan o encauzan la emergencia de formas de subjetividad consideradas legítimas. Tal reconstrucción crítica resulta clave para comprender las tensiones entre cuidado, regulación y gubernamentalidad que atraviesan el campo de la salud mental como formación histórica contingente.</w:t>
      </w:r>
    </w:p>
    <w:p w14:paraId="31659A93" w14:textId="6D8F0F5D" w:rsidR="00DE23BF" w:rsidRPr="00556A8B" w:rsidRDefault="00DE23BF" w:rsidP="00357B2F">
      <w:r w:rsidRPr="00556A8B">
        <w:t xml:space="preserve">La pertinencia de esta investigación se sustenta en tres dimensiones fundamentales. En términos de novedad, desplaza el análisis desde los dispositivos institucionales clásicos hacia las prácticas discursivas contemporáneas de profesionales de la psicología, </w:t>
      </w:r>
      <w:r w:rsidR="00F4358E" w:rsidRPr="00556A8B">
        <w:t>interrogando, desde un análisis discursivo las</w:t>
      </w:r>
      <w:r w:rsidRPr="00556A8B">
        <w:t xml:space="preserve"> propias voces</w:t>
      </w:r>
      <w:r w:rsidR="00F4358E" w:rsidRPr="00556A8B">
        <w:t xml:space="preserve"> de quienes ejercen en este campo</w:t>
      </w:r>
      <w:r w:rsidR="001C7FE5" w:rsidRPr="00556A8B">
        <w:t>,</w:t>
      </w:r>
      <w:r w:rsidRPr="00556A8B">
        <w:t xml:space="preserve"> cómo operan como tecnologías de subjetivación en el presente histórico, una dimensión </w:t>
      </w:r>
      <w:r w:rsidR="001C7FE5" w:rsidRPr="00556A8B">
        <w:t>aun</w:t>
      </w:r>
      <w:r w:rsidRPr="00556A8B">
        <w:t xml:space="preserve"> escasamente explorada </w:t>
      </w:r>
      <w:r w:rsidRPr="00556A8B">
        <w:lastRenderedPageBreak/>
        <w:t>en el contexto latinoamericano. En términos de utilidad, ofrece insumos para repensar prácticas profesionales y procesos formativos desde un horizonte más consciente de sus implicaciones político-discursivas: al analizar narrativas de psicólogos con amplia trayectoria en docencia e intervención, se aporta material empírico y reflexivo que puede contribuir al fortalecimiento de prácticas más sensibles a las condiciones históricas y estructurales que configuran la vida psíquica contemporánea. Finalmente, su relevancia trasciende el campo disciplinar, pues se espera que los hallazgos propicien debates sobre los límites, posibilidades y responsabilidades ético-políticas de quienes intervienen en el ámbito de la salud mental, particularmente en contextos atravesados por desigualdad, precariedad y exigencias de autodisciplina emocional propias de este presente histórico.</w:t>
      </w:r>
    </w:p>
    <w:p w14:paraId="1FC83E58" w14:textId="0C56D4A3" w:rsidR="001C7FE5" w:rsidRDefault="00DE23BF" w:rsidP="00F860C0">
      <w:r w:rsidRPr="00556A8B">
        <w:t>En suma, esta investigación se justifica en la urgencia de comprender cómo se configuran actualmente las formas de subjetividad saludable y qué papel desempeñan los discursos psicológicos en dicha configuración. Al situarse en la intersección entre poder, saber y subjetividad, el estudio busca ofrecer herramientas conceptuales y analíticas para problematizar la salud mental como régimen de verdad que orienta modos de ser, sentir y actuar. Se trata, en definitiva, de una ontología crítica de nosotros mismos: una interrogación sobre las condiciones históricas de posibilidad que han constituido las formas contemporáneas de subjetividad saludable, con el propósito de desnaturalizar lo que se presenta como evidente y abrir la posibilidad de imaginar otros modos de comprender y acompañar el sufrimiento humano.</w:t>
      </w:r>
    </w:p>
    <w:p w14:paraId="6A1B6339" w14:textId="77777777" w:rsidR="001411D5" w:rsidRPr="00F860C0" w:rsidRDefault="001411D5" w:rsidP="00F860C0"/>
    <w:p w14:paraId="456C6840" w14:textId="3F0C5610" w:rsidR="003254F8" w:rsidRPr="00556A8B" w:rsidRDefault="000E5B14" w:rsidP="00710FAD">
      <w:pPr>
        <w:pStyle w:val="Ttulo1"/>
        <w:numPr>
          <w:ilvl w:val="0"/>
          <w:numId w:val="6"/>
        </w:numPr>
        <w:spacing w:line="360" w:lineRule="auto"/>
        <w:ind w:left="0" w:firstLine="0"/>
      </w:pPr>
      <w:bookmarkStart w:id="25" w:name="_Toc232580554"/>
      <w:r w:rsidRPr="00556A8B">
        <w:t>Objetivos</w:t>
      </w:r>
      <w:bookmarkStart w:id="26" w:name="_Toc440985130"/>
      <w:bookmarkEnd w:id="25"/>
    </w:p>
    <w:p w14:paraId="0546C3A5" w14:textId="14155FF5" w:rsidR="000E5B14" w:rsidRPr="00556A8B" w:rsidRDefault="000E5B14" w:rsidP="00357B2F">
      <w:pPr>
        <w:pStyle w:val="Ttulo2"/>
      </w:pPr>
      <w:bookmarkStart w:id="27" w:name="_Toc232580555"/>
      <w:r w:rsidRPr="00556A8B">
        <w:t>Objetivo general</w:t>
      </w:r>
      <w:bookmarkEnd w:id="26"/>
      <w:bookmarkEnd w:id="27"/>
    </w:p>
    <w:p w14:paraId="66526411" w14:textId="42502319" w:rsidR="000E5B14" w:rsidRPr="001411D5" w:rsidRDefault="000E5B14" w:rsidP="001411D5">
      <w:pPr>
        <w:rPr>
          <w:shd w:val="clear" w:color="auto" w:fill="FFFFFF"/>
          <w:lang w:val="es-ES"/>
        </w:rPr>
      </w:pPr>
      <w:bookmarkStart w:id="28" w:name="_Hlk65434393"/>
      <w:r w:rsidRPr="00556A8B">
        <w:rPr>
          <w:shd w:val="clear" w:color="auto" w:fill="FFFFFF"/>
        </w:rPr>
        <w:t xml:space="preserve">Comprender </w:t>
      </w:r>
      <w:r w:rsidRPr="00556A8B">
        <w:rPr>
          <w:shd w:val="clear" w:color="auto" w:fill="FFFFFF"/>
          <w:lang w:val="es-ES"/>
        </w:rPr>
        <w:t xml:space="preserve">las formas de subjetividad saludables producidas por las prácticas discursivas de la psicología alrededor de la salud mental en el </w:t>
      </w:r>
      <w:r w:rsidRPr="00556A8B">
        <w:rPr>
          <w:rFonts w:eastAsia="Times New Roman"/>
          <w:bCs/>
          <w:i/>
          <w:iCs/>
        </w:rPr>
        <w:t>presente histórico</w:t>
      </w:r>
      <w:r w:rsidRPr="00556A8B">
        <w:rPr>
          <w:shd w:val="clear" w:color="auto" w:fill="FFFFFF"/>
          <w:lang w:val="es-ES"/>
        </w:rPr>
        <w:t xml:space="preserve">. </w:t>
      </w:r>
      <w:bookmarkEnd w:id="28"/>
    </w:p>
    <w:p w14:paraId="00F48A1E" w14:textId="2560E695" w:rsidR="000E5B14" w:rsidRPr="00556A8B" w:rsidRDefault="000E5B14" w:rsidP="00357B2F">
      <w:pPr>
        <w:pStyle w:val="Ttulo2"/>
      </w:pPr>
      <w:bookmarkStart w:id="29" w:name="_Toc440985131"/>
      <w:bookmarkStart w:id="30" w:name="_Toc232580556"/>
      <w:r w:rsidRPr="00556A8B">
        <w:t>Objetivos específicos</w:t>
      </w:r>
      <w:bookmarkEnd w:id="29"/>
      <w:bookmarkEnd w:id="30"/>
    </w:p>
    <w:p w14:paraId="2AE00681" w14:textId="145F9FBC" w:rsidR="009A7B04" w:rsidRDefault="002F40F7" w:rsidP="009A7B04">
      <w:pPr>
        <w:pStyle w:val="Prrafodelista"/>
        <w:numPr>
          <w:ilvl w:val="0"/>
          <w:numId w:val="10"/>
        </w:numPr>
        <w:spacing w:line="240" w:lineRule="auto"/>
        <w:rPr>
          <w:rFonts w:cs="Times New Roman"/>
        </w:rPr>
      </w:pPr>
      <w:r>
        <w:tab/>
      </w:r>
      <w:r w:rsidR="009A7B04" w:rsidRPr="009A7B04">
        <w:rPr>
          <w:rFonts w:cs="Times New Roman"/>
        </w:rPr>
        <w:t>Identificar las prácticas discursivas empleadas por la psicología en la configuración del concepto de salud mental.</w:t>
      </w:r>
    </w:p>
    <w:p w14:paraId="344DE0BD" w14:textId="33011B93" w:rsidR="009A7B04" w:rsidRPr="009A7B04" w:rsidRDefault="009A7B04" w:rsidP="005C4F4B">
      <w:pPr>
        <w:pStyle w:val="Prrafodelista"/>
        <w:numPr>
          <w:ilvl w:val="0"/>
          <w:numId w:val="10"/>
        </w:numPr>
        <w:spacing w:line="240" w:lineRule="auto"/>
      </w:pPr>
      <w:r w:rsidRPr="009A7B04">
        <w:rPr>
          <w:rFonts w:cs="Times New Roman"/>
        </w:rPr>
        <w:t>Describir</w:t>
      </w:r>
      <w:r w:rsidRPr="009A7B04">
        <w:rPr>
          <w:rFonts w:cs="Times New Roman"/>
          <w:shd w:val="clear" w:color="auto" w:fill="FFFFFF"/>
          <w:lang w:val="es-ES"/>
        </w:rPr>
        <w:t xml:space="preserve"> las formas de subjetividad saludables producidas por las prácticas discursivas de la psicología.</w:t>
      </w:r>
    </w:p>
    <w:p w14:paraId="11F6B209" w14:textId="6BFF1823" w:rsidR="000E5B14" w:rsidRPr="00556A8B" w:rsidRDefault="009A7B04" w:rsidP="009A7B04">
      <w:pPr>
        <w:pStyle w:val="Prrafodelista"/>
        <w:numPr>
          <w:ilvl w:val="0"/>
          <w:numId w:val="10"/>
        </w:numPr>
        <w:spacing w:line="240" w:lineRule="auto"/>
      </w:pPr>
      <w:r w:rsidRPr="009A7B04">
        <w:rPr>
          <w:rFonts w:cs="Times New Roman"/>
        </w:rPr>
        <w:t>Analizar las prácticas discursivas de la psicología como tecnologías productoras de formas de subjetividad saludable</w:t>
      </w:r>
      <w:r w:rsidRPr="009A7B04">
        <w:rPr>
          <w:rFonts w:cs="Times New Roman"/>
          <w:shd w:val="clear" w:color="auto" w:fill="FFFFFF"/>
          <w:lang w:val="es-ES"/>
        </w:rPr>
        <w:t>.</w:t>
      </w:r>
    </w:p>
    <w:p w14:paraId="135E8C58" w14:textId="77777777" w:rsidR="00DE23BF" w:rsidRPr="00556A8B" w:rsidRDefault="00DE23BF" w:rsidP="00073580">
      <w:pPr>
        <w:rPr>
          <w:rFonts w:cs="Times New Roman"/>
          <w:b/>
          <w:bCs/>
        </w:rPr>
      </w:pPr>
      <w:bookmarkStart w:id="31" w:name="_Toc440985137"/>
    </w:p>
    <w:p w14:paraId="1160B575" w14:textId="42503A9E" w:rsidR="000E5B14" w:rsidRPr="00556A8B" w:rsidRDefault="00802529" w:rsidP="00073580">
      <w:pPr>
        <w:pStyle w:val="Ttulo1"/>
        <w:numPr>
          <w:ilvl w:val="0"/>
          <w:numId w:val="6"/>
        </w:numPr>
        <w:spacing w:line="360" w:lineRule="auto"/>
        <w:ind w:left="284" w:firstLine="0"/>
      </w:pPr>
      <w:bookmarkStart w:id="32" w:name="_Toc232580557"/>
      <w:r w:rsidRPr="00556A8B">
        <w:lastRenderedPageBreak/>
        <w:t xml:space="preserve">Referente </w:t>
      </w:r>
      <w:r w:rsidR="000E5B14" w:rsidRPr="00556A8B">
        <w:t>teórico</w:t>
      </w:r>
      <w:bookmarkEnd w:id="31"/>
      <w:bookmarkEnd w:id="32"/>
    </w:p>
    <w:p w14:paraId="1CF37293" w14:textId="77777777" w:rsidR="001C7FE5" w:rsidRPr="00556A8B" w:rsidRDefault="001C7FE5" w:rsidP="00357B2F"/>
    <w:p w14:paraId="57EAF476" w14:textId="77176250" w:rsidR="00DE23BF" w:rsidRPr="00556A8B" w:rsidRDefault="00DE23BF" w:rsidP="00357B2F">
      <w:r w:rsidRPr="00556A8B">
        <w:t xml:space="preserve">El presente </w:t>
      </w:r>
      <w:r w:rsidR="005B3DAC" w:rsidRPr="00556A8B">
        <w:t>referente</w:t>
      </w:r>
      <w:r w:rsidRPr="00556A8B">
        <w:t xml:space="preserve"> teórico se orienta a construir las coordenadas conceptuales necesarias para comprender cómo las prácticas discursivas de la psicología participan en la producción de formas de subjetividad saludables en el presente histórico. Lejos de asumir la salud mental como una categoría neutral o meramente descriptiva, este capítulo parte de la premisa de que los saberes psicológicos se inscriben en tramas históricas de poder, verdad y gobierno que configuran modos específicos de comprender, intervenir y experimentar la subjetividad.</w:t>
      </w:r>
    </w:p>
    <w:p w14:paraId="6BB13193" w14:textId="77777777" w:rsidR="00DE23BF" w:rsidRPr="00556A8B" w:rsidRDefault="00DE23BF" w:rsidP="00357B2F">
      <w:r w:rsidRPr="00556A8B">
        <w:t>Desde esta perspectiva, la psicología no se aborda exclusivamente como disciplina científica dedicada al estudio de la mente y el comportamiento, sino como campo de saber que produce categorías, clasificaciones, técnicas e ideales normativos que inciden directamente en la constitución de los sujetos. En este sentido, la salud mental no es entendida como un dato natural preexistente al discurso, sino como una construcción histórica sostenida por prácticas discursivas que delimitan lo normal y lo patológico, lo funcional y lo disfuncional, lo saludable y lo riesgoso.</w:t>
      </w:r>
    </w:p>
    <w:p w14:paraId="07C7C506" w14:textId="0BB573A6" w:rsidR="00DE23BF" w:rsidRPr="00556A8B" w:rsidRDefault="00DE23BF" w:rsidP="00357B2F">
      <w:r w:rsidRPr="00556A8B">
        <w:t>Para desarrollar este análisis, el capítulo se apoya principalmente en herramientas conceptuales provenientes del pensamiento foucaultiano</w:t>
      </w:r>
      <w:r w:rsidR="00EA7824" w:rsidRPr="00556A8B">
        <w:t xml:space="preserve">, </w:t>
      </w:r>
      <w:r w:rsidRPr="00556A8B">
        <w:t xml:space="preserve">como saber-poder, biopoder, gubernamentalidad y </w:t>
      </w:r>
      <w:r w:rsidR="009A7B04">
        <w:t>prácticas de sí</w:t>
      </w:r>
      <w:r w:rsidR="00EA7824" w:rsidRPr="00556A8B">
        <w:t xml:space="preserve">, </w:t>
      </w:r>
      <w:r w:rsidRPr="00556A8B">
        <w:t>así como en desarrollos contemporáneos que permiten comprender la especificidad neoliberal del gobierno de la subjetividad. Estas categorías permiten desplazar la mirada desde una concepción represiva del poder hacia una comprensión productiva y relacional, en la cual el poder no solo limita o prohíbe, sino que produce realidades, saberes y formas de ser sujeto.</w:t>
      </w:r>
    </w:p>
    <w:p w14:paraId="15DE2AF5" w14:textId="4B2264E5" w:rsidR="00DE23BF" w:rsidRPr="00556A8B" w:rsidRDefault="00DE23BF" w:rsidP="00357B2F">
      <w:r w:rsidRPr="00556A8B">
        <w:t xml:space="preserve">En este marco, se examinan las psicociencias en su carácter productivo y normalizador, atendiendo a la manera en que instauran criterios de evaluación, estándares de funcionamiento y modelos de bienestar que orientan prácticas institucionales y procesos de autoconducción. Posteriormente, se profundiza en la articulación entre saber y poder, en la gestión biopolítica de la vida y en las racionalidades gubernamentales que conducen a los sujetos a gobernarse a sí mismos. Finalmente, se analiza cómo estas dinámicas se intensifican en el contexto neoliberal a través de </w:t>
      </w:r>
      <w:r w:rsidR="009A7B04">
        <w:t>prácticas de sí</w:t>
      </w:r>
      <w:r w:rsidRPr="00556A8B">
        <w:t xml:space="preserve"> y formas psicopolíticas que sitúan la salud mental en el centro de las exigencias contemporáneas de autonomía, resiliencia y rendimiento.</w:t>
      </w:r>
    </w:p>
    <w:p w14:paraId="0722C031" w14:textId="77777777" w:rsidR="00DE23BF" w:rsidRPr="00556A8B" w:rsidRDefault="00DE23BF" w:rsidP="00357B2F">
      <w:r w:rsidRPr="00556A8B">
        <w:t xml:space="preserve">De este modo, el marco teórico no pretende ofrecer una revisión exhaustiva de teorías psicológicas sobre la salud mental, sino establecer una plataforma crítica desde la cual sea posible </w:t>
      </w:r>
      <w:r w:rsidRPr="00556A8B">
        <w:lastRenderedPageBreak/>
        <w:t>interrogar cómo las prácticas discursivas de la psicología configuran, legitiman y naturalizan determinadas formas de subjetividad saludable, habilitando ciertas maneras de ser y vivir mientras delimitan otras como desviadas o inadecuadas.</w:t>
      </w:r>
    </w:p>
    <w:p w14:paraId="1B147261" w14:textId="77777777" w:rsidR="00EA7824" w:rsidRPr="00556A8B" w:rsidRDefault="00EA7824" w:rsidP="00357B2F"/>
    <w:p w14:paraId="1837FD3F" w14:textId="21DC910E" w:rsidR="00DE23BF" w:rsidRPr="00556A8B" w:rsidRDefault="00DE23BF" w:rsidP="00357B2F">
      <w:pPr>
        <w:pStyle w:val="Ttulo2"/>
      </w:pPr>
      <w:bookmarkStart w:id="33" w:name="_Toc232580558"/>
      <w:r w:rsidRPr="00556A8B">
        <w:t>La salud mental como construcción histórica y régimen de verdad</w:t>
      </w:r>
      <w:bookmarkEnd w:id="33"/>
    </w:p>
    <w:p w14:paraId="532F71C5" w14:textId="77777777" w:rsidR="00E2629B" w:rsidRPr="00556A8B" w:rsidRDefault="00E2629B" w:rsidP="00357B2F">
      <w:r w:rsidRPr="00556A8B">
        <w:t>La salud mental no puede ser comprendida como una categoría neutra ni como una propiedad natural del psiquismo. Antes bien, constituye una construcción histórica cuya configuración ha sido posible a través de entramados institucionales, disciplinares y normativos que han delimitado qué formas de experiencia son consideradas saludables, deseables o legítimas en distintos momentos históricos. En este sentido, más que designar un estado objetivo, la salud mental opera como un régimen de verdad que organiza modos de clasificación, intervención y autocomprensión subjetiva (Foucault, 1976; Rose, 2019).</w:t>
      </w:r>
    </w:p>
    <w:p w14:paraId="19606955" w14:textId="77777777" w:rsidR="008C1457" w:rsidRPr="00556A8B" w:rsidRDefault="00E2629B" w:rsidP="00357B2F">
      <w:r w:rsidRPr="00556A8B">
        <w:t xml:space="preserve">Las definiciones institucionales contemporáneas ilustran con claridad esta dimensión normativa. La Organización Mundial de la Salud (OMS, 2020) define la salud mental como un estado de bienestar que permite afrontar el estrés, desarrollar habilidades, trabajar adecuadamente y contribuir a la comunidad. De forma convergente, la American Psychological Association (APA, 2018) enfatiza el ajuste conductual, la ausencia relativa de síntomas incapacitantes y la capacidad para afrontar las exigencias cotidianas. </w:t>
      </w:r>
    </w:p>
    <w:p w14:paraId="55EB0B87" w14:textId="513FF8E5" w:rsidR="008C1457" w:rsidRPr="00556A8B" w:rsidRDefault="00E2629B" w:rsidP="008C1457">
      <w:r w:rsidRPr="00556A8B">
        <w:t>En el contexto colombiano, la Ley 1616 de 2013 del Congreso de la República articula bienestar, funcionalidad y contribución social al definir la salud mental como un estado dinámico que posibilita desplegar recursos emocionales y cognitivos en la vida cotidiana</w:t>
      </w:r>
      <w:r w:rsidR="008C1457" w:rsidRPr="00556A8B">
        <w:t xml:space="preserve"> que </w:t>
      </w:r>
      <w:r w:rsidR="008C1457" w:rsidRPr="00556A8B">
        <w:rPr>
          <w:rFonts w:cs="Times New Roman"/>
        </w:rPr>
        <w:t xml:space="preserve">reproduce los criterios de funcionalidad, gestión de recursos internos y contribución social como indicadores centrales de salud mental, estableciendo normativamente qué formas de experiencia subjetiva son consideradas saludables. Bajo esta medida, la Ley precisa la salud mental como; </w:t>
      </w:r>
    </w:p>
    <w:p w14:paraId="352620B2" w14:textId="77777777" w:rsidR="008C1457" w:rsidRPr="00556A8B" w:rsidRDefault="008C1457" w:rsidP="008C1457">
      <w:pPr>
        <w:spacing w:line="240" w:lineRule="auto"/>
        <w:ind w:firstLine="720"/>
        <w:rPr>
          <w:rFonts w:cs="Times New Roman"/>
        </w:rPr>
      </w:pPr>
    </w:p>
    <w:p w14:paraId="12C120A9" w14:textId="77777777" w:rsidR="008C1457" w:rsidRPr="00556A8B" w:rsidRDefault="008C1457" w:rsidP="008C1457">
      <w:pPr>
        <w:spacing w:line="240" w:lineRule="auto"/>
        <w:ind w:left="708" w:firstLine="12"/>
        <w:rPr>
          <w:rFonts w:cs="Times New Roman"/>
        </w:rPr>
      </w:pPr>
      <w:r w:rsidRPr="00556A8B">
        <w:rPr>
          <w:rFonts w:cs="Times New Roman"/>
        </w:rPr>
        <w:t>un estado dinámico que se expresa en la vida cotidiana a través del comportamiento y la interacción de manera tal que permite a los sujetos individuales y colectivos desplegar sus recursos emocionales, cognitivos y mentales para transitar por la vida cotidiana, para trabajar, para establecer relaciones significativas y para contribuir a la comunidad (parr.5).</w:t>
      </w:r>
    </w:p>
    <w:p w14:paraId="698E2337" w14:textId="77777777" w:rsidR="008C1457" w:rsidRPr="00556A8B" w:rsidRDefault="008C1457" w:rsidP="00357B2F"/>
    <w:p w14:paraId="5E2C8342" w14:textId="6FED7C32" w:rsidR="00E2629B" w:rsidRPr="00556A8B" w:rsidRDefault="00E2629B" w:rsidP="00357B2F">
      <w:r w:rsidRPr="00556A8B">
        <w:lastRenderedPageBreak/>
        <w:t>En la misma línea, la Secretaría de Salud de Antioquia (2022) y el Colegio Colombiano de Psicólogos (2023) subrayan la toma de decisiones asertivas, la construcción de vínculos saludables y la calidad de vida como indicadores centrales</w:t>
      </w:r>
      <w:r w:rsidR="008C1457" w:rsidRPr="00556A8B">
        <w:t>.</w:t>
      </w:r>
    </w:p>
    <w:p w14:paraId="6CB45C02" w14:textId="77777777" w:rsidR="00E2629B" w:rsidRPr="00556A8B" w:rsidRDefault="00E2629B" w:rsidP="00357B2F">
      <w:r w:rsidRPr="00556A8B">
        <w:t>Estas formulaciones comparten una estructura implícita: la salud mental se evalúa en función de la capacidad del sujeto para adaptarse eficazmente a las demandas del entorno social, laboral y comunitario. El bienestar aparece articulado a la productividad, la autorregulación y la contribución social. Como advierte Rose (2019), tales definiciones no solo describen estados deseables, sino que instauran parámetros normativos que orientan prácticas profesionales y procesos de autogobierno.</w:t>
      </w:r>
    </w:p>
    <w:p w14:paraId="5E3A9B2E" w14:textId="77777777" w:rsidR="00E2629B" w:rsidRPr="00556A8B" w:rsidRDefault="00E2629B" w:rsidP="00357B2F">
      <w:r w:rsidRPr="00556A8B">
        <w:t>No obstante, esta dimensión normativa no se agota en los marcos institucionales. Las distintas corrientes psicológicas han contribuido, desde sus propios presupuestos epistemológicos, a modelar figuras específicas de subjetividad saludable.</w:t>
      </w:r>
    </w:p>
    <w:p w14:paraId="096027A1" w14:textId="43ED1DAD" w:rsidR="00E2629B" w:rsidRPr="00556A8B" w:rsidRDefault="00E2629B" w:rsidP="00357B2F">
      <w:r w:rsidRPr="00556A8B">
        <w:t>La tradición biologicista ha privilegiado explicaciones anatómicas y neuroquímicas, estableciendo una continuidad entre salud mental y salud física. Desde esta perspectiva, el malestar psíquico se interpreta como expresión de alteraciones en el soporte material del organismo (Restrepo y Jaramillo, 2012; Ferreyra y Castorina, 2020; Guze, 1992). El equilibrio neurobiológico y la regulación homeostática del sistema nervioso central se convierten en criterios privilegiados de normalidad (Andreasen, 2001; Bear, Connors, y Paradiso, 2016). Se configura así una figura de sujeto saludable entendida como organismo autorregulado, cuyo bienestar depende de la estabilidad de sus procesos neuroquímicos.</w:t>
      </w:r>
    </w:p>
    <w:p w14:paraId="48DCFEE4" w14:textId="77777777" w:rsidR="00E2629B" w:rsidRPr="00556A8B" w:rsidRDefault="00E2629B" w:rsidP="00357B2F">
      <w:r w:rsidRPr="00556A8B">
        <w:t>En contraste, el enfoque psicodinámico desplaza el eje desde la regulación biológica hacia la tramitación del conflicto intrapsíquico. En Freud (1917, 1923, 1930), la salud mental no implica la ausencia de tensión, sino la capacidad de elaborar simbólicamente los conflictos entre deseo, norma y realidad. Las corrientes postfreudianas ampliaron esta comprensión incorporando la integración estructural del yo y la estabilidad identitaria (Hartmann, 1939; Klein, 1946, 1960; Kernberg, 1975). Winnicott (1967, 1995, 1996) y Kohut (1971) subrayaron la cohesión del self y la importancia de experiencias relacionales suficientemente buenas. En esta matriz, el sujeto saludable es aquel capaz de simbolizar, integrar y sostener la ambivalencia sin fragmentarse.</w:t>
      </w:r>
    </w:p>
    <w:p w14:paraId="612B3B88" w14:textId="54CDEA26" w:rsidR="00E2629B" w:rsidRPr="00556A8B" w:rsidRDefault="00E2629B" w:rsidP="00357B2F">
      <w:r w:rsidRPr="00556A8B">
        <w:t xml:space="preserve">Por su parte, la tradición cognitivo-conductual reconfigura la salud mental en términos de funcionamiento adaptativo y flexibilidad psicológica. Desde el conductismo clásico (Skinner, 1953), el bienestar se asocia con repertorios conductuales funcionales. El giro cognitivo sitúa el </w:t>
      </w:r>
      <w:r w:rsidRPr="00556A8B">
        <w:lastRenderedPageBreak/>
        <w:t xml:space="preserve">foco en la modificación de esquemas disfuncionales (Beck, 1976; Ellis, 1987; Young, 1999, 2003). Desarrollos contemporáneos enfatizan la regulación emocional y la flexibilidad cognitiva como condiciones centrales del funcionamiento saludable (Demirtaş, 2020; Park, 2021; Sotelo </w:t>
      </w:r>
      <w:r w:rsidR="004F3849" w:rsidRPr="00556A8B">
        <w:t>y</w:t>
      </w:r>
      <w:r w:rsidRPr="00556A8B">
        <w:t xml:space="preserve"> Bojórquez, 2022). Se consolida así la figura de un sujeto autorregulador, capaz de identificar y corregir sus propios procesos mentales para mantener un desempeño eficaz.</w:t>
      </w:r>
    </w:p>
    <w:p w14:paraId="5297ADEA" w14:textId="637F9E46" w:rsidR="00E2629B" w:rsidRPr="00556A8B" w:rsidRDefault="00E2629B" w:rsidP="00357B2F">
      <w:r w:rsidRPr="00556A8B">
        <w:t xml:space="preserve">De manera paralela, los enfoques humanistas y existenciales proponen una comprensión de la salud mental vinculada a la autenticidad y al sentido de vida. Maslow (1964, 1994), Rogers (1979, 1987), Perls (1976, 1990), Fromm (1995) y Martínez (1982) conciben el bienestar como autorrealización y congruencia. Desde la tradición existencial, la salud mental se vincula con la capacidad de asumir la libertad, la finitud y la responsabilidad frente a la propia existencia (Binswanger, 1963; Frankl, 1988, 1998; Laing, 1967; May, 1958; Yalom, 1980; Tobón </w:t>
      </w:r>
      <w:r w:rsidR="004F3849" w:rsidRPr="00556A8B">
        <w:t>y</w:t>
      </w:r>
      <w:r w:rsidRPr="00556A8B">
        <w:t xml:space="preserve"> Correa, 2022). Aquí emerge la figura del sujeto auténtico, orientado por valores y sentido más que por mera adaptación.</w:t>
      </w:r>
    </w:p>
    <w:p w14:paraId="6BEE5FC3" w14:textId="64153D14" w:rsidR="00DE23BF" w:rsidRPr="00556A8B" w:rsidRDefault="00E2629B" w:rsidP="00357B2F">
      <w:r w:rsidRPr="00556A8B">
        <w:t xml:space="preserve">Finalmente, las perspectivas psicosociales y comunitarias desplazan la atención hacia las condiciones estructurales y relacionales de la experiencia subjetiva. Desde Adler (1929, 1931) hasta desarrollos contemporáneos (Blanco </w:t>
      </w:r>
      <w:r w:rsidR="004F3849" w:rsidRPr="00556A8B">
        <w:t>y</w:t>
      </w:r>
      <w:r w:rsidRPr="00556A8B">
        <w:t xml:space="preserve"> Díaz, 2006; Cantor-Cruz et al., 2021; Hernández-Holguín </w:t>
      </w:r>
      <w:r w:rsidR="00641FDA" w:rsidRPr="00556A8B">
        <w:t xml:space="preserve">y </w:t>
      </w:r>
      <w:r w:rsidR="00641FDA" w:rsidRPr="00556A8B">
        <w:rPr>
          <w:rFonts w:eastAsia="Times New Roman" w:cs="Times New Roman"/>
        </w:rPr>
        <w:t>Sanmartín Rueda</w:t>
      </w:r>
      <w:r w:rsidRPr="00556A8B">
        <w:t xml:space="preserve"> 20</w:t>
      </w:r>
      <w:r w:rsidR="00641FDA" w:rsidRPr="00556A8B">
        <w:t>18</w:t>
      </w:r>
      <w:r w:rsidRPr="00556A8B">
        <w:t>; Muñoz Arroyave et al., 2022; Oberst y Azkarraga, 2023), la salud mental se comprende en interacción con el entorno social. La vertiente crítica latinoamericana introduce con mayor fuerza la dimensión del poder, la desigualdad y el sufrimiento social (Martín-Baró, 1998; Montero, 2004). En esta matriz, el sujeto saludable es inseparable de las condiciones materiales y de los vínculos comunitarios que hacen posible su bienestar</w:t>
      </w:r>
      <w:r w:rsidR="00DE23BF" w:rsidRPr="00556A8B">
        <w:t>.</w:t>
      </w:r>
    </w:p>
    <w:p w14:paraId="3E7575F1" w14:textId="77777777" w:rsidR="00EA7824" w:rsidRPr="00556A8B" w:rsidRDefault="00EA7824" w:rsidP="00357B2F">
      <w:pPr>
        <w:rPr>
          <w:rFonts w:cs="Times New Roman"/>
        </w:rPr>
      </w:pPr>
    </w:p>
    <w:p w14:paraId="5510538C" w14:textId="39B9EE38" w:rsidR="00DE23BF" w:rsidRPr="00556A8B" w:rsidRDefault="00DE23BF" w:rsidP="00357B2F">
      <w:pPr>
        <w:pStyle w:val="Ttulo2"/>
      </w:pPr>
      <w:bookmarkStart w:id="34" w:name="_Toc232580559"/>
      <w:r w:rsidRPr="00556A8B">
        <w:t>Salud mental como dispositivo de producción de subjetividad en el presente histórico</w:t>
      </w:r>
      <w:bookmarkEnd w:id="34"/>
    </w:p>
    <w:p w14:paraId="156FFE9E" w14:textId="7B2D5324" w:rsidR="00CF267C" w:rsidRPr="00556A8B" w:rsidRDefault="00CF267C" w:rsidP="00357B2F">
      <w:r w:rsidRPr="00556A8B">
        <w:t xml:space="preserve">El recorrido anterior permite advertir que, más allá de sus diferencias epistemológicas y metodológicas, las diversas corrientes psicológicas convergen en un punto estructural, </w:t>
      </w:r>
      <w:r w:rsidR="00E6303F">
        <w:t xml:space="preserve">tienden a </w:t>
      </w:r>
      <w:r w:rsidRPr="00556A8B">
        <w:t>produc</w:t>
      </w:r>
      <w:r w:rsidR="00E6303F">
        <w:t>ir</w:t>
      </w:r>
      <w:r w:rsidRPr="00556A8B">
        <w:t xml:space="preserve"> modelos normativos de subjetividad saludable. Ya sea bajo la figura del organismo neuroregulado, del yo integrado, del sujeto autorregulador, del individuo auténtico o del sujeto situado comunitariamente, cada matriz disciplinar delimita criterios específicos de normalidad, funcionalidad y deseabilidad.</w:t>
      </w:r>
    </w:p>
    <w:p w14:paraId="0487AD9F" w14:textId="526FB47C" w:rsidR="00CF267C" w:rsidRPr="00556A8B" w:rsidRDefault="00CF267C" w:rsidP="00357B2F">
      <w:r w:rsidRPr="00556A8B">
        <w:lastRenderedPageBreak/>
        <w:t xml:space="preserve">Estas diferencias no anulan su convergencia estructural. </w:t>
      </w:r>
      <w:r w:rsidR="00E6303F">
        <w:t>D</w:t>
      </w:r>
      <w:r w:rsidR="00E6303F" w:rsidRPr="00E6303F">
        <w:t>e manera predominante</w:t>
      </w:r>
      <w:r w:rsidRPr="00556A8B">
        <w:t>, la salud mental opera como principio ordenador que clasifica experiencias, jerarquiza conductas y orienta prácticas de intervención. Lo que varía no es la existencia de un ideal normativo, sino la forma particular que adopta dicho ideal. La multiplicidad de enfoques no supone ausencia de normatividad, sino proliferación de gramáticas normativas que organizan modos legítimos de ser, sentir y actuar.</w:t>
      </w:r>
    </w:p>
    <w:p w14:paraId="641C6568" w14:textId="77777777" w:rsidR="00CF267C" w:rsidRPr="00556A8B" w:rsidRDefault="00CF267C" w:rsidP="00357B2F">
      <w:r w:rsidRPr="00556A8B">
        <w:t>Desde una perspectiva foucaultiana, la salud mental puede comprenderse como un dispositivo en el que se articulan saberes científicos, prácticas profesionales, regulaciones institucionales y expectativas sociales (Foucault, 1977, 2007). El dispositivo no se reduce al ámbito clínico ni a la producción académica, sino que se despliega en políticas públicas, programas educativos, discursos mediáticos y tecnologías cotidianas de autogestión. En él convergen racionalidades biomédicas, psicológicas, pedagógicas y económicas que, aunque heterogéneas, comparten una función estratégica, producir sujetos capaces de gobernarse a sí mismos conforme a parámetros históricamente definidos de normalidad.</w:t>
      </w:r>
    </w:p>
    <w:p w14:paraId="306B2CE9" w14:textId="226BD7AF" w:rsidR="00CF267C" w:rsidRPr="00556A8B" w:rsidRDefault="00CF267C" w:rsidP="00357B2F">
      <w:r w:rsidRPr="00556A8B">
        <w:t xml:space="preserve">En este sentido, la noción de </w:t>
      </w:r>
      <w:r w:rsidR="009A7B04">
        <w:t>prácticas de sí</w:t>
      </w:r>
      <w:r w:rsidRPr="00556A8B">
        <w:t xml:space="preserve"> resulta particularmente esclarecedora. Foucault (1990) señala que estas remiten a prácticas mediante las cuales los individuos actúan sobre sí mismos para transformarse y alcanzar estados considerados deseables. La psicología contemporánea, en sus múltiples vertientes, ofrece repertorios técnicos que habilitan y simultáneamente prescriben modos específicos de autorregulación emocional, reestructuración cognitiva, búsqueda de autenticidad, gestión del estrés o fortalecimiento de habilidades sociales. Tales prácticas no operan prioritariamente mediante coerción externa, sino a través de la internalización de criterios normativos que los sujetos incorporan como expresión de su propia voluntad.</w:t>
      </w:r>
    </w:p>
    <w:p w14:paraId="1AA6B03A" w14:textId="4E903F5F" w:rsidR="00CF267C" w:rsidRPr="00556A8B" w:rsidRDefault="00CF267C" w:rsidP="00357B2F">
      <w:r w:rsidRPr="00556A8B">
        <w:t>La noción de gubernamentalidad permite ampliar esta lectura. Entendida como el conjunto de racionalidades y estrategias orientadas a conducir la conducta de individuos y poblaciones (Foucault, 2009</w:t>
      </w:r>
      <w:r w:rsidR="00556A8B" w:rsidRPr="00556A8B">
        <w:t>b</w:t>
      </w:r>
      <w:r w:rsidRPr="00556A8B">
        <w:t>), la gubernamentalidad moderna no se ejerce únicamente desde el Estado, sino a través de dispositivos que estructuran el campo de acción posible de los sujetos. Como ha mostrado Rose (2019), las psicociencias han desempeñado un papel central en la configuración de sujetos responsables, autónomos y orientados a la optimización permanente de su capital emocional y psicológico.</w:t>
      </w:r>
    </w:p>
    <w:p w14:paraId="07C362C9" w14:textId="77777777" w:rsidR="00CF267C" w:rsidRPr="00556A8B" w:rsidRDefault="00CF267C" w:rsidP="00357B2F">
      <w:r w:rsidRPr="00556A8B">
        <w:lastRenderedPageBreak/>
        <w:t>En el presente histórico, marcado por dinámicas neoliberales, precarización laboral y exigencias crecientes de rendimiento, la salud mental se convierte en un recurso estratégico para sostener la adaptabilidad y la resiliencia frente a condiciones estructuralmente inestables. El bienestar deja de ser únicamente un estado deseable y pasa a funcionar como condición de posibilidad para la productividad y la empleabilidad. La autorregulación emocional se convierte en competencia exigible, la resiliencia en virtud moral y la flexibilidad en imperativo permanente.</w:t>
      </w:r>
    </w:p>
    <w:p w14:paraId="6DB177F5" w14:textId="77777777" w:rsidR="00CF267C" w:rsidRPr="00556A8B" w:rsidRDefault="00CF267C" w:rsidP="00357B2F">
      <w:r w:rsidRPr="00556A8B">
        <w:t>En este escenario, el malestar tiende a traducirse en términos individuales incluso cuando sus determinantes son sociales o económicos. Las narrativas de autocuidado, resiliencia y gestión emocional, aunque pueden ofrecer herramientas valiosas para afrontar situaciones adversas, también pueden operar como mecanismos de desplazamiento que despolitizan el sufrimiento al reinscribirlo en la esfera de la responsabilidad personal. La promesa de bienestar coexiste así con la intensificación de exigencias de autooptimización.</w:t>
      </w:r>
    </w:p>
    <w:p w14:paraId="4C53E205" w14:textId="77777777" w:rsidR="00CF267C" w:rsidRPr="00556A8B" w:rsidRDefault="00CF267C" w:rsidP="00357B2F">
      <w:r w:rsidRPr="00556A8B">
        <w:t>Esto no implica reducir la psicología a un mero instrumento de dominación ni desconocer su potencial emancipador. Supone, más bien, reconocer su doble inscripción histórica, como campo de saber capaz de aliviar sufrimientos concretos y, simultáneamente, como tecnología que participa en la producción de subjetividades acordes con racionalidades políticas específicas. La salud mental, en tanto régimen de verdad, no solo describe la experiencia psíquica, la organiza, la clasifica y la orienta hacia horizontes particulares de normalidad.</w:t>
      </w:r>
    </w:p>
    <w:p w14:paraId="4912C8EF" w14:textId="77777777" w:rsidR="00CF267C" w:rsidRPr="00556A8B" w:rsidRDefault="00CF267C" w:rsidP="00357B2F">
      <w:r w:rsidRPr="00556A8B">
        <w:t>Desde esta perspectiva, el presente histórico no se concibe como simple marco temporal, sino como configuración discursiva contingente en la que se articulan sedimentaciones, desplazamientos y rearticulaciones de saberes. La forma actual de problematizar la salud mental es el resultado de procesos históricos que han naturalizado ciertos criterios, bienestar, funcionalidad, adaptabilidad, autenticidad y autorregulación, como evidentes, mientras otras formas de comprender el sufrimiento han sido marginalizadas o invisibilizadas.</w:t>
      </w:r>
    </w:p>
    <w:p w14:paraId="70B360F9" w14:textId="77777777" w:rsidR="00CF267C" w:rsidRPr="00556A8B" w:rsidRDefault="00CF267C" w:rsidP="00357B2F">
      <w:r w:rsidRPr="00556A8B">
        <w:t>El análisis de las prácticas discursivas de la psicología no busca determinar cuál enfoque es más adecuado o científicamente válido. Su propósito es comprender cómo, en el presente histórico, estas prácticas participan en la producción de formas específicas de subjetividad saludable. La pregunta no es ontológica, qué es la salud mental, sino estratégica, cómo funciona como operador normativo que delimita lo pensable, lo decible y lo practicable en relación con el malestar psíquico.</w:t>
      </w:r>
    </w:p>
    <w:p w14:paraId="2C9C1CBB" w14:textId="760969C1" w:rsidR="00CF267C" w:rsidRPr="00556A8B" w:rsidRDefault="00CF267C" w:rsidP="00357B2F">
      <w:r w:rsidRPr="00556A8B">
        <w:lastRenderedPageBreak/>
        <w:t xml:space="preserve">Este marco conceptual articula directamente con los objetivos de la </w:t>
      </w:r>
      <w:r w:rsidR="005B3DAC" w:rsidRPr="00556A8B">
        <w:t>tesis doctoral.</w:t>
      </w:r>
      <w:r w:rsidRPr="00556A8B">
        <w:t xml:space="preserve"> Si el objetivo general consiste en comprender las formas de subjetividad saludable producidas por las prácticas discursivas de la psicología en el presente histórico, entonces el análisis de las matrices disciplinares no constituye un ejercicio clasificatorio, sino el primer paso para identificar las gramáticas que configuran dichas formas. Las corrientes examinadas no son meras tradiciones teóricas, sino repertorios de producción de subjetividad que operan como tecnologías de gobierno del yo.</w:t>
      </w:r>
    </w:p>
    <w:p w14:paraId="7E14C4C5" w14:textId="57891134" w:rsidR="00DE23BF" w:rsidRPr="00556A8B" w:rsidRDefault="00CF267C" w:rsidP="00357B2F">
      <w:r w:rsidRPr="00556A8B">
        <w:t xml:space="preserve">En consecuencia, este encuadre habilita el </w:t>
      </w:r>
      <w:r w:rsidR="005B3DAC" w:rsidRPr="00556A8B">
        <w:t xml:space="preserve">corpus de análisis </w:t>
      </w:r>
      <w:r w:rsidRPr="00556A8B">
        <w:t>posterior. Comprender la salud mental como dispositivo y régimen de verdad permite examinar las enunciaciones de los psicólogos entrevistados no como opiniones individuales aisladas, sino como prácticas discursivas inscritas en formaciones más amplias que estructuran lo que puede ser dicho, pensado y practicado en el campo de la salud mental en el presente histórico</w:t>
      </w:r>
      <w:r w:rsidR="00DE23BF" w:rsidRPr="00556A8B">
        <w:t>.</w:t>
      </w:r>
    </w:p>
    <w:p w14:paraId="3939FF9E" w14:textId="77777777" w:rsidR="000E5B14" w:rsidRPr="00556A8B" w:rsidRDefault="000E5B14" w:rsidP="00357B2F">
      <w:pPr>
        <w:ind w:firstLine="0"/>
        <w:rPr>
          <w:rFonts w:cs="Times New Roman"/>
          <w:b/>
        </w:rPr>
      </w:pPr>
    </w:p>
    <w:p w14:paraId="63178481" w14:textId="1614AE81" w:rsidR="000E5B14" w:rsidRPr="00556A8B" w:rsidRDefault="000E5B14" w:rsidP="00357B2F">
      <w:pPr>
        <w:pStyle w:val="Ttulo2"/>
      </w:pPr>
      <w:bookmarkStart w:id="35" w:name="_Toc232580560"/>
      <w:r w:rsidRPr="00556A8B">
        <w:t>La normalidad como categoría relacional en el campo de la salud mental</w:t>
      </w:r>
      <w:bookmarkEnd w:id="35"/>
    </w:p>
    <w:p w14:paraId="3815FFA2" w14:textId="77777777" w:rsidR="00CF267C" w:rsidRPr="00556A8B" w:rsidRDefault="00CF267C" w:rsidP="00357B2F">
      <w:r w:rsidRPr="00556A8B">
        <w:t>Una vez examinado cómo la salud mental opera como régimen de verdad, resulta necesario analizar una categoría estrechamente vinculada que funciona como su condición de posibilidad, la normalidad. Aquello que se considera “normal” en términos de funcionamiento psíquico y comportamiento no constituye un dato natural, sino una construcción compleja que establece límites y clasificaciones que inciden directamente en los modos de conceptualizar, diagnosticar e intervenir en el campo de la salud mental.</w:t>
      </w:r>
    </w:p>
    <w:p w14:paraId="3EFCB588" w14:textId="77777777" w:rsidR="00CF267C" w:rsidRPr="00556A8B" w:rsidRDefault="00CF267C" w:rsidP="00357B2F">
      <w:r w:rsidRPr="00556A8B">
        <w:t>La normalidad no remite únicamente a un estado descriptivo, sino a un criterio relacional que delimita lo aceptable y lo desviado, lo funcional y lo disfuncional, lo saludable y lo patológico. En este sentido, su definición depende de marcos históricos, científicos e institucionales que organizan las formas de evaluación del sujeto.</w:t>
      </w:r>
    </w:p>
    <w:p w14:paraId="5CAFB513" w14:textId="77777777" w:rsidR="00322F62" w:rsidRPr="00556A8B" w:rsidRDefault="00322F62" w:rsidP="00357B2F"/>
    <w:p w14:paraId="1BBD87EC" w14:textId="51537E5B" w:rsidR="000E5B14" w:rsidRPr="00556A8B" w:rsidRDefault="000E5B14" w:rsidP="00073580">
      <w:pPr>
        <w:pStyle w:val="Ttulo3"/>
        <w:numPr>
          <w:ilvl w:val="2"/>
          <w:numId w:val="6"/>
        </w:numPr>
        <w:spacing w:line="360" w:lineRule="auto"/>
      </w:pPr>
      <w:bookmarkStart w:id="36" w:name="_Toc232580561"/>
      <w:r w:rsidRPr="00556A8B">
        <w:t>Perspectiva estadística de la normalidad</w:t>
      </w:r>
      <w:bookmarkEnd w:id="36"/>
    </w:p>
    <w:p w14:paraId="1058B923" w14:textId="77777777" w:rsidR="00CF267C" w:rsidRPr="00556A8B" w:rsidRDefault="00CF267C" w:rsidP="00357B2F">
      <w:pPr>
        <w:rPr>
          <w:rFonts w:cs="Times New Roman"/>
        </w:rPr>
      </w:pPr>
      <w:r w:rsidRPr="00556A8B">
        <w:rPr>
          <w:rFonts w:cs="Times New Roman"/>
        </w:rPr>
        <w:t xml:space="preserve">Una primera aproximación a la normalidad proviene de la perspectiva estadística, según la cual esta se define en relación con la frecuencia con que determinadas características se presentan en una población. Bajo este parámetro, lo normal corresponde a aquello que se sitúa próximo al promedio y dentro de los límites de variación considerados esperables (Anastasi y Urbina, 1997). </w:t>
      </w:r>
      <w:r w:rsidRPr="00556A8B">
        <w:rPr>
          <w:rFonts w:cs="Times New Roman"/>
        </w:rPr>
        <w:lastRenderedPageBreak/>
        <w:t>Desde esta comprensión, la normalidad se asocia con lo que la mayoría manifiesta, mientras que las desviaciones significativas respecto al promedio tienden a clasificarse como anormales.</w:t>
      </w:r>
    </w:p>
    <w:p w14:paraId="36C32E3C" w14:textId="77777777" w:rsidR="00CF267C" w:rsidRPr="00556A8B" w:rsidRDefault="00CF267C" w:rsidP="00357B2F">
      <w:pPr>
        <w:rPr>
          <w:rFonts w:cs="Times New Roman"/>
        </w:rPr>
      </w:pPr>
      <w:r w:rsidRPr="00556A8B">
        <w:rPr>
          <w:rFonts w:cs="Times New Roman"/>
        </w:rPr>
        <w:t>En esta línea, Wechsler (1958) sostiene que los rasgos psicológicos se distribuyen de manera continua y aproximadamente simétrica en la población, lo que permite establecer rangos de normalidad a partir de criterios cuantitativos. De forma complementaria, Galton (1889) concibió la normalidad como resultado de la distribución de rasgos físicos y psicológicos determinados biológicamente por la herencia, sentando las bases para su medición comparativa. Posteriormente, Eysenck (1953) profundizó esta lógica al proponer que la normalidad puede definirse mediante la distribución estandarizada de conductas consideradas típicas o estadísticamente esperables.</w:t>
      </w:r>
    </w:p>
    <w:p w14:paraId="78D18850" w14:textId="77777777" w:rsidR="00CF267C" w:rsidRPr="00556A8B" w:rsidRDefault="00CF267C" w:rsidP="00357B2F">
      <w:pPr>
        <w:rPr>
          <w:rFonts w:cs="Times New Roman"/>
        </w:rPr>
      </w:pPr>
      <w:r w:rsidRPr="00556A8B">
        <w:rPr>
          <w:rFonts w:cs="Times New Roman"/>
        </w:rPr>
        <w:t>En la evaluación psicológica contemporánea, los criterios de normalidad no se sustentan únicamente en la media aritmética, sino en la variabilidad estadística de los puntajes, particularmente en la desviación estándar, a partir de la cual se establecen puntos de corte que delimitan lo considerado normal y anormal (Cohen y Swerdlik, 2010). Tal como analiza Hacking (1990), este desplazamiento del promedio descriptivo hacia un criterio normativo convierte a la estadística en una tecnología clasificatoria, en la medida en que la tendencia central de una población opera como referencia para definir lo aceptable y lo desviado.</w:t>
      </w:r>
    </w:p>
    <w:p w14:paraId="19676112" w14:textId="078D4522" w:rsidR="00CF267C" w:rsidRPr="00556A8B" w:rsidRDefault="00CF267C" w:rsidP="00357B2F">
      <w:pPr>
        <w:rPr>
          <w:rFonts w:cs="Times New Roman"/>
        </w:rPr>
      </w:pPr>
      <w:r w:rsidRPr="00556A8B">
        <w:rPr>
          <w:rFonts w:cs="Times New Roman"/>
        </w:rPr>
        <w:t xml:space="preserve">Sin embargo, esta perspectiva tiende a naturalizar lo estadísticamente frecuente como normativamente deseable, invisibilizando que los promedios no constituyen datos neutrales, sino construcciones producidas en contextos históricos específicos. Como advierte Canguilhem (1981), </w:t>
      </w:r>
      <w:r w:rsidR="00B163CB" w:rsidRPr="00556A8B">
        <w:rPr>
          <w:rFonts w:cs="Times New Roman"/>
        </w:rPr>
        <w:t>“la vida misma, y no el juicio médico, convierte a lo normal biológico en un concepto de valor y no en un concepto estadístico de realidad” (p. 92).</w:t>
      </w:r>
      <w:r w:rsidR="00073580" w:rsidRPr="00556A8B">
        <w:rPr>
          <w:rFonts w:cs="Times New Roman"/>
        </w:rPr>
        <w:t xml:space="preserve"> </w:t>
      </w:r>
      <w:r w:rsidRPr="00556A8B">
        <w:rPr>
          <w:rFonts w:cs="Times New Roman"/>
        </w:rPr>
        <w:t>La estadística describe distribuciones, pero no puede, por sí misma, fundamentar juicios acerca de qué formas de existencia deben considerarse valiosas o saludables.</w:t>
      </w:r>
    </w:p>
    <w:p w14:paraId="4BA82A37" w14:textId="77777777" w:rsidR="00CF267C" w:rsidRPr="00556A8B" w:rsidRDefault="00CF267C" w:rsidP="00357B2F">
      <w:pPr>
        <w:rPr>
          <w:rFonts w:cs="Times New Roman"/>
        </w:rPr>
      </w:pPr>
    </w:p>
    <w:p w14:paraId="55ED0110" w14:textId="3035B6E4" w:rsidR="000E5B14" w:rsidRPr="00556A8B" w:rsidRDefault="000E5B14" w:rsidP="00914F05">
      <w:pPr>
        <w:pStyle w:val="Ttulo3"/>
        <w:numPr>
          <w:ilvl w:val="2"/>
          <w:numId w:val="6"/>
        </w:numPr>
        <w:spacing w:line="360" w:lineRule="auto"/>
      </w:pPr>
      <w:bookmarkStart w:id="37" w:name="_Toc232580562"/>
      <w:r w:rsidRPr="00556A8B">
        <w:t>Perspectiva organicista y funcional</w:t>
      </w:r>
      <w:bookmarkEnd w:id="37"/>
    </w:p>
    <w:p w14:paraId="3A27D32B" w14:textId="77777777" w:rsidR="00CF267C" w:rsidRPr="00556A8B" w:rsidRDefault="00CF267C" w:rsidP="00357B2F">
      <w:pPr>
        <w:rPr>
          <w:rFonts w:cs="Times New Roman"/>
        </w:rPr>
      </w:pPr>
      <w:r w:rsidRPr="00556A8B">
        <w:rPr>
          <w:rFonts w:cs="Times New Roman"/>
        </w:rPr>
        <w:t>Desde la perspectiva organicista, la normalidad se comprende a partir del correcto funcionamiento del organismo, sus sistemas y el equilibrio fisiológico. Esta mirada, fuertemente influida por la medicina moderna, la biología y la psicología funcionalista, concibe al individuo como una totalidad organizada cuyos componentes biológicos, psicológicos y conductuales deben operar de manera integrada para garantizar la conservación de la vida y la estabilidad interna.</w:t>
      </w:r>
    </w:p>
    <w:p w14:paraId="24DCF130" w14:textId="77777777" w:rsidR="00CF267C" w:rsidRPr="00556A8B" w:rsidRDefault="00CF267C" w:rsidP="00357B2F">
      <w:pPr>
        <w:rPr>
          <w:rFonts w:cs="Times New Roman"/>
        </w:rPr>
      </w:pPr>
      <w:r w:rsidRPr="00556A8B">
        <w:rPr>
          <w:rFonts w:cs="Times New Roman"/>
        </w:rPr>
        <w:lastRenderedPageBreak/>
        <w:t>En esta perspectiva, la normalidad se define en relación con el adecuado funcionamiento de los procesos fisiológicos y neurobiológicos. Medina Alva et al. (2015) sostienen que se encuentra regida por aspectos fisiológicos, bioquímicos y neurológicos asociados a la estructura cerebral y su funcionamiento. Dubos (1975) plantea que un organismo puede considerarse normal cuando responde de manera eficaz a las demandas adaptativas del entorno sin desviaciones significativas respecto a un estándar funcional. Meyer (1957) propone que la normalidad implica un funcionamiento óptimo que integra componentes biológicos, psicológicos y sociales, permitiendo una respuesta eficiente frente a las exigencias del medio.</w:t>
      </w:r>
    </w:p>
    <w:p w14:paraId="4B1D8CBD" w14:textId="77777777" w:rsidR="00CF267C" w:rsidRPr="00556A8B" w:rsidRDefault="00CF267C" w:rsidP="00357B2F">
      <w:pPr>
        <w:rPr>
          <w:rFonts w:cs="Times New Roman"/>
        </w:rPr>
      </w:pPr>
      <w:r w:rsidRPr="00556A8B">
        <w:rPr>
          <w:rFonts w:cs="Times New Roman"/>
        </w:rPr>
        <w:t>Las nociones clásicas de medio interno y homeostasis contribuyeron a consolidar esta lectura. Claude Bernard (1865) introdujo la idea de estabilidad del medio interno como condición de la vida, mientras Cannon (1932) desarrolló el concepto de homeostasis para describir los mecanismos autorreguladores que preservan el equilibrio fisiológico. Desde esta lógica, la normalidad se asocia con la capacidad del organismo para mantener estabilidad funcional. León (2021) retoma esta tradición al señalar que lo normal puede entenderse como un cuerpo que logra funcionar de manera adecuada, ordenada y saludable.</w:t>
      </w:r>
    </w:p>
    <w:p w14:paraId="47AD0161" w14:textId="77777777" w:rsidR="00CF267C" w:rsidRPr="00556A8B" w:rsidRDefault="00CF267C" w:rsidP="00357B2F">
      <w:pPr>
        <w:rPr>
          <w:rFonts w:cs="Times New Roman"/>
        </w:rPr>
      </w:pPr>
      <w:r w:rsidRPr="00556A8B">
        <w:rPr>
          <w:rFonts w:cs="Times New Roman"/>
        </w:rPr>
        <w:t>Por su parte, la perspectiva funcional desplaza el énfasis desde la estructura biológica hacia el desempeño. En este marco, Martínez Palau (2015) afirma que lo normal se vincula con la capacidad del individuo para cumplir funciones consideradas social y adaptativamente relevantes. La conducta, los procesos mentales y las emociones son evaluados en función de su utilidad para la adaptación, la productividad y la regulación de la vida cotidiana. Desde esta lógica, una respuesta se considera normal en la medida en que permite al sujeto ajustarse eficazmente a las exigencias del contexto, manteniendo un nivel aceptable de funcionamiento personal, social y laboral (Parsons, 1951; Wakefield, 1992).</w:t>
      </w:r>
    </w:p>
    <w:p w14:paraId="531AD475" w14:textId="77777777" w:rsidR="00CF267C" w:rsidRPr="00556A8B" w:rsidRDefault="00CF267C" w:rsidP="00357B2F">
      <w:pPr>
        <w:rPr>
          <w:rFonts w:cs="Times New Roman"/>
        </w:rPr>
      </w:pPr>
      <w:r w:rsidRPr="00556A8B">
        <w:rPr>
          <w:rFonts w:cs="Times New Roman"/>
        </w:rPr>
        <w:t>En ambas perspectivas, tanto organicista como funcional, la normalidad se vincula estrechamente con el equilibrio y la adaptación. El sujeto normal es aquel cuyo organismo funciona adecuadamente y cuya conducta se ajusta a parámetros considerados eficaces dentro de un entorno determinado. No obstante, esta concepción tiende a presuponer la existencia de estándares universales de funcionamiento, dejando en segundo plano las condiciones históricas y culturales que definen qué se entiende por equilibrio, eficiencia o adaptación.</w:t>
      </w:r>
    </w:p>
    <w:p w14:paraId="088D3277" w14:textId="77777777" w:rsidR="00FA617E" w:rsidRPr="00556A8B" w:rsidRDefault="00FA617E" w:rsidP="00357B2F">
      <w:pPr>
        <w:rPr>
          <w:rFonts w:cs="Times New Roman"/>
        </w:rPr>
      </w:pPr>
    </w:p>
    <w:p w14:paraId="00214B2D" w14:textId="74FE6C96" w:rsidR="00DE23BF" w:rsidRPr="00556A8B" w:rsidRDefault="00DE23BF" w:rsidP="00357B2F">
      <w:pPr>
        <w:pStyle w:val="Ttulo2"/>
      </w:pPr>
      <w:bookmarkStart w:id="38" w:name="_Toc232580563"/>
      <w:r w:rsidRPr="00556A8B">
        <w:lastRenderedPageBreak/>
        <w:t>El bienestar como ideal regulativo en la salud mental contemporánea</w:t>
      </w:r>
      <w:bookmarkEnd w:id="38"/>
    </w:p>
    <w:p w14:paraId="392F3D55" w14:textId="1E3E17DD" w:rsidR="00CF267C" w:rsidRPr="00556A8B" w:rsidRDefault="00CF267C" w:rsidP="00357B2F">
      <w:r w:rsidRPr="00556A8B">
        <w:t xml:space="preserve">Si la salud mental opera como régimen de verdad y la normalidad como categoría que delimita sus umbrales, el bienestar emerge como su horizonte positivo. No se trata únicamente de la ausencia de patología, sino de la formulación explícita de aquello que debe alcanzarse. En las racionalidades contemporáneas de gobierno de la psique, el bienestar se ha consolidado como ideal regulativo que orienta prácticas profesionales, políticas públicas y </w:t>
      </w:r>
      <w:r w:rsidR="009A7B04">
        <w:t>prácticas de sí</w:t>
      </w:r>
      <w:r w:rsidRPr="00556A8B">
        <w:t>.</w:t>
      </w:r>
    </w:p>
    <w:p w14:paraId="6450B91F" w14:textId="5B6FF9B1" w:rsidR="00CF267C" w:rsidRPr="00556A8B" w:rsidRDefault="00CF267C" w:rsidP="00357B2F">
      <w:r w:rsidRPr="00556A8B">
        <w:t>Las definiciones institucionales ilustran esta centralidad. La Organización Mundial de la Salud (OMS, 202</w:t>
      </w:r>
      <w:r w:rsidR="00641FDA" w:rsidRPr="00556A8B">
        <w:t>0</w:t>
      </w:r>
      <w:r w:rsidRPr="00556A8B">
        <w:t>) lo concibe como un estado dinámico resultante de la interacción entre componentes físicos, psicológicos y sociales. La Asociación Americana de Psicología (APA, 2018) señala que depende de factores parcialmente gestionables por el individuo, como la biología, el entorno, el estilo de vida y el uso de servicios de salud, introduciendo una dimensión explícita de responsabilidad personal. En el ámbito académico, Muñoz et al. (2022) lo vinculan con el funcionamiento considerado normal y con la condición misma de salud mental.</w:t>
      </w:r>
    </w:p>
    <w:p w14:paraId="07DAD2E6" w14:textId="77777777" w:rsidR="00CF267C" w:rsidRPr="00556A8B" w:rsidRDefault="00CF267C" w:rsidP="00357B2F">
      <w:r w:rsidRPr="00556A8B">
        <w:t>Desde estas formulaciones, el bienestar aparece como categoría multidimensional que articula experiencia subjetiva, desempeño funcional y condiciones sociales. Terris (1982) lo define como un estado de bienestar físico, mental y social acompañado de la capacidad para funcionar. Builes y Bedoya (2008) subrayan su relación con la construcción individual de la normalidad. Moreta et al. (2018) y Cabanaz e Illouz (2019) enfatizan su carácter subjetivo y evaluativo, mientras que Valderrama et al. (2023) destacan su naturaleza integral y dinámica. Neri (2002) lo asocia con la evaluación personal de las condiciones contextuales de vida. Esta pluralidad converge en la idea de que el bienestar no es un estado estático, sino un equilibrio dinámico entre dimensiones internas y externas.</w:t>
      </w:r>
    </w:p>
    <w:p w14:paraId="70D985F6" w14:textId="77777777" w:rsidR="00CF267C" w:rsidRPr="00556A8B" w:rsidRDefault="00CF267C" w:rsidP="00357B2F">
      <w:r w:rsidRPr="00556A8B">
        <w:t>Una primera vertiente, tradicionalmente denominada hedónica o subjetiva, define el bienestar en términos de satisfacción vital y balance afectivo. Diener (1984, 2000) sostiene que se fundamenta en la evaluación que las personas realizan de sus vidas, combinando juicios cognitivos y reacciones emocionales. Andrews y Withey (1976) distinguen entre componente afectivo, referido al agrado o desagrado respecto a los estados emocionales, y componente cognitivo, vinculado a la satisfacción con la vida derivada de la comparación entre aspiraciones y logros. Oramas et al. (2006) y Urzúa y Caqueo-Urízar (2012) subrayan que el bienestar subjetivo implica sentirse bien, no únicamente funcionar adecuadamente.</w:t>
      </w:r>
    </w:p>
    <w:p w14:paraId="63F52859" w14:textId="77777777" w:rsidR="00CF267C" w:rsidRPr="00556A8B" w:rsidRDefault="00CF267C" w:rsidP="00357B2F">
      <w:r w:rsidRPr="00556A8B">
        <w:lastRenderedPageBreak/>
        <w:t>Esta concepción introduce una lógica de gestión emocional en la que el bienestar depende de potenciar emociones positivas y regular afectos negativos. Los estados afectivos se convierten en objetos de intervención técnica, susceptibles de medición, entrenamiento y optimización.</w:t>
      </w:r>
    </w:p>
    <w:p w14:paraId="4F19D372" w14:textId="7D48E8D1" w:rsidR="00CF267C" w:rsidRPr="00556A8B" w:rsidRDefault="00CF267C" w:rsidP="007D29CA">
      <w:r w:rsidRPr="00556A8B">
        <w:t>Una segunda vertiente, de carácter eudaimónico, desplaza el foco desde el placer hacia el desarrollo humano. Ryff (1989, 1995; Ryff y Singer, 2008) plantea que</w:t>
      </w:r>
      <w:r w:rsidR="007D29CA" w:rsidRPr="00556A8B">
        <w:rPr>
          <w:rFonts w:cs="Times New Roman"/>
        </w:rPr>
        <w:t xml:space="preserve"> “el bienestar psicológico no se reduce al placer o la satisfacción, sino que implica la experiencia de funcionar de manera óptima en la vida y alcanzar la propia potencialidad” (p. 1071).</w:t>
      </w:r>
      <w:r w:rsidR="007D29CA" w:rsidRPr="00556A8B">
        <w:t xml:space="preserve"> En ese sentido, </w:t>
      </w:r>
      <w:r w:rsidRPr="00556A8B">
        <w:t>el bienestar psicológico implica funcionamiento óptimo y despliegue de potencialidades, estructurado en dimensiones como autoaceptación, autonomía, propósito vital, dominio del entorno, relaciones positivas y crecimiento personal. Narváez et al. (2021), Romero et al. (2007) y Vásquez et al. (2009) consolidan esta lectura del bienestar como proceso de autorrealización. Desde esta perspectiva, vivir bien no significa únicamente experimentar emociones agradables, sino orientarse hacia una vida significativa y productiva.</w:t>
      </w:r>
    </w:p>
    <w:p w14:paraId="7712C328" w14:textId="5A4AA6A3" w:rsidR="00F4490F" w:rsidRPr="00556A8B" w:rsidRDefault="00CF267C" w:rsidP="00792085">
      <w:r w:rsidRPr="00556A8B">
        <w:t>Una tercera dimensión enfatiza el bienestar social. Keyes (1998, 2002) propone que la salud mental incluye integración, contribución, coherencia, actualización y aceptación social. Blanco y Díaz (200</w:t>
      </w:r>
      <w:r w:rsidR="00792085" w:rsidRPr="00556A8B">
        <w:t>6</w:t>
      </w:r>
      <w:r w:rsidRPr="00556A8B">
        <w:t xml:space="preserve">) y Muñoz et al. (2022) destacan que el bienestar depende también de la calidad de los vínculos y de las oportunidades de participación en la vida colectiva. </w:t>
      </w:r>
      <w:r w:rsidR="00025B17" w:rsidRPr="00556A8B">
        <w:t xml:space="preserve"> </w:t>
      </w:r>
      <w:r w:rsidR="00F4490F" w:rsidRPr="00F4490F">
        <w:rPr>
          <w:rFonts w:cs="Times New Roman"/>
        </w:rPr>
        <w:t>Como señala Keyes (2002), el bienestar no se agota en la experiencia individual; implica también sentirse parte de una comunidad, contribuir a ella y percibir que la vida social tiene coherencia y dirección. El bienestar no es entonces exclusivamente intrapsíquico, sino relacional y contextual</w:t>
      </w:r>
      <w:r w:rsidR="00F4490F">
        <w:rPr>
          <w:rFonts w:cs="Times New Roman"/>
        </w:rPr>
        <w:t>.</w:t>
      </w:r>
      <w:r w:rsidR="005813C7">
        <w:rPr>
          <w:rFonts w:cs="Times New Roman"/>
        </w:rPr>
        <w:tab/>
      </w:r>
    </w:p>
    <w:p w14:paraId="7EF1339E" w14:textId="7CE79F2A" w:rsidR="00CF267C" w:rsidRPr="00556A8B" w:rsidRDefault="00CF267C" w:rsidP="00357B2F">
      <w:r w:rsidRPr="00556A8B">
        <w:t xml:space="preserve">Las síntesis contemporáneas integran estas dimensiones. Deci y Ryan (2008) vinculan el bienestar con la satisfacción de necesidades básicas y la autonomía. Dodge et al. (2012) lo conciben como equilibrio entre recursos internos y externos. Huppert (2009) lo asocia con emociones positivas, compromiso, relaciones, sentido y logros interrelacionados. </w:t>
      </w:r>
      <w:r w:rsidR="00E6303F" w:rsidRPr="00E6303F">
        <w:t>En la mayoría de los casos analizados</w:t>
      </w:r>
      <w:r w:rsidRPr="00556A8B">
        <w:t>, el bienestar aparece como resultado de una gestión eficaz de recursos personales en interacción con el entorno.</w:t>
      </w:r>
    </w:p>
    <w:p w14:paraId="06563E45" w14:textId="77777777" w:rsidR="00CF267C" w:rsidRPr="00556A8B" w:rsidRDefault="00CF267C" w:rsidP="00357B2F">
      <w:r w:rsidRPr="00556A8B">
        <w:t xml:space="preserve">No obstante, más allá de su diversidad conceptual, el bienestar comparte un rasgo estructural, se presenta como meta alcanzable mediante trabajo sobre sí mismo. Esta característica adquiere especial relevancia desde una lectura crítica. Illouz (2007, 2010) sostiene que el bienestar constituye una promesa cultural articulada al capitalismo emocional. Las emociones asociadas al bienestar son traducidas en lenguajes técnicos provenientes de la </w:t>
      </w:r>
      <w:r w:rsidRPr="00556A8B">
        <w:lastRenderedPageBreak/>
        <w:t>psicología, volviéndose evaluables y gestionables. Paralelamente, el mercado incorpora competencias emocionales, como la autorregulación, la empatía y la inteligencia emocional, como formas de capital social. El bienestar deja de ser mera experiencia subjetiva para convertirse en recurso estratégico y criterio de valor.</w:t>
      </w:r>
    </w:p>
    <w:p w14:paraId="359F98EF" w14:textId="77777777" w:rsidR="00CF267C" w:rsidRPr="00556A8B" w:rsidRDefault="00CF267C" w:rsidP="00357B2F">
      <w:r w:rsidRPr="00556A8B">
        <w:t>Ahmed (2010) complementa esta perspectiva al mostrar cómo la felicidad y el bienestar funcionan como orientadores afectivos que delimitan qué emociones son legítimas. El bienestar se vincula con la adhesión a ideales emocionalmente valorados, como el optimismo, el entusiasmo y la satisfacción, mientras que estados como la tristeza o el descontento pueden interpretarse como fallas en la orientación adecuada hacia la vida. De este modo, el bienestar no solo describe un estado, sino que orienta conductas y expectativas.</w:t>
      </w:r>
    </w:p>
    <w:p w14:paraId="46BAE7AF" w14:textId="77777777" w:rsidR="00CF267C" w:rsidRPr="00556A8B" w:rsidRDefault="00CF267C" w:rsidP="00357B2F">
      <w:r w:rsidRPr="00556A8B">
        <w:t>En este sentido, el bienestar se inscribe en dinámicas de gubernamentalidad (Foucault, 2016; Rose, 2019). No opera principalmente mediante prohibiciones, sino promoviendo la autooptimización constante. Han (2014) señala que en las sociedades contemporáneas el imperativo ya no es obedecer, sino rendir y realizarse. El sujeto deviene empresario de sí mismo, responsable de invertir de manera continua en su equilibrio emocional y desarrollo personal.</w:t>
      </w:r>
    </w:p>
    <w:p w14:paraId="0B56FCC5" w14:textId="77777777" w:rsidR="00CF267C" w:rsidRPr="00556A8B" w:rsidRDefault="00CF267C" w:rsidP="00357B2F">
      <w:r w:rsidRPr="00556A8B">
        <w:t>En el campo de la salud mental, esta racionalidad implica que el bienestar se consolida como criterio central de intervención. La psicología no solo atiende el sufrimiento, sino que promueve la mejora continua de la calidad de vida, la maximización del potencial y la regulación emocional permanente. El malestar puede reinterpretarse como déficit de gestión, y la búsqueda de bienestar como deber individual.</w:t>
      </w:r>
    </w:p>
    <w:p w14:paraId="232BBD07" w14:textId="5CD21A4C" w:rsidR="00CF267C" w:rsidRPr="00556A8B" w:rsidRDefault="00CF267C" w:rsidP="00357B2F">
      <w:r w:rsidRPr="00556A8B">
        <w:t xml:space="preserve">Para esta investigación, el bienestar no será entendido como estado universal ni como meta incuestionable. Se asume que funciona como ideal regulativo que orienta </w:t>
      </w:r>
      <w:r w:rsidR="009A7B04">
        <w:t>prácticas de sí</w:t>
      </w:r>
      <w:r w:rsidRPr="00556A8B">
        <w:t xml:space="preserve"> contemporáneas y prescribe formas de autogobierno alineadas con racionalidades neoliberales de productividad, adaptación y autorresponsabilización (Foucault, 2016; Rose, 2019; Han, 2014; Illouz, 2007). La pregunta no será cómo alcanzarlo, sino cómo opera como dispositivo que organiza discursos profesionales, delimita expectativas sobre la vida psíquica y produce formas específicas de subjetividad saludable en el presente histórico. Interesa comprender qué gramáticas lo sostienen, qué prácticas lo materializan y qué efectos de poder emergen cuando el bienestar se convierte en mandato de optimización permanente.</w:t>
      </w:r>
    </w:p>
    <w:p w14:paraId="541A4560" w14:textId="77777777" w:rsidR="000E5B14" w:rsidRPr="00556A8B" w:rsidRDefault="000E5B14" w:rsidP="00357B2F">
      <w:pPr>
        <w:rPr>
          <w:rFonts w:cs="Times New Roman"/>
        </w:rPr>
      </w:pPr>
    </w:p>
    <w:p w14:paraId="084DD875" w14:textId="77777777" w:rsidR="00DE23BF" w:rsidRPr="00556A8B" w:rsidRDefault="00DE23BF" w:rsidP="00357B2F">
      <w:pPr>
        <w:pStyle w:val="Ttulo2"/>
        <w:rPr>
          <w:rFonts w:eastAsia="Times New Roman"/>
        </w:rPr>
      </w:pPr>
      <w:bookmarkStart w:id="39" w:name="_Toc232580564"/>
      <w:r w:rsidRPr="00556A8B">
        <w:rPr>
          <w:rFonts w:eastAsia="Times New Roman"/>
        </w:rPr>
        <w:lastRenderedPageBreak/>
        <w:t>Prácticas discursivas y producción de subjetividad</w:t>
      </w:r>
      <w:bookmarkEnd w:id="39"/>
    </w:p>
    <w:p w14:paraId="5DA88CD3" w14:textId="77777777" w:rsidR="00777142" w:rsidRPr="00556A8B" w:rsidRDefault="00777142" w:rsidP="00357B2F">
      <w:r w:rsidRPr="00556A8B">
        <w:t>En el marco de esta investigación resulta necesario examinar cómo determinadas formas de saber y prácticas disciplinares participan en la producción de subjetividades saludables, funcionales o normales. El análisis no se orienta únicamente a describir conceptos, sino a comprender las condiciones discursivas que hacen posible que ciertas formas de experiencia psíquica se vuelvan inteligibles, legítimas y normativamente deseables. El punto de partida es, por tanto, la noción de prácticas discursivas.</w:t>
      </w:r>
    </w:p>
    <w:p w14:paraId="262F75D6" w14:textId="77777777" w:rsidR="00777142" w:rsidRPr="00556A8B" w:rsidRDefault="00777142" w:rsidP="00357B2F">
      <w:r w:rsidRPr="00556A8B">
        <w:t>Lejos de concebir el discurso como un simple conjunto de palabras o como representación de una realidad previa, se asume que constituye una práctica productiva. Parker (1992) lo define como un sistema de términos a través del cual un objeto puede ser nombrado, comprendido e intervenido, delimitando simultáneamente posiciones subjetivas posibles. En una línea más radical, Foucault (1970a) entiende el discurso como un conjunto de enunciados que comparten condiciones de existencia; su unidad no depende del tema ni de la intención del hablante, sino de las reglas que permiten que ciertos enunciados aparezcan como verdaderos y significativos en un momento histórico determinado. El discurso no describe simplemente el mundo, lo organiza, lo clasifica y lo produce como campo de saber.</w:t>
      </w:r>
    </w:p>
    <w:p w14:paraId="05C85DE6" w14:textId="7FC3730E" w:rsidR="00777142" w:rsidRPr="00556A8B" w:rsidRDefault="00777142" w:rsidP="00357B2F">
      <w:r w:rsidRPr="00556A8B">
        <w:t xml:space="preserve">Desde esta perspectiva, las prácticas discursivas no se reducen a modos de expresión lingüística. Son conjuntos de reglas históricas, anónimas y situadas que definen las condiciones de ejercicio de la función enunciativa (Foucault, 1970a). Estas reglas establecen qué puede decirse, quién puede decirlo, desde qué posiciones institucionales y </w:t>
      </w:r>
      <w:r w:rsidR="003254F8" w:rsidRPr="00556A8B">
        <w:t xml:space="preserve">con </w:t>
      </w:r>
      <w:r w:rsidR="004F3849" w:rsidRPr="00556A8B">
        <w:t>qué</w:t>
      </w:r>
      <w:r w:rsidRPr="00556A8B">
        <w:t xml:space="preserve"> criterios de validación. Se trata de mecanismos que regulan la producción, circulación y legitimación de enunciados en un contexto social, cultural y político específico (Laclau y Mouffe, 1985).</w:t>
      </w:r>
    </w:p>
    <w:p w14:paraId="12AE0710" w14:textId="77777777" w:rsidR="000430C0" w:rsidRPr="00556A8B" w:rsidRDefault="00777142" w:rsidP="000430C0">
      <w:r w:rsidRPr="00556A8B">
        <w:t>Así entendidas, las prácticas discursivas estructuran la comprensión del mundo, de los otros y de uno mismo. No solo configuran objetos, como la salud mental, el bienestar o la normalidad, sino también sujetos capaces de reconocerse en esas categorías. El discurso opera como práctica productora de sentidos, saberes y formas de subjetivación.</w:t>
      </w:r>
    </w:p>
    <w:p w14:paraId="276DF05B" w14:textId="5BEF9EDA" w:rsidR="00025B17" w:rsidRPr="00556A8B" w:rsidRDefault="00777142" w:rsidP="000430C0">
      <w:r w:rsidRPr="00556A8B">
        <w:t xml:space="preserve">Para comprender esta operación resulta clave la noción de gramática discursiva. Más allá de su acepción estrictamente lingüística, la gramática remite al sistema de posibilidades y restricciones que regula lo decible dentro de un campo discursivo (Halliday, 1994). En términos foucaultianos, se trata de los sistemas de formación que determinan no solo los objetos de los que se puede hablar, sino las modalidades mismas del decir (Foucault, 1970a). La gramática organiza </w:t>
      </w:r>
      <w:r w:rsidRPr="00556A8B">
        <w:lastRenderedPageBreak/>
        <w:t>las posiciones de enunciación, las estrategias semánticas, los criterios de validación y las formas de representación que delimitan el horizonte de sentido disponible en una época.</w:t>
      </w:r>
      <w:r w:rsidR="00025B17" w:rsidRPr="00556A8B">
        <w:t xml:space="preserve"> Foucault (1970), entiende el discurso como; </w:t>
      </w:r>
    </w:p>
    <w:p w14:paraId="3FAA9AEA" w14:textId="77777777" w:rsidR="00025B17" w:rsidRPr="00556A8B" w:rsidRDefault="00025B17" w:rsidP="00025B17">
      <w:pPr>
        <w:spacing w:line="240" w:lineRule="auto"/>
        <w:ind w:firstLine="708"/>
      </w:pPr>
    </w:p>
    <w:p w14:paraId="0F05E445" w14:textId="77777777" w:rsidR="00025B17" w:rsidRPr="00556A8B" w:rsidRDefault="00025B17" w:rsidP="00025B17">
      <w:pPr>
        <w:spacing w:line="240" w:lineRule="auto"/>
        <w:ind w:left="708" w:firstLine="0"/>
        <w:rPr>
          <w:rFonts w:cs="Times New Roman"/>
        </w:rPr>
      </w:pPr>
      <w:r w:rsidRPr="00556A8B">
        <w:rPr>
          <w:rFonts w:cs="Times New Roman"/>
          <w:bCs/>
        </w:rPr>
        <w:t xml:space="preserve">un </w:t>
      </w:r>
      <w:r w:rsidRPr="00556A8B">
        <w:rPr>
          <w:rFonts w:cs="Times New Roman"/>
        </w:rPr>
        <w:t>conjunto de enunciados que dependen de las mismas condiciones de existencia. Su unidad no está dada por el tema o la intención del hablante, sino por las reglas que hacen posible que ciertos enunciados aparezcan como significativos y verdaderos en un momento dado (p.55).</w:t>
      </w:r>
    </w:p>
    <w:p w14:paraId="21B5A8D4" w14:textId="7012D5B3" w:rsidR="00025B17" w:rsidRPr="00556A8B" w:rsidRDefault="00025B17" w:rsidP="00025B17"/>
    <w:p w14:paraId="28050E93" w14:textId="49FDB3B9" w:rsidR="000430C0" w:rsidRPr="00556A8B" w:rsidRDefault="00777142" w:rsidP="000430C0">
      <w:r w:rsidRPr="00556A8B">
        <w:t>La gramática no debe entenderse</w:t>
      </w:r>
      <w:r w:rsidR="000430C0" w:rsidRPr="00556A8B">
        <w:t>, entonces,</w:t>
      </w:r>
      <w:r w:rsidRPr="00556A8B">
        <w:t xml:space="preserve"> como estructura neutra, sino como dispositivo normativo. Al establecer regularidades discursivas contribuye a producir jerarquías de verdad y a consolidar determinadas formas de autoridad disciplinar. Butler (2002) ha mostrado que estas regularidades no solo describen identidades, sino que las performan, instituyendo aquello que nombran. De este modo, la práctica discursiva no es exterior al poder, constituye uno de sus modos privilegiados de ejercicio.</w:t>
      </w:r>
      <w:r w:rsidR="000430C0" w:rsidRPr="00556A8B">
        <w:t xml:space="preserve"> </w:t>
      </w:r>
      <w:r w:rsidR="000430C0" w:rsidRPr="00556A8B">
        <w:rPr>
          <w:rFonts w:cs="Times New Roman"/>
          <w:bCs/>
        </w:rPr>
        <w:t xml:space="preserve">Foucault (1970) entiende que;  </w:t>
      </w:r>
    </w:p>
    <w:p w14:paraId="650CD4B3" w14:textId="77777777" w:rsidR="000430C0" w:rsidRPr="00556A8B" w:rsidRDefault="000430C0" w:rsidP="000430C0">
      <w:pPr>
        <w:spacing w:line="240" w:lineRule="auto"/>
        <w:ind w:firstLine="708"/>
        <w:rPr>
          <w:rFonts w:cs="Times New Roman"/>
          <w:bCs/>
        </w:rPr>
      </w:pPr>
    </w:p>
    <w:p w14:paraId="3848B2D1" w14:textId="77777777" w:rsidR="000430C0" w:rsidRPr="00556A8B" w:rsidRDefault="000430C0" w:rsidP="000430C0">
      <w:pPr>
        <w:spacing w:line="240" w:lineRule="auto"/>
        <w:ind w:left="708"/>
        <w:rPr>
          <w:rFonts w:cs="Times New Roman"/>
          <w:bCs/>
        </w:rPr>
      </w:pPr>
      <w:r w:rsidRPr="00556A8B">
        <w:rPr>
          <w:rFonts w:cs="Times New Roman"/>
          <w:bCs/>
        </w:rPr>
        <w:t>las prácticas discursivas no son pura y simplemente modos de fabricación de discursos. Son conjuntos de reglas anónimas, históricas, siempre determinadas en el tiempo y en el espacio, que han definido, para una época dada y para un área social, económica, geográfica o lingüística dada, las condiciones de ejercicio de la función enunciativa</w:t>
      </w:r>
      <w:r w:rsidRPr="00556A8B">
        <w:rPr>
          <w:rFonts w:cs="Times New Roman"/>
          <w:b/>
          <w:bCs/>
        </w:rPr>
        <w:t xml:space="preserve"> </w:t>
      </w:r>
      <w:r w:rsidRPr="00556A8B">
        <w:rPr>
          <w:rFonts w:cs="Times New Roman"/>
          <w:bCs/>
        </w:rPr>
        <w:t>(p.62)</w:t>
      </w:r>
    </w:p>
    <w:p w14:paraId="71EE61AE" w14:textId="77777777" w:rsidR="000430C0" w:rsidRPr="00556A8B" w:rsidRDefault="000430C0" w:rsidP="00357B2F"/>
    <w:p w14:paraId="3EA2E2E4" w14:textId="13D5F789" w:rsidR="00777142" w:rsidRPr="00556A8B" w:rsidRDefault="00777142" w:rsidP="00357B2F">
      <w:r w:rsidRPr="00556A8B">
        <w:t>La emergencia de una práctica discursiva está siempre vinculada a condiciones históricas de posibilidad. Para Foucault (1970a, 1970b), estas condiciones no son causas lineales, sino entramados sociales, políticos, económicos y epistémicos que permiten que ciertos fenómenos se conviertan en objetos de discurso, sean problematizados y regulados</w:t>
      </w:r>
      <w:r w:rsidR="000430C0" w:rsidRPr="00556A8B">
        <w:t>, pues “toda formación discursiva tiene sus propias reglas de formación, de ordenamiento, de exclusión, de rareza y de legitimidad” (Foucault, 2003, p. 44).</w:t>
      </w:r>
      <w:r w:rsidRPr="00556A8B">
        <w:t xml:space="preserve"> No se trata simplemente de que algo exista y luego sea nombrado; la posibilidad misma de nombrarlo depende de un régimen de saber que lo hace visible y pensable.</w:t>
      </w:r>
    </w:p>
    <w:p w14:paraId="04E7A816" w14:textId="11D69B22" w:rsidR="00F4490F" w:rsidRDefault="00F4490F" w:rsidP="00F4490F">
      <w:pPr>
        <w:rPr>
          <w:rFonts w:cs="Times New Roman"/>
        </w:rPr>
      </w:pPr>
      <w:r w:rsidRPr="00F4490F">
        <w:t xml:space="preserve">En cada época, una episteme delimita el campo de lo inteligible, estableciendo qué enunciados pueden coexistir, qué conceptos se articulan y qué estrategias discursivas adquieren legitimidad (Foucault, 1970b). Las reglas de formación no suelen ser explícitas, operan de manera subyacente, organizando la producción de significados y articulándose con relaciones de saber y poder (Deleuze, 1986). El discurso no puede entenderse como reflejo de la realidad, sino </w:t>
      </w:r>
      <w:r w:rsidRPr="00F4490F">
        <w:lastRenderedPageBreak/>
        <w:t>como red productiva que la constituye como tal. Bajo esta premisa, las prácticas discursivas no son meros vehículos de contenidos preexistentes; son el medio a través del cual se instituyen los objetos, los sujetos y las relaciones que organizan la experiencia social. Como advierte Deleuze (1986), el discurso foucaultiano no describe una realidad que ya existe, sino que traza las condiciones bajo las cuales algo puede existir como objeto de saber y de poder.</w:t>
      </w:r>
    </w:p>
    <w:p w14:paraId="6C51A433" w14:textId="77777777" w:rsidR="00511928" w:rsidRPr="00556A8B" w:rsidRDefault="00511928" w:rsidP="00F4490F"/>
    <w:p w14:paraId="0170E4BB" w14:textId="77777777" w:rsidR="00777142" w:rsidRPr="00556A8B" w:rsidRDefault="00777142" w:rsidP="00357B2F">
      <w:r w:rsidRPr="00556A8B">
        <w:t>Desde esta concepción, lo que se reconoce como realidad social está atravesado por redes discursivas que la organizan y la hacen inteligible. Esta perspectiva rompe con la idea de un lenguaje transparente y conduce a asumir su dimensión performativa, los discursos no solo comunican, producen realidades institucionales, sociales y subjetivas.</w:t>
      </w:r>
    </w:p>
    <w:p w14:paraId="63038311" w14:textId="77777777" w:rsidR="00777142" w:rsidRPr="00556A8B" w:rsidRDefault="00777142" w:rsidP="00357B2F">
      <w:r w:rsidRPr="00556A8B">
        <w:t>En el campo de la salud mental, las prácticas discursivas de la psicología configuran los criterios a partir de los cuales ciertas experiencias son leídas como saludables, adaptativas o patológicas. Definen los marcos desde los cuales los sujetos interpretan su malestar, reconocen sus emociones y orientan sus trayectorias vitales. La producción de subjetividad no es un proceso interior aislado, sino el resultado de la inscripción del sujeto en matrices discursivas que delimitan lo pensable, lo deseable y lo normativamente válido.</w:t>
      </w:r>
    </w:p>
    <w:p w14:paraId="528ADD11" w14:textId="2A1BDB58" w:rsidR="00DE23BF" w:rsidRPr="00556A8B" w:rsidRDefault="00777142" w:rsidP="00357B2F">
      <w:r w:rsidRPr="00556A8B">
        <w:t xml:space="preserve">Este </w:t>
      </w:r>
      <w:r w:rsidR="00802529" w:rsidRPr="00556A8B">
        <w:t xml:space="preserve">referente </w:t>
      </w:r>
      <w:r w:rsidRPr="00556A8B">
        <w:t xml:space="preserve">teórico permite analizar cómo la psicología, en tanto disciplina y campo de saber, no solo describe estados mentales, sino que participa activamente en la constitución de formas específicas de subjetividad saludable en el presente histórico. La pregunta no es únicamente qué dicen los discursos sobre la salud mental, sino cómo operan, </w:t>
      </w:r>
      <w:r w:rsidR="003254F8" w:rsidRPr="00556A8B">
        <w:t xml:space="preserve">qué </w:t>
      </w:r>
      <w:r w:rsidRPr="00556A8B">
        <w:t xml:space="preserve">reglas </w:t>
      </w:r>
      <w:r w:rsidR="004F3849" w:rsidRPr="00556A8B">
        <w:t>lo legitiman</w:t>
      </w:r>
      <w:r w:rsidRPr="00556A8B">
        <w:t xml:space="preserve"> y qué tipos de sujetos </w:t>
      </w:r>
      <w:r w:rsidR="005A17E1" w:rsidRPr="00556A8B">
        <w:t xml:space="preserve">lo </w:t>
      </w:r>
      <w:r w:rsidRPr="00556A8B">
        <w:t>hacen posibles</w:t>
      </w:r>
      <w:r w:rsidR="00DE23BF" w:rsidRPr="00556A8B">
        <w:rPr>
          <w:iCs/>
        </w:rPr>
        <w:t>.</w:t>
      </w:r>
    </w:p>
    <w:p w14:paraId="518CC87A" w14:textId="77777777" w:rsidR="000E5B14" w:rsidRPr="00556A8B" w:rsidRDefault="000E5B14" w:rsidP="00357B2F">
      <w:pPr>
        <w:rPr>
          <w:rFonts w:cs="Times New Roman"/>
          <w:b/>
        </w:rPr>
      </w:pPr>
    </w:p>
    <w:p w14:paraId="55D825BF" w14:textId="5A4C7074" w:rsidR="00FA617E" w:rsidRPr="00556A8B" w:rsidRDefault="00DE23BF" w:rsidP="000430C0">
      <w:pPr>
        <w:pStyle w:val="Ttulo3"/>
        <w:numPr>
          <w:ilvl w:val="2"/>
          <w:numId w:val="6"/>
        </w:numPr>
        <w:spacing w:line="360" w:lineRule="auto"/>
      </w:pPr>
      <w:bookmarkStart w:id="40" w:name="_Toc232580565"/>
      <w:r w:rsidRPr="00556A8B">
        <w:t>Componentes estructurales de las prácticas discursivas</w:t>
      </w:r>
      <w:bookmarkEnd w:id="40"/>
    </w:p>
    <w:p w14:paraId="614C1BF9" w14:textId="080F8118" w:rsidR="00DE23BF" w:rsidRPr="00556A8B" w:rsidRDefault="00FA617E" w:rsidP="00357B2F">
      <w:pPr>
        <w:rPr>
          <w:rFonts w:cs="Times New Roman"/>
          <w:i/>
          <w:iCs/>
        </w:rPr>
      </w:pPr>
      <w:r w:rsidRPr="00556A8B">
        <w:rPr>
          <w:rFonts w:cs="Times New Roman"/>
          <w:i/>
          <w:iCs/>
        </w:rPr>
        <w:t>G</w:t>
      </w:r>
      <w:r w:rsidR="00DE23BF" w:rsidRPr="00556A8B">
        <w:rPr>
          <w:rFonts w:cs="Times New Roman"/>
          <w:i/>
          <w:iCs/>
        </w:rPr>
        <w:t>ramática discursiva</w:t>
      </w:r>
    </w:p>
    <w:p w14:paraId="075E9813" w14:textId="3E81B59E" w:rsidR="00777142" w:rsidRPr="00556A8B" w:rsidRDefault="00777142" w:rsidP="00357B2F">
      <w:pPr>
        <w:rPr>
          <w:rFonts w:cs="Times New Roman"/>
        </w:rPr>
      </w:pPr>
      <w:r w:rsidRPr="00556A8B">
        <w:rPr>
          <w:rFonts w:cs="Times New Roman"/>
        </w:rPr>
        <w:t>Foucault (1970a) distingue entre frase, proposición y enunciado. La frase responde a reglas gramaticales, la proposición a criterios lógicos de verdad, mientras que el enunciado constituye una función discursiva. No es simplemente lo dicho, sino aquello que hace posible que algo sea dicho de determinada manera en un momento histórico específico.</w:t>
      </w:r>
      <w:r w:rsidR="00511928" w:rsidRPr="00556A8B">
        <w:rPr>
          <w:rFonts w:cs="Times New Roman"/>
        </w:rPr>
        <w:t xml:space="preserve"> Para Halliday (1994) "una gramática es un sistema estructurado de posibilidades y restricciones, a través del cual se produce y se regula lo decible dentro de un discurso" (p.15). Bajo esta definición, la gramática no se reduce solamente al conjunto de reglas lingüísticas formales, por el contrario, es un sistema </w:t>
      </w:r>
      <w:r w:rsidR="00511928" w:rsidRPr="00556A8B">
        <w:rPr>
          <w:rFonts w:cs="Times New Roman"/>
        </w:rPr>
        <w:lastRenderedPageBreak/>
        <w:t>que organiza los modos de enunciación y producción; Foucault, 1970ª diría que "son los sistemas de formación discursiva que determinan no sólo los objetos de los que se puede hablar, sino las modalidades mismas del decir" (p. 72).</w:t>
      </w:r>
    </w:p>
    <w:p w14:paraId="52FCB3AB" w14:textId="4981A8CF" w:rsidR="00777142" w:rsidRPr="00556A8B" w:rsidRDefault="00777142" w:rsidP="00357B2F">
      <w:pPr>
        <w:rPr>
          <w:rFonts w:cs="Times New Roman"/>
        </w:rPr>
      </w:pPr>
      <w:r w:rsidRPr="00556A8B">
        <w:rPr>
          <w:rFonts w:cs="Times New Roman"/>
        </w:rPr>
        <w:t xml:space="preserve">La función enunciativa designa las condiciones de existencia de los enunciados, </w:t>
      </w:r>
      <w:r w:rsidR="003254F8" w:rsidRPr="00556A8B">
        <w:rPr>
          <w:rFonts w:cs="Times New Roman"/>
        </w:rPr>
        <w:t>las</w:t>
      </w:r>
      <w:r w:rsidRPr="00556A8B">
        <w:rPr>
          <w:rFonts w:cs="Times New Roman"/>
        </w:rPr>
        <w:t xml:space="preserve"> reglas </w:t>
      </w:r>
      <w:r w:rsidR="003254F8" w:rsidRPr="00556A8B">
        <w:rPr>
          <w:rFonts w:cs="Times New Roman"/>
        </w:rPr>
        <w:t xml:space="preserve">que </w:t>
      </w:r>
      <w:r w:rsidRPr="00556A8B">
        <w:rPr>
          <w:rFonts w:cs="Times New Roman"/>
        </w:rPr>
        <w:t>se forman, en qué espacio emergen, qué relaciones mantienen con otros enunciados y qué efectos producen. El enunciado es un acontecimiento cuya existencia depende de reglas históricas que regulan su aparición (Foucault, 1970a).</w:t>
      </w:r>
    </w:p>
    <w:p w14:paraId="2A3764DD" w14:textId="377384D9" w:rsidR="00777142" w:rsidRPr="00556A8B" w:rsidRDefault="00777142" w:rsidP="00357B2F">
      <w:pPr>
        <w:rPr>
          <w:rFonts w:cs="Times New Roman"/>
        </w:rPr>
      </w:pPr>
      <w:r w:rsidRPr="00556A8B">
        <w:rPr>
          <w:rFonts w:cs="Times New Roman"/>
        </w:rPr>
        <w:t xml:space="preserve">Un aspecto central es la rareza del enunciado. No todo puede decirse en cualquier momento ni por cualquiera. Los enunciados están sometidos a principios de selección que establecen umbrales, exclusiones y jerarquías (Foucault, 1970a). En el campo de la salud mental, esta función delimita quiénes están habilitados para producir discursos legítimos sobre el bienestar psicológico y </w:t>
      </w:r>
      <w:r w:rsidR="00322F62" w:rsidRPr="00556A8B">
        <w:rPr>
          <w:rFonts w:cs="Times New Roman"/>
        </w:rPr>
        <w:t>en qué condiciones</w:t>
      </w:r>
      <w:r w:rsidRPr="00556A8B">
        <w:rPr>
          <w:rFonts w:cs="Times New Roman"/>
        </w:rPr>
        <w:t xml:space="preserve"> estos adquieren estatuto de saber experto (Jaramillo, 2018; Bedoya, 2016).</w:t>
      </w:r>
      <w:r w:rsidR="00901D6F" w:rsidRPr="00556A8B">
        <w:rPr>
          <w:rFonts w:cs="Times New Roman"/>
        </w:rPr>
        <w:t xml:space="preserve"> Es por esto, que la gramática es el andamiaje interno de la práctica discursiva, puesto que configura la dinámica interna, las normas de formación y las condiciones de verdad; de este modo, el eje central radica en la forma como se producen regularidades discursivas que no son simplemente lingüísticas, sino estrategias netamente políticas y normativas (Butler, 2002).</w:t>
      </w:r>
    </w:p>
    <w:p w14:paraId="28A8057F" w14:textId="726A2277" w:rsidR="00DE23BF" w:rsidRPr="00556A8B" w:rsidRDefault="00DE23BF" w:rsidP="00357B2F">
      <w:pPr>
        <w:rPr>
          <w:rFonts w:cs="Times New Roman"/>
        </w:rPr>
      </w:pPr>
    </w:p>
    <w:p w14:paraId="50E7B380" w14:textId="77777777" w:rsidR="00DE23BF" w:rsidRPr="00556A8B" w:rsidRDefault="00DE23BF" w:rsidP="00357B2F">
      <w:pPr>
        <w:rPr>
          <w:rFonts w:cs="Times New Roman"/>
          <w:i/>
          <w:iCs/>
        </w:rPr>
      </w:pPr>
      <w:r w:rsidRPr="00556A8B">
        <w:rPr>
          <w:rFonts w:cs="Times New Roman"/>
          <w:i/>
          <w:iCs/>
        </w:rPr>
        <w:t>Enunciado y función enunciativa</w:t>
      </w:r>
    </w:p>
    <w:p w14:paraId="63DE1196" w14:textId="602CFAC9" w:rsidR="00DE23BF" w:rsidRPr="00556A8B" w:rsidRDefault="00DE23BF" w:rsidP="00357B2F">
      <w:pPr>
        <w:rPr>
          <w:rFonts w:cs="Times New Roman"/>
        </w:rPr>
      </w:pPr>
      <w:r w:rsidRPr="00556A8B">
        <w:rPr>
          <w:rFonts w:cs="Times New Roman"/>
        </w:rPr>
        <w:t>Para profundizar en la comprensión de cómo operan las prácticas discursivas, resulta indispensable abordar uno de los conceptos centrales del análisis foucaultiano: el enunciado y la función enunciativa. Foucault (1970a) establece una distinción fundamental entre tres niveles del lenguaje que suelen confundirse: la frase (unidad gramatical), la proposición (unidad lógica) y el enunciado (unidad del discurso). Mientras la frase responde a reglas gramaticales y la proposición a criterios de verdad lógica, el enunciado opera en un plano distinto; no se trata de una estructura lingüística ni de un contenido proposicional, sino de una función que atraviesa diversos dominios y hace que ciertos signos se constituyan como existentes dentro de un campo discursivo específico.</w:t>
      </w:r>
    </w:p>
    <w:p w14:paraId="59558A65" w14:textId="77777777" w:rsidR="00DE23BF" w:rsidRPr="00556A8B" w:rsidRDefault="00DE23BF" w:rsidP="00357B2F">
      <w:pPr>
        <w:rPr>
          <w:rFonts w:cs="Times New Roman"/>
        </w:rPr>
      </w:pPr>
      <w:r w:rsidRPr="00556A8B">
        <w:rPr>
          <w:rFonts w:cs="Times New Roman"/>
        </w:rPr>
        <w:t xml:space="preserve">Esta distinción resulta crucial porque, para Foucault (1970a), el enunciado no es simplemente lo que se dice, sino aquello que hace posible que algo sea dicho de una determinada manera en un momento histórico específico. Como afirma: “un enunciado es siempre un </w:t>
      </w:r>
      <w:r w:rsidRPr="00556A8B">
        <w:rPr>
          <w:rFonts w:cs="Times New Roman"/>
        </w:rPr>
        <w:lastRenderedPageBreak/>
        <w:t>acontecimiento que ni la lengua ni el sentido pueden agotar por completo” (p. 41). En relación con ello, la función enunciativa designa las condiciones de existencia de los enunciados: bajo qué reglas se forman, en qué espacio de posibilidades emergen, qué relaciones mantienen con otros enunciados y qué efectos producen en el campo discursivo. Analizar la función enunciativa implica, por tanto, examinar no solo el contenido de lo dicho, sino las condiciones históricas, institucionales y políticas que permiten que ciertos enunciados aparezcan como significativos, legítimos y verdaderos en un contexto determinado.</w:t>
      </w:r>
    </w:p>
    <w:p w14:paraId="41AB3BE7" w14:textId="431333F7" w:rsidR="00DE23BF" w:rsidRPr="00556A8B" w:rsidRDefault="00DE23BF" w:rsidP="00357B2F">
      <w:pPr>
        <w:rPr>
          <w:rFonts w:cs="Times New Roman"/>
        </w:rPr>
      </w:pPr>
      <w:r w:rsidRPr="00556A8B">
        <w:rPr>
          <w:rFonts w:cs="Times New Roman"/>
        </w:rPr>
        <w:t xml:space="preserve">Un aspecto fundamental de la función enunciativa es lo que Foucault (1970a) denomina la rareza del enunciado. Los enunciados no se producen de manera ilimitada ni arbitraria; por el contrario, están sometidos a principios de rareza que regulan su emergencia. “No todo es siempre dicho; no todo puede ser dicho en cualquier momento, de cualquier manera, por cualquiera” (Foucault, 1970, p. 38). Esta rareza está determinada por las reglas de formación discursiva que establecen umbrales, exclusiones y jerarquías dentro del campo de lo enunciable. Así, el análisis de la función enunciativa permite identificar qué enunciados circulan efectivamente en un campo discursivo, cuáles son silenciados o marginalizados y </w:t>
      </w:r>
      <w:r w:rsidR="00322F62" w:rsidRPr="00556A8B">
        <w:rPr>
          <w:rFonts w:cs="Times New Roman"/>
        </w:rPr>
        <w:t>en qué condiciones</w:t>
      </w:r>
      <w:r w:rsidRPr="00556A8B">
        <w:rPr>
          <w:rFonts w:cs="Times New Roman"/>
        </w:rPr>
        <w:t xml:space="preserve"> algunos logran imponerse como verdades mientras otros permanecen excluidos del régimen de saber legítimo.</w:t>
      </w:r>
    </w:p>
    <w:p w14:paraId="6125E661" w14:textId="77777777" w:rsidR="00DE23BF" w:rsidRPr="00556A8B" w:rsidRDefault="00DE23BF" w:rsidP="00357B2F">
      <w:pPr>
        <w:rPr>
          <w:rFonts w:cs="Times New Roman"/>
        </w:rPr>
      </w:pPr>
      <w:r w:rsidRPr="00556A8B">
        <w:rPr>
          <w:rFonts w:cs="Times New Roman"/>
        </w:rPr>
        <w:t>En el campo de la salud mental, la función enunciativa puede entenderse como el conjunto de condiciones que regulan quiénes están habilitados para producir discursos legítimos sobre el bienestar psicológico. Esta función no se define por el contenido del enunciado en sí, sino por las condiciones institucionales, disciplinares y de autoridad que lo constituyen como válido, reconocible y susceptible de intervención. En este sentido, establece los marcos desde los cuales ciertos discursos adquieren estatuto de saber experto, mientras otros quedan relegados a posiciones de menor legitimidad. Como señala Jaramillo (2018), la gramática discursiva no solo organiza las posiciones desde las cuales se emiten los enunciados, sino que regula los criterios mediante los cuales estos son considerados válidos o inválidos. De este modo, la función enunciativa opera como un dispositivo de legitimación que estructura jerarquías discursivas y reproduce relaciones de poder en la producción de saberes sobre la salud mental.</w:t>
      </w:r>
    </w:p>
    <w:p w14:paraId="793F6841" w14:textId="77777777" w:rsidR="000E5B14" w:rsidRPr="00556A8B" w:rsidRDefault="000E5B14" w:rsidP="00914F05">
      <w:pPr>
        <w:pStyle w:val="Ttulo3"/>
        <w:spacing w:line="360" w:lineRule="auto"/>
      </w:pPr>
    </w:p>
    <w:p w14:paraId="69617EE3" w14:textId="204DFB0D" w:rsidR="000E5B14" w:rsidRPr="00556A8B" w:rsidRDefault="000E5B14" w:rsidP="00914F05">
      <w:pPr>
        <w:pStyle w:val="Ttulo3"/>
        <w:numPr>
          <w:ilvl w:val="2"/>
          <w:numId w:val="6"/>
        </w:numPr>
        <w:spacing w:line="360" w:lineRule="auto"/>
      </w:pPr>
      <w:bookmarkStart w:id="41" w:name="_Toc232580566"/>
      <w:r w:rsidRPr="00556A8B">
        <w:t>Formaciones discursivas y sistemas de relaciones en la producción de enunciados</w:t>
      </w:r>
      <w:bookmarkEnd w:id="41"/>
    </w:p>
    <w:p w14:paraId="36047C8A" w14:textId="77777777" w:rsidR="00DE23BF" w:rsidRPr="00556A8B" w:rsidRDefault="00DE23BF" w:rsidP="00357B2F">
      <w:pPr>
        <w:rPr>
          <w:rFonts w:cs="Times New Roman"/>
        </w:rPr>
      </w:pPr>
      <w:r w:rsidRPr="00556A8B">
        <w:rPr>
          <w:rFonts w:cs="Times New Roman"/>
        </w:rPr>
        <w:t xml:space="preserve">Una vez comprendido el concepto de enunciado y su función, resulta indispensable abordar el sistema de relaciones que organiza la emergencia, coexistencia y transformación de los </w:t>
      </w:r>
      <w:r w:rsidRPr="00556A8B">
        <w:rPr>
          <w:rFonts w:cs="Times New Roman"/>
        </w:rPr>
        <w:lastRenderedPageBreak/>
        <w:t>enunciados en un campo específico: las formaciones discursivas. Foucault (1970a, 1970b) define las formaciones discursivas como sistemas de dispersión regulada que determinan qué puede ser dicho, por quién, de qué manera y con qué efectos en un momento histórico determinado. No se trata de estructuras homogéneas ni de totalidades cerradas, sino de conjuntos de reglas anónimas, históricas y situadas en el tiempo y el espacio, que establecen las condiciones de posibilidad para la producción de enunciados. Así, “en el caso en que se pudiera describir, entre un cierto número de enunciados, semejante sistema de dispersión… se dirá, por convención, que se trata de una formación discursiva” (Foucault, 1970a, p. 62).</w:t>
      </w:r>
    </w:p>
    <w:p w14:paraId="652A935F" w14:textId="77777777" w:rsidR="00DE23BF" w:rsidRPr="00556A8B" w:rsidRDefault="00DE23BF" w:rsidP="00357B2F">
      <w:pPr>
        <w:rPr>
          <w:rFonts w:cs="Times New Roman"/>
        </w:rPr>
      </w:pPr>
      <w:r w:rsidRPr="00556A8B">
        <w:rPr>
          <w:rFonts w:cs="Times New Roman"/>
        </w:rPr>
        <w:t>Lo central de esta noción es que las formaciones discursivas no se definen por la unidad temática, la coherencia conceptual ni por la intención de los hablantes, sino por las reglas que permiten que ciertos enunciados aparezcan como significativos y verdaderos mientras otros son excluidos o descalificados. En este sentido, no describen contenidos, sino que organizan las condiciones bajo las cuales los enunciados pueden emerger, circular y adquirir estatuto de verdad dentro de un campo de saber específico. Tal como señala Jaramillo (2018), el análisis de las formaciones discursivas desplaza la atención desde lo dicho hacia las reglas históricas, institucionales y relacionales que regulan la producción, legitimación y efectos de los enunciados, permitiendo comprender por qué determinados discursos se estabilizan como válidos mientras otros quedan relegados o invisibilizados.</w:t>
      </w:r>
    </w:p>
    <w:p w14:paraId="2D648A2A" w14:textId="05A10354" w:rsidR="00DE23BF" w:rsidRPr="00556A8B" w:rsidRDefault="00DE23BF" w:rsidP="00357B2F">
      <w:pPr>
        <w:rPr>
          <w:rFonts w:cs="Times New Roman"/>
        </w:rPr>
      </w:pPr>
      <w:r w:rsidRPr="00556A8B">
        <w:rPr>
          <w:rFonts w:cs="Times New Roman"/>
        </w:rPr>
        <w:t xml:space="preserve">Foucault (1970a) sostiene que toda formación discursiva opera mediante cuatro sistemas de relaciones que estructuran su funcionamiento interno y delimitan sus condiciones de existencia: la formación de los objetos, la formación de las modalidades enunciativas, la formación de los conceptos y la formación de las estrategias. La formación de los objetos alude a las reglas que permiten que ciertos fenómenos, prácticas o experiencias sean constituidos como objetos legítimos de discurso, delimitando aquello que puede ser nombrado, descrito e intervenido. La formación de las modalidades enunciativas regula las posiciones desde las cuales es posible hablar, estableciendo quiénes están autorizados a producir enunciados, en qué contextos institucionales y </w:t>
      </w:r>
      <w:r w:rsidR="003254F8" w:rsidRPr="00556A8B">
        <w:rPr>
          <w:rFonts w:cs="Times New Roman"/>
        </w:rPr>
        <w:t>los</w:t>
      </w:r>
      <w:r w:rsidRPr="00556A8B">
        <w:rPr>
          <w:rFonts w:cs="Times New Roman"/>
        </w:rPr>
        <w:t xml:space="preserve"> criterios de legitimidad. La formación de los conceptos organiza la articulación de los enunciados entre sí, estabilizando nociones, categorías y esquemas interpretativos que hacen posible la coherencia interna del discurso. Finalmente, la formación de las estrategias remite a las orientaciones, finalidades y efectos que los enunciados adquieren en su inserción en relaciones más amplias de saber y poder.</w:t>
      </w:r>
    </w:p>
    <w:p w14:paraId="1B7525D8" w14:textId="34E86568" w:rsidR="00DE23BF" w:rsidRPr="00556A8B" w:rsidRDefault="00DE23BF" w:rsidP="00357B2F">
      <w:pPr>
        <w:rPr>
          <w:rFonts w:cs="Times New Roman"/>
        </w:rPr>
      </w:pPr>
      <w:r w:rsidRPr="00556A8B">
        <w:rPr>
          <w:rFonts w:cs="Times New Roman"/>
        </w:rPr>
        <w:lastRenderedPageBreak/>
        <w:t>Ahora bien, estos cuatro sistemas no operan de manera aislada, sino que se articulan produciendo regularidades discursivas que configuran campos de saber específicos. En conjunto, permiten comprender que la producción de enunciados no constituye un acto individual ni espontáneo, sino un proceso regulado por relaciones históricas, institucionales y discursivas que delimitan simultáneamente los objetos de los que se habla, las posiciones desde las cuales se habla, los conceptos que se emplean y las estrategias que orientan su circulación y efectos (Foucault, 1970a). De este modo, las formaciones discursivas configuran el marco relacional a partir del cual los enunciados se hacen posibles, inteligibles y socialmente operantes en un momento histórico determinado.</w:t>
      </w:r>
    </w:p>
    <w:p w14:paraId="5077187E" w14:textId="77777777" w:rsidR="00322F62" w:rsidRPr="00556A8B" w:rsidRDefault="00322F62" w:rsidP="00357B2F">
      <w:pPr>
        <w:rPr>
          <w:rFonts w:cs="Times New Roman"/>
        </w:rPr>
      </w:pPr>
    </w:p>
    <w:p w14:paraId="7665A253" w14:textId="77777777" w:rsidR="000C67BC" w:rsidRPr="00556A8B" w:rsidRDefault="000C67BC" w:rsidP="00357B2F">
      <w:pPr>
        <w:rPr>
          <w:rFonts w:cs="Times New Roman"/>
        </w:rPr>
      </w:pPr>
    </w:p>
    <w:p w14:paraId="78399107" w14:textId="77777777" w:rsidR="00DE23BF" w:rsidRPr="00556A8B" w:rsidRDefault="00DE23BF" w:rsidP="00357B2F">
      <w:pPr>
        <w:rPr>
          <w:i/>
          <w:iCs/>
        </w:rPr>
      </w:pPr>
      <w:r w:rsidRPr="00556A8B">
        <w:rPr>
          <w:i/>
          <w:iCs/>
        </w:rPr>
        <w:t>Formación de los objetos</w:t>
      </w:r>
    </w:p>
    <w:p w14:paraId="537DB746" w14:textId="77777777" w:rsidR="00DE23BF" w:rsidRPr="00556A8B" w:rsidRDefault="00DE23BF" w:rsidP="00357B2F">
      <w:pPr>
        <w:rPr>
          <w:rFonts w:cs="Times New Roman"/>
        </w:rPr>
      </w:pPr>
      <w:r w:rsidRPr="00556A8B">
        <w:rPr>
          <w:rFonts w:cs="Times New Roman"/>
        </w:rPr>
        <w:t>La primera dimensión que estructura una formación discursiva es la formación de los objetos, entendida como el conjunto de reglas históricas que hacen posible que determinados fenómenos, prácticas o experiencias emerjan como objetos legítimos de discurso. Para Foucault (1970a), los objetos no existen con anterioridad al discurso que los nombra y organiza; por el contrario, son producidos en y por prácticas discursivas específicas. En este sentido, “los objetos no esperan en los limbos el orden que va a liberarlos” (Foucault, 1970a, p. 73), sino que adquieren existencia discursiva a partir de condiciones históricas concretas que los hacen visibles, decibles e intervenibles.</w:t>
      </w:r>
    </w:p>
    <w:p w14:paraId="18ECCA7B" w14:textId="77777777" w:rsidR="00DE23BF" w:rsidRPr="00556A8B" w:rsidRDefault="00DE23BF" w:rsidP="00357B2F">
      <w:pPr>
        <w:rPr>
          <w:rFonts w:cs="Times New Roman"/>
        </w:rPr>
      </w:pPr>
      <w:r w:rsidRPr="00556A8B">
        <w:rPr>
          <w:rFonts w:cs="Times New Roman"/>
        </w:rPr>
        <w:t>La constitución de un objeto discursivo implica la articulación de tres tipos de condiciones. En primer lugar, las superficies de emergencia, que remiten a los espacios sociales e institucionales donde ciertos fenómenos pueden aparecer, ser problematizados y adquirir estatuto de objeto de saber. En segundo lugar, las instancias de delimitación, correspondientes a autoridades, disciplinas o prácticas que poseen legitimidad para nombrar, clasificar y diferenciar los objetos, estableciendo sus fronteras y criterios de identificación. Finalmente, las rejillas de especificación organizan los modos de clasificación interna del objeto, definiendo sistemas de oposición, agrupamiento y relación que permiten describirlo, fragmentarlo y hacerlo inteligible dentro de un campo discursivo determinado (Foucault, 1970a).</w:t>
      </w:r>
    </w:p>
    <w:p w14:paraId="4F208030" w14:textId="77777777" w:rsidR="00DE23BF" w:rsidRPr="00556A8B" w:rsidRDefault="00DE23BF" w:rsidP="00357B2F">
      <w:pPr>
        <w:rPr>
          <w:rFonts w:cs="Times New Roman"/>
        </w:rPr>
      </w:pPr>
      <w:r w:rsidRPr="00556A8B">
        <w:rPr>
          <w:rFonts w:cs="Times New Roman"/>
        </w:rPr>
        <w:t xml:space="preserve">Desde esta perspectiva, la formación de los objetos no debe entenderse como el descubrimiento de realidades preexistentes, sino como una operación productiva mediante la cual </w:t>
      </w:r>
      <w:r w:rsidRPr="00556A8B">
        <w:rPr>
          <w:rFonts w:cs="Times New Roman"/>
        </w:rPr>
        <w:lastRenderedPageBreak/>
        <w:t>el discurso configura aquello de lo que habla. Los objetos discursivos son, así, el resultado de prácticas que los recortan, estabilizan y dotan de sentido, inscribiéndolos en redes de saber y poder. Tal como lo nombra Bedoya (2016), los objetos no reflejan simplemente una realidad dada, sino que son históricamente producidos por dispositivos discursivos que los nombran, problematizan y regulan.</w:t>
      </w:r>
    </w:p>
    <w:p w14:paraId="3CA11906" w14:textId="7D0B4F3A" w:rsidR="003254F8" w:rsidRPr="00556A8B" w:rsidRDefault="00DE23BF" w:rsidP="00901D6F">
      <w:pPr>
        <w:rPr>
          <w:rFonts w:cs="Times New Roman"/>
        </w:rPr>
      </w:pPr>
      <w:r w:rsidRPr="00556A8B">
        <w:rPr>
          <w:rFonts w:cs="Times New Roman"/>
        </w:rPr>
        <w:t xml:space="preserve">En consecuencia, la formación de los objetos constituye una dimensión central para comprender cómo ciertos fenómenos llegan a ser reconocidos como problemáticos, relevantes o legítimos dentro de un campo de saber, mientras otros permanecen invisibilizados o excluidos. Esta dimensión permite analizar no solo qué se dice, sino también </w:t>
      </w:r>
      <w:r w:rsidR="003254F8" w:rsidRPr="00556A8B">
        <w:rPr>
          <w:rFonts w:cs="Times New Roman"/>
        </w:rPr>
        <w:t>las</w:t>
      </w:r>
      <w:r w:rsidRPr="00556A8B">
        <w:rPr>
          <w:rFonts w:cs="Times New Roman"/>
        </w:rPr>
        <w:t xml:space="preserve"> condiciones</w:t>
      </w:r>
      <w:r w:rsidR="003254F8" w:rsidRPr="00556A8B">
        <w:rPr>
          <w:rFonts w:cs="Times New Roman"/>
        </w:rPr>
        <w:t xml:space="preserve"> por las cuales</w:t>
      </w:r>
      <w:r w:rsidRPr="00556A8B">
        <w:rPr>
          <w:rFonts w:cs="Times New Roman"/>
        </w:rPr>
        <w:t xml:space="preserve"> algo puede llegar a ser dicho como objeto válido de conocimiento, intervención y regulación.</w:t>
      </w:r>
    </w:p>
    <w:p w14:paraId="5D3E4791" w14:textId="77777777" w:rsidR="004F3849" w:rsidRPr="00556A8B" w:rsidRDefault="004F3849" w:rsidP="00357B2F">
      <w:pPr>
        <w:rPr>
          <w:rFonts w:cs="Times New Roman"/>
        </w:rPr>
      </w:pPr>
    </w:p>
    <w:p w14:paraId="7984F5AC" w14:textId="02B4DBDB" w:rsidR="00DE23BF" w:rsidRPr="00556A8B" w:rsidRDefault="00DE23BF" w:rsidP="00357B2F">
      <w:pPr>
        <w:rPr>
          <w:rFonts w:cs="Times New Roman"/>
          <w:i/>
          <w:iCs/>
        </w:rPr>
      </w:pPr>
      <w:r w:rsidRPr="00556A8B">
        <w:rPr>
          <w:rFonts w:cs="Times New Roman"/>
          <w:i/>
          <w:iCs/>
        </w:rPr>
        <w:t>Formación de las modalidades enunciativas</w:t>
      </w:r>
    </w:p>
    <w:p w14:paraId="7CD1B999" w14:textId="112EF43D" w:rsidR="00DE23BF" w:rsidRPr="00556A8B" w:rsidRDefault="00DE23BF" w:rsidP="00357B2F">
      <w:pPr>
        <w:rPr>
          <w:rFonts w:cs="Times New Roman"/>
          <w:bCs/>
        </w:rPr>
      </w:pPr>
      <w:r w:rsidRPr="00556A8B">
        <w:rPr>
          <w:rFonts w:cs="Times New Roman"/>
          <w:bCs/>
        </w:rPr>
        <w:t>La segunda dimensión que estructura una formación discursiva es la formación de las modalidades enunciativas, la cual regula quiénes están habilitados para hablar, desde qué posiciones institucionales, con qué autoridad y criterios de validación. Para Foucault (1970a), la producción de enunciados no depende de la libre expresión de los sujetos, sino de un conjunto de reglas que definen las condiciones de posibilidad del decir. En este sentido, “no se puede hablar de cualquier cosa en cualquier época; no es fácil decir algo nuevo” (Foucault, 1970a, p. 75), pues el acceso al discurso está mediado por dispositivos que distribuyen de manera diferencial la legitimidad enunciativa.</w:t>
      </w:r>
    </w:p>
    <w:p w14:paraId="14CA1500" w14:textId="77777777" w:rsidR="00DE23BF" w:rsidRPr="00556A8B" w:rsidRDefault="00DE23BF" w:rsidP="00357B2F">
      <w:pPr>
        <w:rPr>
          <w:rFonts w:cs="Times New Roman"/>
          <w:bCs/>
        </w:rPr>
      </w:pPr>
      <w:r w:rsidRPr="00556A8B">
        <w:rPr>
          <w:rFonts w:cs="Times New Roman"/>
          <w:bCs/>
        </w:rPr>
        <w:t>La formación de las modalidades enunciativas comprende, al menos, tres aspectos articulados. En primer lugar, el estatuto del enunciador, que remite a las condiciones de cualificación, competencia y reconocimiento institucional que habilitan a determinados sujetos para producir enunciados considerados válidos. En segundo lugar, la posición institucional desde la cual se enuncia, entendida como el lugar material y simbólico que el sujeto ocupa dentro de un entramado de prácticas, saberes y dispositivos. Finalmente, esta dimensión incluye las posiciones posibles del sujeto en relación con los dominios de objetos del discurso, es decir, los lugares desde los cuales el enunciador puede describir, interpretar, clasificar o intervenir aquello de lo que se habla (Foucault, 1970a; Jaramillo, 2018).</w:t>
      </w:r>
    </w:p>
    <w:p w14:paraId="27946290" w14:textId="2320FAC6" w:rsidR="00DE23BF" w:rsidRPr="00556A8B" w:rsidRDefault="00DE23BF" w:rsidP="00357B2F">
      <w:pPr>
        <w:rPr>
          <w:rFonts w:cs="Times New Roman"/>
          <w:bCs/>
        </w:rPr>
      </w:pPr>
      <w:r w:rsidRPr="00556A8B">
        <w:rPr>
          <w:rFonts w:cs="Times New Roman"/>
          <w:bCs/>
        </w:rPr>
        <w:t xml:space="preserve">Desde esta perspectiva, las modalidades enunciativas no se reducen a identificar quién habla, sino que configuran un régimen de enunciabilidad que organiza la circulación del discurso, </w:t>
      </w:r>
      <w:r w:rsidRPr="00556A8B">
        <w:rPr>
          <w:rFonts w:cs="Times New Roman"/>
          <w:bCs/>
        </w:rPr>
        <w:lastRenderedPageBreak/>
        <w:t xml:space="preserve">jerarquiza las voces y produce asimetrías estructurales entre distintos sujetos. Como señala Bedoya (2016), estas modalidades generan relaciones jerárquicas que asignan diferentes grados de autoridad, credibilidad y legitimidad a los enunciados, con independencia de su contenido empírico. De este modo, la formación de las modalidades enunciativas constituye un mecanismo central en la articulación entre saber y poder, al definir quién puede hablar con autoridad, quién debe ser interpretado y </w:t>
      </w:r>
      <w:r w:rsidR="003254F8" w:rsidRPr="00556A8B">
        <w:rPr>
          <w:rFonts w:cs="Times New Roman"/>
          <w:bCs/>
        </w:rPr>
        <w:t>en qué condiciones</w:t>
      </w:r>
      <w:r w:rsidRPr="00556A8B">
        <w:rPr>
          <w:rFonts w:cs="Times New Roman"/>
          <w:bCs/>
        </w:rPr>
        <w:t xml:space="preserve"> un enunciado puede adquirir estatuto de verdad dentro de un campo discursivo determinado.</w:t>
      </w:r>
    </w:p>
    <w:p w14:paraId="081ECF49" w14:textId="77777777" w:rsidR="00281973" w:rsidRPr="00556A8B" w:rsidRDefault="00281973" w:rsidP="00357B2F">
      <w:pPr>
        <w:ind w:firstLine="0"/>
        <w:rPr>
          <w:rFonts w:cs="Times New Roman"/>
          <w:b/>
        </w:rPr>
      </w:pPr>
    </w:p>
    <w:p w14:paraId="5064B61B" w14:textId="6854611F" w:rsidR="00DE23BF" w:rsidRPr="00556A8B" w:rsidRDefault="00DE23BF" w:rsidP="00357B2F">
      <w:pPr>
        <w:rPr>
          <w:rFonts w:cs="Times New Roman"/>
          <w:bCs/>
          <w:i/>
          <w:iCs/>
        </w:rPr>
      </w:pPr>
      <w:r w:rsidRPr="00556A8B">
        <w:rPr>
          <w:rFonts w:cs="Times New Roman"/>
          <w:bCs/>
          <w:i/>
          <w:iCs/>
        </w:rPr>
        <w:t>Formación de los conceptos</w:t>
      </w:r>
    </w:p>
    <w:p w14:paraId="42AB181B" w14:textId="77777777" w:rsidR="00DE23BF" w:rsidRPr="00556A8B" w:rsidRDefault="00DE23BF" w:rsidP="00357B2F">
      <w:pPr>
        <w:rPr>
          <w:rFonts w:cs="Times New Roman"/>
          <w:bCs/>
        </w:rPr>
      </w:pPr>
      <w:r w:rsidRPr="00556A8B">
        <w:rPr>
          <w:rFonts w:cs="Times New Roman"/>
          <w:bCs/>
        </w:rPr>
        <w:t>La tercera dimensión que estructura una formación discursiva es la formación de los conceptos, entendida como el sistema de relaciones que regula su emergencia, coexistencia, transformación y circulación dentro de un campo discursivo determinado. Para Foucault (1970a), los conceptos no se constituyen de manera espontánea ni derivan linealmente de la observación empírica, sino que se organizan a partir de reglas históricas que gobiernan “las formas de sucesión, de coexistencia, de encadenamiento, de permanencia o de reaparición” (p. 85). Estas reglas delimitan el horizonte de lo conceptualmente pensable en un momento dado, estableciendo las condiciones bajo las cuales ciertos conceptos pueden formularse, estabilizarse o desplazarse.</w:t>
      </w:r>
    </w:p>
    <w:p w14:paraId="38C89CAD" w14:textId="77777777" w:rsidR="00DE23BF" w:rsidRPr="00556A8B" w:rsidRDefault="00DE23BF" w:rsidP="00357B2F">
      <w:pPr>
        <w:rPr>
          <w:rFonts w:cs="Times New Roman"/>
          <w:bCs/>
        </w:rPr>
      </w:pPr>
      <w:r w:rsidRPr="00556A8B">
        <w:rPr>
          <w:rFonts w:cs="Times New Roman"/>
          <w:bCs/>
        </w:rPr>
        <w:t>La formación de los conceptos implica, por tanto, una serie de procedimientos que estructuran la coherencia interna del discurso. Foucault (1970a) identifica entre estos procedimientos las formas de sucesión, que ordenan los enunciados en series relativamente estables, posibilitando la continuidad y acumulación del saber; los esquemas de dependencia, que regulan las relaciones de subordinación, complementariedad o exclusión entre nociones; y los procedimientos de intervención, que permiten la reescritura, traducción o reformulación de los conceptos, asegurando su circulación y adaptación en distintos contextos discursivos. De este modo, los conceptos no funcionan como unidades aisladas, sino como nodos relacionales que adquieren sentido únicamente dentro de una red semántica estructurada.</w:t>
      </w:r>
    </w:p>
    <w:p w14:paraId="032F5CA9" w14:textId="77777777" w:rsidR="00DE23BF" w:rsidRPr="00556A8B" w:rsidRDefault="00DE23BF" w:rsidP="00357B2F">
      <w:pPr>
        <w:rPr>
          <w:rFonts w:cs="Times New Roman"/>
          <w:bCs/>
        </w:rPr>
      </w:pPr>
      <w:r w:rsidRPr="00556A8B">
        <w:rPr>
          <w:rFonts w:cs="Times New Roman"/>
          <w:bCs/>
        </w:rPr>
        <w:t xml:space="preserve">Desde esta perspectiva, los conceptos operan como operadores de inteligibilidad que no describen realidades preexistentes, sino que configuran los marcos a partir de los cuales ciertas experiencias, prácticas y formas de existencia se vuelven pensables, nombrables y clasificables. Tal como señala Caponi (2012), las fronteras conceptuales que organizan un campo discursivo no responden a divisiones naturales, sino a criterios normativos históricamente producidos. En </w:t>
      </w:r>
      <w:r w:rsidRPr="00556A8B">
        <w:rPr>
          <w:rFonts w:cs="Times New Roman"/>
          <w:bCs/>
        </w:rPr>
        <w:lastRenderedPageBreak/>
        <w:t>consecuencia, la formación de los conceptos participa activamente en la producción de regímenes de verdad, al establecer oposiciones, jerarquías y continuidades que ordenan el pensamiento disciplinar y delimitan lo que puede ser reconocido como legítimo, normal o desviado dentro de un determinado campo de saber.</w:t>
      </w:r>
    </w:p>
    <w:p w14:paraId="4B0281A1" w14:textId="77777777" w:rsidR="00DE23BF" w:rsidRPr="00556A8B" w:rsidRDefault="00DE23BF" w:rsidP="00357B2F">
      <w:pPr>
        <w:rPr>
          <w:rFonts w:cs="Times New Roman"/>
          <w:bCs/>
        </w:rPr>
      </w:pPr>
      <w:r w:rsidRPr="00556A8B">
        <w:rPr>
          <w:rFonts w:cs="Times New Roman"/>
          <w:bCs/>
        </w:rPr>
        <w:t>En este sentido, los conceptos no operan como reflejos directos de la realidad, sino como elementos relacionales cuya significación depende de las reglas que organizan su uso, combinación y transformación. Como plantea Jaramillo (2018), los conceptos se inscriben en una gramática discursiva que regula su coherencia interna y define los marcos de inteligibilidad desde los cuales adquieren validez y eficacia social. Así, la formación de los conceptos constituye un proceso histórico y regulado que produce redes semánticas específicas a partir de las cuales ciertos modos de comprender, clasificar y explicar los fenómenos se tornan posibles, mientras otros quedan excluidos o deslegitimados.</w:t>
      </w:r>
    </w:p>
    <w:p w14:paraId="3A33ED36" w14:textId="0E5F9631" w:rsidR="00DE23BF" w:rsidRPr="00556A8B" w:rsidRDefault="00DE23BF" w:rsidP="00357B2F">
      <w:pPr>
        <w:rPr>
          <w:rFonts w:cs="Times New Roman"/>
          <w:bCs/>
        </w:rPr>
      </w:pPr>
    </w:p>
    <w:p w14:paraId="751FF46D" w14:textId="77777777" w:rsidR="00DE23BF" w:rsidRPr="00556A8B" w:rsidRDefault="00DE23BF" w:rsidP="00357B2F">
      <w:pPr>
        <w:rPr>
          <w:rFonts w:cs="Times New Roman"/>
          <w:bCs/>
          <w:i/>
          <w:iCs/>
        </w:rPr>
      </w:pPr>
      <w:r w:rsidRPr="00556A8B">
        <w:rPr>
          <w:rFonts w:cs="Times New Roman"/>
          <w:bCs/>
          <w:i/>
          <w:iCs/>
        </w:rPr>
        <w:t>Formación de las estrategias</w:t>
      </w:r>
    </w:p>
    <w:p w14:paraId="65F0E232" w14:textId="77777777" w:rsidR="00DE23BF" w:rsidRPr="00556A8B" w:rsidRDefault="00DE23BF" w:rsidP="00357B2F">
      <w:pPr>
        <w:rPr>
          <w:rFonts w:cs="Times New Roman"/>
          <w:bCs/>
        </w:rPr>
      </w:pPr>
      <w:r w:rsidRPr="00556A8B">
        <w:rPr>
          <w:rFonts w:cs="Times New Roman"/>
          <w:bCs/>
        </w:rPr>
        <w:t>La cuarta dimensión corresponde a la formación de las estrategias, entendida como el conjunto de orientaciones que organizan un campo discursivo y delimitan los tipos de desarrollo conceptual, teórico y práctico que resultan posibles en su interior. Foucault (1970a) señala que las estrategias discursivas operan mediante la determinación de “puntos de difracción posibles del discurso” (p. 96), es decir, espacios en los que emergen alternativas, incompatibilidades o desarrollos divergentes que, no obstante, permanecen inscritos dentro de una misma formación discursiva. Estas estrategias comprenden las opciones teóricas que orientan la producción del saber, las reglas de utilización que regulan el uso de los conceptos y la economía general de la constelación discursiva, entendida como la articulación del discurso con otras prácticas sociales e institucionales.</w:t>
      </w:r>
    </w:p>
    <w:p w14:paraId="652287E1" w14:textId="77777777" w:rsidR="00DE23BF" w:rsidRPr="00556A8B" w:rsidRDefault="00DE23BF" w:rsidP="00357B2F">
      <w:pPr>
        <w:rPr>
          <w:rFonts w:cs="Times New Roman"/>
          <w:bCs/>
        </w:rPr>
      </w:pPr>
      <w:r w:rsidRPr="00556A8B">
        <w:rPr>
          <w:rFonts w:cs="Times New Roman"/>
          <w:bCs/>
        </w:rPr>
        <w:t xml:space="preserve">Desde esta perspectiva, las estrategias no constituyen meras elecciones metodológicas o teóricas, sino principios organizadores que orientan la producción, circulación y aplicación del saber. Aunque pueden coexistir múltiples enfoques o corrientes dentro de un mismo campo discursivo, estas diferencias operan dentro de un horizonte estratégico compartido que delimita los criterios de validez, los objetivos de intervención y los efectos esperados del discurso. Como advierte Rose (2019), “las diferencias entre escuelas psicológicas operan dentro de un mismo horizonte normativo que delimita qué modos de ser se consideran legítimos” (p. 154). En este </w:t>
      </w:r>
      <w:r w:rsidRPr="00556A8B">
        <w:rPr>
          <w:rFonts w:cs="Times New Roman"/>
          <w:bCs/>
        </w:rPr>
        <w:lastRenderedPageBreak/>
        <w:t>sentido, las estrategias discursivas no solo describen la realidad, sino que participan activamente en su configuración, estableciendo los marcos desde los cuales los sujetos se comprenden, son evaluados y se gobiernan a sí mismos.</w:t>
      </w:r>
    </w:p>
    <w:p w14:paraId="78C3BC45" w14:textId="75EAAE53" w:rsidR="00DE23BF" w:rsidRPr="00556A8B" w:rsidRDefault="00DE23BF" w:rsidP="00357B2F">
      <w:pPr>
        <w:rPr>
          <w:rFonts w:cs="Times New Roman"/>
          <w:bCs/>
        </w:rPr>
      </w:pPr>
      <w:r w:rsidRPr="00556A8B">
        <w:rPr>
          <w:rFonts w:cs="Times New Roman"/>
          <w:bCs/>
        </w:rPr>
        <w:t>La articulación de estas cuatro dimensiones</w:t>
      </w:r>
      <w:r w:rsidR="00281973" w:rsidRPr="00556A8B">
        <w:rPr>
          <w:rFonts w:cs="Times New Roman"/>
          <w:bCs/>
        </w:rPr>
        <w:t xml:space="preserve">, </w:t>
      </w:r>
      <w:r w:rsidRPr="00556A8B">
        <w:rPr>
          <w:rFonts w:cs="Times New Roman"/>
          <w:bCs/>
        </w:rPr>
        <w:t>formación de los objetos, modalidades enunciativas, formación de los conceptos y formación de las estrategias</w:t>
      </w:r>
      <w:r w:rsidR="00281973" w:rsidRPr="00556A8B">
        <w:rPr>
          <w:rFonts w:cs="Times New Roman"/>
          <w:bCs/>
        </w:rPr>
        <w:t>,</w:t>
      </w:r>
      <w:r w:rsidRPr="00556A8B">
        <w:rPr>
          <w:rFonts w:cs="Times New Roman"/>
          <w:bCs/>
        </w:rPr>
        <w:t xml:space="preserve"> da lugar a lo que Foucault (1970ah) denomina regularidades discursivas, entendidas como patrones sistemáticos que organizan la producción de enunciados en un campo específico. Estas regularidades no responden a una intención unificada ni a una coherencia lógica preestablecida, sino que constituyen el efecto de reglas históricas de formación que delimitan qué puede ser dicho, pensado y practicado en un determinado dominio de saber. Como señala Deleuze (1986) en su lectura de Foucault, “las formaciones discursivas no son totalidades expresivas sino multiplicidades determinadas por sus condiciones de emergencia” (p. 42).</w:t>
      </w:r>
    </w:p>
    <w:p w14:paraId="081A94BD" w14:textId="77777777" w:rsidR="00DE23BF" w:rsidRPr="00556A8B" w:rsidRDefault="00DE23BF" w:rsidP="00357B2F">
      <w:pPr>
        <w:rPr>
          <w:rFonts w:cs="Times New Roman"/>
          <w:bCs/>
        </w:rPr>
      </w:pPr>
      <w:r w:rsidRPr="00556A8B">
        <w:rPr>
          <w:rFonts w:cs="Times New Roman"/>
          <w:bCs/>
        </w:rPr>
        <w:t>De este modo, tal como lo señala Jaramillo (2018), el análisis de las formaciones discursivas permite comprender no solo los contenidos explícitos de un discurso, sino las condiciones históricas, institucionales y políticas que hacen posible que ciertos enunciados emerjan como evidentes, necesarios y verdaderos en un momento histórico determinado. Esta perspectiva desplaza el análisis desde los significados aislados hacia las reglas que organizan su producción, mostrando cómo el saber se constituye siempre en relación con prácticas, instituciones y relaciones de poder que estructuran su campo de existencia en el presente histórico.</w:t>
      </w:r>
    </w:p>
    <w:p w14:paraId="559901A0" w14:textId="77777777" w:rsidR="000E5B14" w:rsidRPr="00556A8B" w:rsidRDefault="000E5B14" w:rsidP="00357B2F">
      <w:pPr>
        <w:rPr>
          <w:rFonts w:cs="Times New Roman"/>
        </w:rPr>
      </w:pPr>
    </w:p>
    <w:p w14:paraId="2D73271A" w14:textId="2AFE99BA" w:rsidR="00DE23BF" w:rsidRPr="00556A8B" w:rsidRDefault="009950ED" w:rsidP="00914F05">
      <w:pPr>
        <w:pStyle w:val="Ttulo3"/>
        <w:numPr>
          <w:ilvl w:val="2"/>
          <w:numId w:val="6"/>
        </w:numPr>
        <w:spacing w:line="360" w:lineRule="auto"/>
      </w:pPr>
      <w:bookmarkStart w:id="42" w:name="_Toc232580567"/>
      <w:r w:rsidRPr="00556A8B">
        <w:t>Condiciones de existencia y operación del discurso</w:t>
      </w:r>
      <w:bookmarkEnd w:id="42"/>
    </w:p>
    <w:p w14:paraId="61A6A16E" w14:textId="77777777" w:rsidR="009950ED" w:rsidRPr="00556A8B" w:rsidRDefault="009950ED" w:rsidP="00914F05">
      <w:pPr>
        <w:pStyle w:val="Ttulo3"/>
        <w:spacing w:line="360" w:lineRule="auto"/>
      </w:pPr>
    </w:p>
    <w:p w14:paraId="35AFEEB5" w14:textId="045C3D41" w:rsidR="00DE23BF" w:rsidRPr="00556A8B" w:rsidRDefault="009950ED" w:rsidP="00357B2F">
      <w:pPr>
        <w:rPr>
          <w:i/>
          <w:iCs/>
        </w:rPr>
      </w:pPr>
      <w:r w:rsidRPr="00556A8B">
        <w:rPr>
          <w:i/>
          <w:iCs/>
        </w:rPr>
        <w:t>Condiciones históricas de posibilidad</w:t>
      </w:r>
    </w:p>
    <w:p w14:paraId="39655C90" w14:textId="655B3090" w:rsidR="00DE23BF" w:rsidRPr="00556A8B" w:rsidRDefault="00DE23BF" w:rsidP="00357B2F">
      <w:pPr>
        <w:rPr>
          <w:rFonts w:cs="Times New Roman"/>
          <w:bCs/>
        </w:rPr>
      </w:pPr>
      <w:r w:rsidRPr="00556A8B">
        <w:rPr>
          <w:rFonts w:cs="Times New Roman"/>
          <w:bCs/>
        </w:rPr>
        <w:t>Desde esta perspectiva, y con el fin de continuar precisando este apartado conceptual, resulta necesario definir aquello que integra las prácticas discursivas: las condiciones históricas de posibilidad. Para Foucault (1970b), estas condiciones remiten al conjunto de factores y elementos</w:t>
      </w:r>
      <w:r w:rsidR="009950ED" w:rsidRPr="00556A8B">
        <w:rPr>
          <w:rFonts w:cs="Times New Roman"/>
          <w:bCs/>
        </w:rPr>
        <w:t xml:space="preserve">, </w:t>
      </w:r>
      <w:r w:rsidRPr="00556A8B">
        <w:rPr>
          <w:rFonts w:cs="Times New Roman"/>
          <w:bCs/>
        </w:rPr>
        <w:t>sociales, culturales, económicos, políticos y epistémicos</w:t>
      </w:r>
      <w:r w:rsidR="009950ED" w:rsidRPr="00556A8B">
        <w:rPr>
          <w:rFonts w:cs="Times New Roman"/>
          <w:bCs/>
        </w:rPr>
        <w:t>,</w:t>
      </w:r>
      <w:r w:rsidRPr="00556A8B">
        <w:rPr>
          <w:rFonts w:cs="Times New Roman"/>
          <w:bCs/>
        </w:rPr>
        <w:t xml:space="preserve"> que, en un momento y contexto determinados, hacen posible que un fenómeno emergente se constituya en objeto de discurso, hasta el punto de ser nombrado, problematizado, regulado y sostenido dentro de un régimen disciplinar. En este sentido, al estar inmersas en condiciones históricas de posibilidad, </w:t>
      </w:r>
      <w:r w:rsidRPr="00556A8B">
        <w:rPr>
          <w:rFonts w:cs="Times New Roman"/>
          <w:bCs/>
        </w:rPr>
        <w:lastRenderedPageBreak/>
        <w:t>las prácticas discursivas se rigen por reglas de formación que no operan como normas explícitas o manifiestas, sino como mecanismos subyacentes que organizan la producción y reproducción de significados, inscribiéndose en tramas de saber y poder (Deleuze, 1986).</w:t>
      </w:r>
    </w:p>
    <w:p w14:paraId="2BBCDD12" w14:textId="77777777" w:rsidR="00901D6F" w:rsidRPr="00556A8B" w:rsidRDefault="00901D6F" w:rsidP="00357B2F">
      <w:pPr>
        <w:rPr>
          <w:rFonts w:cs="Times New Roman"/>
          <w:bCs/>
        </w:rPr>
      </w:pPr>
    </w:p>
    <w:p w14:paraId="1A6752FE" w14:textId="0497A653" w:rsidR="00DE23BF" w:rsidRPr="00556A8B" w:rsidRDefault="009950ED" w:rsidP="00357B2F">
      <w:pPr>
        <w:rPr>
          <w:rFonts w:cs="Times New Roman"/>
          <w:bCs/>
          <w:i/>
          <w:iCs/>
        </w:rPr>
      </w:pPr>
      <w:r w:rsidRPr="00556A8B">
        <w:rPr>
          <w:rFonts w:cs="Times New Roman"/>
          <w:bCs/>
          <w:i/>
          <w:iCs/>
        </w:rPr>
        <w:t>Episteme y archivo</w:t>
      </w:r>
    </w:p>
    <w:p w14:paraId="08E79612" w14:textId="761A91E6" w:rsidR="00DE23BF" w:rsidRPr="00556A8B" w:rsidRDefault="00DE23BF" w:rsidP="00357B2F">
      <w:pPr>
        <w:rPr>
          <w:rFonts w:cs="Times New Roman"/>
          <w:bCs/>
        </w:rPr>
      </w:pPr>
      <w:r w:rsidRPr="00556A8B">
        <w:rPr>
          <w:rFonts w:cs="Times New Roman"/>
          <w:bCs/>
        </w:rPr>
        <w:t>Bajo esta óptica, las prácticas discursivas participan en la constitución de aquello que se presenta como realidad, al articularse en campos de saber que delimitan lo pensable y lo decible en una época determinada, dado que cada momento histórico se organiza en torno a una episteme que define las condiciones de posibilidad de la discursividad (Foucault, 1970a). En este marco, toda formación discursiva, al estar circunscrita a un tiempo y espacio específicos, delimita los enunciados, conceptos y estrategias lingüísticas que pueden aparecer, coexistir y transformarse conforme a las exigencias y autoridades disciplinares</w:t>
      </w:r>
      <w:r w:rsidR="009950ED" w:rsidRPr="00556A8B">
        <w:rPr>
          <w:rFonts w:cs="Times New Roman"/>
          <w:bCs/>
        </w:rPr>
        <w:t xml:space="preserve">, </w:t>
      </w:r>
      <w:r w:rsidRPr="00556A8B">
        <w:rPr>
          <w:rFonts w:cs="Times New Roman"/>
          <w:bCs/>
        </w:rPr>
        <w:t>en este caso, psicológicas</w:t>
      </w:r>
      <w:r w:rsidR="009950ED" w:rsidRPr="00556A8B">
        <w:rPr>
          <w:rFonts w:cs="Times New Roman"/>
          <w:bCs/>
        </w:rPr>
        <w:t>,</w:t>
      </w:r>
      <w:r w:rsidRPr="00556A8B">
        <w:rPr>
          <w:rFonts w:cs="Times New Roman"/>
          <w:bCs/>
        </w:rPr>
        <w:t xml:space="preserve"> que regulan la gramática del decir y, sobre todo, del hacer. Desde esta premisa, el discurso no puede entenderse como un simple reflejo de la realidad, sino como un entramado de significados, valores y sistemas de pensamiento que la constituyen. Como plantea Foucault (1970b), no existe un “afuera” del discurso, en la medida en que aquello que denominamos realidad se encuentra siempre atravesado por redes discursivas que la organizan y la hacen inteligible. Esta concepción cuestiona la idea tradicional de un lenguaje neutral o libre de convenciones e ideologías y remite a la dimensión performativa del discurso, entendida como su capacidad para producir realidades sociales, institucionales y subjetivas.</w:t>
      </w:r>
    </w:p>
    <w:p w14:paraId="3774ED92" w14:textId="77777777" w:rsidR="00DE23BF" w:rsidRPr="00556A8B" w:rsidRDefault="00DE23BF" w:rsidP="00357B2F">
      <w:pPr>
        <w:rPr>
          <w:rFonts w:cs="Times New Roman"/>
          <w:bCs/>
        </w:rPr>
      </w:pPr>
      <w:r w:rsidRPr="00556A8B">
        <w:rPr>
          <w:rFonts w:cs="Times New Roman"/>
          <w:bCs/>
        </w:rPr>
        <w:t>La comprensión de estas condiciones históricas de posibilidad conduce necesariamente al concepto de episteme, que Foucault (1970b) define como el conjunto de relaciones que pueden establecerse, en una época determinada, entre las prácticas discursivas que dan lugar a figuras epistemológicas, ciencias y eventualmente sistemas formalizados. La episteme no equivale a la suma del conocimiento de una época ni a su estilo general de pensamiento, sino que constituye "el conjunto de las relaciones que se pueden descubrir, para una época dada, entre las ciencias cuando se las analiza al nivel de las regularidades discursivas" (Foucault, 1970b, p. 250). Bajo este precepto, la episteme opera como el suelo epistemológico que posibilita la emergencia de ciertos saberes como legítimos, mientras otros permanecen impensables o son descalificados como no científicos.</w:t>
      </w:r>
    </w:p>
    <w:p w14:paraId="1BCABEA3" w14:textId="77777777" w:rsidR="00DE23BF" w:rsidRPr="00556A8B" w:rsidRDefault="00DE23BF" w:rsidP="00357B2F">
      <w:pPr>
        <w:rPr>
          <w:rFonts w:cs="Times New Roman"/>
          <w:bCs/>
        </w:rPr>
      </w:pPr>
      <w:r w:rsidRPr="00556A8B">
        <w:rPr>
          <w:rFonts w:cs="Times New Roman"/>
          <w:bCs/>
        </w:rPr>
        <w:lastRenderedPageBreak/>
        <w:t>Cada momento histórico se organiza en torno a una episteme específica que define las condiciones de posibilidad del conocimiento, estableciendo qué puede ser conocido, mediante qué procedimientos y bajo qué criterios de validación. La episteme no determina de manera mecánica los contenidos del saber, pero sí delimita el espacio de configuración posible: "lo que define una episteme no es aquello que se sabe, sino las formas a priori que hacen posible ese saber" (Foucault, 1970b, p. 166). En el campo de la salud mental, la episteme contemporánea se encuentra marcada por la hegemonía del modelo médico-psicológico, que presenta como evidentes ciertas premisas: que la salud mental constituye un objeto científicamente cognoscible; que puede ser medida y clasificada mediante instrumentos estandarizados; que las desviaciones respecto de la norma configuran patologías susceptibles de intervención; y que los saberes expertos poseen la autoridad legítima para diagnosticar y tratar el malestar psicológico.</w:t>
      </w:r>
    </w:p>
    <w:p w14:paraId="4C004509" w14:textId="77777777" w:rsidR="00DE23BF" w:rsidRPr="00556A8B" w:rsidRDefault="00DE23BF" w:rsidP="00357B2F">
      <w:pPr>
        <w:rPr>
          <w:rFonts w:cs="Times New Roman"/>
          <w:bCs/>
        </w:rPr>
      </w:pPr>
      <w:r w:rsidRPr="00556A8B">
        <w:rPr>
          <w:rFonts w:cs="Times New Roman"/>
          <w:bCs/>
        </w:rPr>
        <w:t>No obstante, esta episteme no ha sido siempre dominante. Como muestran Foucault (2015a; 2015; 2016), cada época ha configurado de manera distinta el objeto del sufrimiento psíquico: en la época clásica, la locura fue objeto de encierro y exclusión; en la modernidad, se transformó en enfermedad mental susceptible de tratamiento moral; y en la contemporaneidad, opera como un conjunto de trastornos gestionables mediante intervenciones terapéuticas y farmacológicas. Esta transformación no representa un progreso lineal hacia una verdad cada vez más depurada, sino una reconfiguración de la episteme que hace posible que el malestar psicológico sea pensado, nombrado e intervenido de modos específicos. Como advierte Rose (2019), "cada configuración epistemológica produce sus propios objetos, sus propias formas de subjetividad y sus propios modos de gobierno" (p. 89).</w:t>
      </w:r>
    </w:p>
    <w:p w14:paraId="41655199" w14:textId="77777777" w:rsidR="00DE23BF" w:rsidRPr="00556A8B" w:rsidRDefault="00DE23BF" w:rsidP="00357B2F">
      <w:pPr>
        <w:rPr>
          <w:rFonts w:cs="Times New Roman"/>
          <w:bCs/>
        </w:rPr>
      </w:pPr>
      <w:r w:rsidRPr="00556A8B">
        <w:rPr>
          <w:rFonts w:cs="Times New Roman"/>
          <w:bCs/>
        </w:rPr>
        <w:t>Vinculado a la noción de episteme, Foucault (1970b) introduce el concepto de archivo, que designa "el sistema de enunciabilidad" de una época: aquello que hace que ciertos enunciados aparezcan como acontecimientos singulares, mientras otros permanecen en silencio. El archivo no es la suma de todos los textos producidos en una cultura, ni la institución que los conserva, ni la disciplina que los clasifica, sino "el sistema general de la formación y de la transformación de los enunciados" (Foucault, 1970b, p. 219). En consecuencia, el archivo establece las reglas que determinan qué puede ser archivado, preservado, citado y transmitido, y qué queda excluido del registro histórico. No se trata, por tanto, de un depósito pasivo del pasado, sino de un dispositivo activo de selección que organiza la memoria colectiva conforme a criterios de relevancia atravesados por relaciones de poder.</w:t>
      </w:r>
    </w:p>
    <w:p w14:paraId="66F82090" w14:textId="77777777" w:rsidR="00DE23BF" w:rsidRPr="00556A8B" w:rsidRDefault="00DE23BF" w:rsidP="00357B2F">
      <w:pPr>
        <w:rPr>
          <w:rFonts w:cs="Times New Roman"/>
          <w:bCs/>
        </w:rPr>
      </w:pPr>
      <w:r w:rsidRPr="00556A8B">
        <w:rPr>
          <w:rFonts w:cs="Times New Roman"/>
          <w:bCs/>
        </w:rPr>
        <w:lastRenderedPageBreak/>
        <w:t>En el ámbito de la salud mental, el archivo contemporáneo no solo registra saberes ya constituidos, sino que participa activamente en la producción de las condiciones de enunciabilidad del campo. A través de este archivo se delimitan los marcos de legitimidad del conocimiento, las formas reconocidas de intervención y los modos autorizados de nombrar la experiencia subjetiva. Como señala Bedoya (2016), el archivo de la salud mental opera como una máquina de producción de subjetividades normalizadas, al establecer los términos mediante los cuales los sujetos deben comprenderse y gobernarse a sí mismos. De este modo, el archivo no se limita a conservar discursos, sino que contribuye de manera decisiva a la configuración de los regímenes de verdad y de las formas de subjetivación propias del campo de la salud mental en el presente histórico.</w:t>
      </w:r>
    </w:p>
    <w:p w14:paraId="402A0CBE" w14:textId="77777777" w:rsidR="00DE23BF" w:rsidRPr="00556A8B" w:rsidRDefault="00DE23BF" w:rsidP="00357B2F">
      <w:pPr>
        <w:rPr>
          <w:rFonts w:cs="Times New Roman"/>
          <w:bCs/>
        </w:rPr>
      </w:pPr>
    </w:p>
    <w:p w14:paraId="52C42E7D" w14:textId="5484CD7A" w:rsidR="009950ED" w:rsidRPr="00556A8B" w:rsidRDefault="009950ED" w:rsidP="00357B2F">
      <w:pPr>
        <w:pStyle w:val="Ttulo2"/>
      </w:pPr>
      <w:bookmarkStart w:id="43" w:name="_Toc232580568"/>
      <w:r w:rsidRPr="00556A8B">
        <w:t>Regímenes de verdad y procedimientos de control</w:t>
      </w:r>
      <w:bookmarkEnd w:id="43"/>
    </w:p>
    <w:p w14:paraId="6A68B761" w14:textId="1695683D" w:rsidR="009950ED" w:rsidRPr="00556A8B" w:rsidRDefault="009950ED" w:rsidP="00914F05">
      <w:pPr>
        <w:pStyle w:val="Ttulo3"/>
        <w:numPr>
          <w:ilvl w:val="2"/>
          <w:numId w:val="6"/>
        </w:numPr>
        <w:spacing w:line="360" w:lineRule="auto"/>
      </w:pPr>
      <w:bookmarkStart w:id="44" w:name="_Toc232580569"/>
      <w:r w:rsidRPr="00556A8B">
        <w:t>Regímenes de verdad</w:t>
      </w:r>
      <w:bookmarkEnd w:id="44"/>
    </w:p>
    <w:p w14:paraId="56E128B1" w14:textId="66E565DA" w:rsidR="00901D6F" w:rsidRPr="00556A8B" w:rsidRDefault="004B644B" w:rsidP="00901D6F">
      <w:pPr>
        <w:rPr>
          <w:rFonts w:cs="Times New Roman"/>
        </w:rPr>
      </w:pPr>
      <w:r w:rsidRPr="00556A8B">
        <w:rPr>
          <w:rFonts w:cs="Times New Roman"/>
        </w:rPr>
        <w:t>Hasta aquí se ha desarrollado cómo las prácticas discursivas operan a través de formaciones específicas, condiciones históricas de posibilidad y configuraciones epistemológicas que delimitan el campo de lo pensable y lo decible en un momento determinado. Sin embargo, para comprender de qué manera ciertos discursos adquieren estatuto de verdad mientras otros son descalificados, marginados o excluidos, resulta indispensable incorporar el concepto de régimen de verdad, central en el análisis foucaultiano de las relaciones entre saber y poder.</w:t>
      </w:r>
      <w:r w:rsidR="00901D6F" w:rsidRPr="00556A8B">
        <w:rPr>
          <w:rFonts w:cs="Times New Roman"/>
        </w:rPr>
        <w:t xml:space="preserve"> </w:t>
      </w:r>
      <w:r w:rsidRPr="00556A8B">
        <w:rPr>
          <w:rFonts w:cs="Times New Roman"/>
        </w:rPr>
        <w:t>Foucault (1992) sostiene que toda sociedad produce su propio régimen de verdad, entendido como una política general de la verdad</w:t>
      </w:r>
      <w:r w:rsidR="00901D6F" w:rsidRPr="00556A8B">
        <w:rPr>
          <w:rFonts w:cs="Times New Roman"/>
        </w:rPr>
        <w:t>, es decir:</w:t>
      </w:r>
    </w:p>
    <w:p w14:paraId="16E2F6C1" w14:textId="77777777" w:rsidR="00901D6F" w:rsidRPr="00556A8B" w:rsidRDefault="00901D6F" w:rsidP="00901D6F">
      <w:pPr>
        <w:spacing w:line="240" w:lineRule="auto"/>
        <w:ind w:firstLine="708"/>
        <w:rPr>
          <w:rFonts w:cs="Times New Roman"/>
        </w:rPr>
      </w:pPr>
    </w:p>
    <w:p w14:paraId="1C210589" w14:textId="77777777" w:rsidR="00901D6F" w:rsidRPr="00556A8B" w:rsidRDefault="00901D6F" w:rsidP="00901D6F">
      <w:pPr>
        <w:spacing w:line="240" w:lineRule="auto"/>
        <w:ind w:left="720" w:firstLine="0"/>
        <w:rPr>
          <w:rFonts w:cs="Times New Roman"/>
          <w:iCs/>
        </w:rPr>
      </w:pPr>
      <w:r w:rsidRPr="00556A8B">
        <w:rPr>
          <w:rFonts w:cs="Times New Roman"/>
          <w:iCs/>
        </w:rPr>
        <w:t>los tipos de discurso que acoge y hace funcionar como verdaderos; los mecanismos y las instancias que permiten distinguir los enunciados verdaderos o falsos, la manera de sancionar unos y otros; las técnicas y los procedimientos que son valorizados para la obtención de la verdad; el estatuto de aquellos encargados de decir qué es lo que funciona como verdadero (p. 187).</w:t>
      </w:r>
    </w:p>
    <w:p w14:paraId="5830B050" w14:textId="39DE0DD2" w:rsidR="00901D6F" w:rsidRPr="00556A8B" w:rsidRDefault="00901D6F" w:rsidP="00357B2F">
      <w:pPr>
        <w:rPr>
          <w:rFonts w:cs="Times New Roman"/>
          <w:iCs/>
        </w:rPr>
      </w:pPr>
    </w:p>
    <w:p w14:paraId="180F1013" w14:textId="3DE3689A" w:rsidR="004B644B" w:rsidRPr="00556A8B" w:rsidRDefault="004B644B" w:rsidP="00357B2F">
      <w:pPr>
        <w:rPr>
          <w:rFonts w:cs="Times New Roman"/>
        </w:rPr>
      </w:pPr>
      <w:r w:rsidRPr="00556A8B">
        <w:rPr>
          <w:rFonts w:cs="Times New Roman"/>
        </w:rPr>
        <w:t xml:space="preserve">Este comprende los tipos de discurso que se aceptan y hacen funcionar como verdaderos, los mecanismos que permiten distinguir enunciados verdaderos y falsos, las técnicas valorizadas para la producción de verdad y el estatuto de quienes están </w:t>
      </w:r>
      <w:r w:rsidR="00901D6F" w:rsidRPr="00556A8B">
        <w:rPr>
          <w:rFonts w:cs="Times New Roman"/>
        </w:rPr>
        <w:t>autorizadas</w:t>
      </w:r>
      <w:r w:rsidRPr="00556A8B">
        <w:rPr>
          <w:rFonts w:cs="Times New Roman"/>
        </w:rPr>
        <w:t xml:space="preserve"> a decirla. Con ello, la pregunta filosófica tradicional por la verdad se desplaza. No se trata de determinar qué es </w:t>
      </w:r>
      <w:r w:rsidRPr="00556A8B">
        <w:rPr>
          <w:rFonts w:cs="Times New Roman"/>
        </w:rPr>
        <w:lastRenderedPageBreak/>
        <w:t>verdadero en términos absolutos, sino de analizar cómo se producen históricamente los efectos de verdad, mediante qué procedimientos ciertos discursos son reconocidos como válidos y qué relaciones de poder los sostienen.</w:t>
      </w:r>
    </w:p>
    <w:p w14:paraId="14E87854" w14:textId="740794D0" w:rsidR="004B644B" w:rsidRPr="00556A8B" w:rsidRDefault="004B644B" w:rsidP="00357B2F">
      <w:pPr>
        <w:rPr>
          <w:rFonts w:cs="Times New Roman"/>
        </w:rPr>
      </w:pPr>
      <w:r w:rsidRPr="00556A8B">
        <w:rPr>
          <w:rFonts w:cs="Times New Roman"/>
        </w:rPr>
        <w:t xml:space="preserve">Lo fundamental de esta noción radica en que los regímenes de verdad no descubren verdades objetivas preexistentes, sino que organizan conjuntos de procedimientos regulados que producen, legitiman y ponen en circulación enunciados reconocidos como verdaderos en un momento histórico específico. </w:t>
      </w:r>
      <w:r w:rsidR="00901D6F" w:rsidRPr="00556A8B">
        <w:rPr>
          <w:rFonts w:cs="Times New Roman"/>
        </w:rPr>
        <w:t xml:space="preserve">Como advierte Foucault (1992), "la verdad no está fuera del poder ni carece de poder... La verdad es de este mundo; se produce en él gracias a múltiples imposiciones y tiene en él efectos reglamentados de poder" (p. 187). </w:t>
      </w:r>
      <w:r w:rsidRPr="00556A8B">
        <w:rPr>
          <w:rFonts w:cs="Times New Roman"/>
        </w:rPr>
        <w:t xml:space="preserve"> En consecuencia, la verdad no constituye el reflejo neutral de una realidad independiente, sino una producción situada que emerge en el entrecruzamiento de prácticas discursivas, instituciones, técnicas de validación y relaciones de poder.</w:t>
      </w:r>
    </w:p>
    <w:p w14:paraId="4506AD20" w14:textId="299E6D5D" w:rsidR="004B644B" w:rsidRPr="00556A8B" w:rsidRDefault="004B644B" w:rsidP="00357B2F">
      <w:pPr>
        <w:ind w:firstLine="708"/>
        <w:rPr>
          <w:rFonts w:cs="Times New Roman"/>
        </w:rPr>
      </w:pPr>
      <w:r w:rsidRPr="00556A8B">
        <w:rPr>
          <w:rFonts w:cs="Times New Roman"/>
        </w:rPr>
        <w:t>Los regímenes de verdad operan mediante diversos mecanismos. En primer lugar, establecen los tipos de discurso aceptados como portadores legítimos de verdad. En las sociedades contemporáneas, el discurso científico ocupa una posición privilegiada, de modo que un enunciado adquiere mayor credibilidad cuando se presenta como resultado de investigación empírica, emplea metodologías reconocidas y circula en espacios académicos institucionalizados. En segundo lugar, instituyen mecanismos para distinguir lo verdadero de lo falso a través de procedimientos de verificación, criterios de validación, protocolos de investigación y sistemas de revisión que regulan la circulación del saber. En tercer lugar, valorizan determinadas técnicas como vías legítimas de acceso a la verdad. Finalmente, determinan el estatuto de quienes pueden enunciarla, pues la producción de verdad exige cualificación, reconocimiento institucional y posición autorizada dentro de un campo disciplinar específico (Foucault, 1992).</w:t>
      </w:r>
    </w:p>
    <w:p w14:paraId="443E32E8" w14:textId="6902264A" w:rsidR="004B644B" w:rsidRPr="00556A8B" w:rsidRDefault="004B644B" w:rsidP="00357B2F">
      <w:pPr>
        <w:rPr>
          <w:rFonts w:cs="Times New Roman"/>
        </w:rPr>
      </w:pPr>
      <w:r w:rsidRPr="00556A8B">
        <w:rPr>
          <w:rFonts w:cs="Times New Roman"/>
        </w:rPr>
        <w:t>Un aspecto decisivo del concepto de régimen de verdad es la relación constitutiva entre poder, saber y verdad. En contraste con la concepción clásica que opone el poder, entendido como distorsión o manipulación, a la verdad como conocimiento objetivo</w:t>
      </w:r>
      <w:r w:rsidR="00901D6F" w:rsidRPr="00556A8B">
        <w:rPr>
          <w:rFonts w:cs="Times New Roman"/>
        </w:rPr>
        <w:t>—, Foucault (1992) sostiene que "no hay relación de poder sin constitución correlativa de un campo de saber, ni de saber que no suponga y no constituya al mismo tiempo relaciones de poder" (p. 34)</w:t>
      </w:r>
      <w:r w:rsidRPr="00556A8B">
        <w:rPr>
          <w:rFonts w:cs="Times New Roman"/>
        </w:rPr>
        <w:t xml:space="preserve">. El poder no reprime la verdad, la produce. Genera los objetos sobre los cuales se puede hablar con pretensión de verdad, establece los procedimientos de validación, instituye las posiciones desde las cuales puede enunciarse legítimamente y organiza los efectos que esa verdad despliega en la realidad </w:t>
      </w:r>
      <w:r w:rsidRPr="00556A8B">
        <w:rPr>
          <w:rFonts w:cs="Times New Roman"/>
        </w:rPr>
        <w:lastRenderedPageBreak/>
        <w:t>social. Como afirma el autor, el poder produce saber y ambos se implican directamente (Foucault, 2008b).</w:t>
      </w:r>
    </w:p>
    <w:p w14:paraId="5CD8A4AE" w14:textId="06667527" w:rsidR="004B644B" w:rsidRPr="00556A8B" w:rsidRDefault="004B644B" w:rsidP="00357B2F">
      <w:pPr>
        <w:rPr>
          <w:rFonts w:cs="Times New Roman"/>
        </w:rPr>
      </w:pPr>
      <w:r w:rsidRPr="00556A8B">
        <w:rPr>
          <w:rFonts w:cs="Times New Roman"/>
        </w:rPr>
        <w:t>En el campo de la salud mental, esta perspectiva permite comprender que las categorías diagnósticas, los modelos de intervención, las escalas de medición y los discursos terapéuticos no son simplemente descripciones técnicas de una realidad psíquica objetiva. Funcionan como elementos de un régimen de verdad que define qué cuenta como malestar legítimo, qué formas de sufrimiento requieren intervención especializada y qué modos de subjetividad son considerados normales o saludables. De este modo, la verdad psicológica no se limita a nombrar la experiencia, participa activamente en su organización y regulación.</w:t>
      </w:r>
    </w:p>
    <w:p w14:paraId="361D7D27" w14:textId="3DD6433B" w:rsidR="00DE23BF" w:rsidRPr="00556A8B" w:rsidRDefault="004B644B" w:rsidP="00357B2F">
      <w:pPr>
        <w:rPr>
          <w:rFonts w:cs="Times New Roman"/>
        </w:rPr>
      </w:pPr>
      <w:r w:rsidRPr="00556A8B">
        <w:rPr>
          <w:rFonts w:cs="Times New Roman"/>
        </w:rPr>
        <w:t>Así, el análisis del régimen de verdad en salud mental no busca impugnar la validez empírica de los saberes psicológicos, sino comprender las condiciones históricas que permiten que ciertos enunciados funcionen como verdaderos y produzcan efectos concretos sobre las prácticas profesionales, las políticas públicas y los procesos de subjetivación. Examinar el régimen de verdad implica, en consecuencia, interrogar la red de procedimientos que sostienen la autoridad del saber experto y analizar cómo esa autoridad se articula con tecnologías de gobierno del yo en el presente histórico.</w:t>
      </w:r>
    </w:p>
    <w:p w14:paraId="3072F94B" w14:textId="77777777" w:rsidR="00DE23BF" w:rsidRPr="00556A8B" w:rsidRDefault="00DE23BF" w:rsidP="00357B2F">
      <w:pPr>
        <w:rPr>
          <w:rFonts w:cs="Times New Roman"/>
        </w:rPr>
      </w:pPr>
    </w:p>
    <w:p w14:paraId="245701D5" w14:textId="154908C6" w:rsidR="00DE23BF" w:rsidRPr="00556A8B" w:rsidRDefault="009950ED" w:rsidP="00357B2F">
      <w:pPr>
        <w:pStyle w:val="Ttulo2"/>
      </w:pPr>
      <w:bookmarkStart w:id="45" w:name="_Toc232580570"/>
      <w:r w:rsidRPr="00556A8B">
        <w:t>Procedimientos de exclusión y control del discurso</w:t>
      </w:r>
      <w:bookmarkEnd w:id="45"/>
    </w:p>
    <w:p w14:paraId="38EE18DA" w14:textId="77777777" w:rsidR="00DE23BF" w:rsidRPr="00556A8B" w:rsidRDefault="00DE23BF" w:rsidP="00357B2F">
      <w:pPr>
        <w:rPr>
          <w:rFonts w:cs="Times New Roman"/>
        </w:rPr>
      </w:pPr>
      <w:r w:rsidRPr="00556A8B">
        <w:rPr>
          <w:rFonts w:cs="Times New Roman"/>
        </w:rPr>
        <w:t>Si los regímenes de verdad determinan qué discursos son reconocidos como verdaderos mediante procedimientos de validación y legitimación, es necesario examinar también los mecanismos a través de los cuales ciertos discursos son excluidos, marginados o descalificados. Foucault (1970a) identifica tres grandes sistemas de exclusión que controlan la producción discursiva en toda sociedad: la prohibición, la división y el rechazo, y la voluntad de verdad. Estos procedimientos operan desde el exterior del discurso, estableciendo límites a lo que puede ser dicho, por quién y en qué circunstancias.</w:t>
      </w:r>
    </w:p>
    <w:p w14:paraId="241ADCEA" w14:textId="77777777" w:rsidR="00DE23BF" w:rsidRPr="00556A8B" w:rsidRDefault="00DE23BF" w:rsidP="00914F05">
      <w:pPr>
        <w:pStyle w:val="Ttulo3"/>
        <w:spacing w:line="360" w:lineRule="auto"/>
      </w:pPr>
    </w:p>
    <w:p w14:paraId="39D210CD" w14:textId="29590235" w:rsidR="00DE23BF" w:rsidRPr="00556A8B" w:rsidRDefault="00DE23BF" w:rsidP="00914F05">
      <w:pPr>
        <w:pStyle w:val="Ttulo3"/>
        <w:numPr>
          <w:ilvl w:val="2"/>
          <w:numId w:val="6"/>
        </w:numPr>
        <w:spacing w:line="360" w:lineRule="auto"/>
      </w:pPr>
      <w:bookmarkStart w:id="46" w:name="_Toc232580571"/>
      <w:r w:rsidRPr="00556A8B">
        <w:t>La prohibición</w:t>
      </w:r>
      <w:bookmarkEnd w:id="46"/>
    </w:p>
    <w:p w14:paraId="4ADB6CCD" w14:textId="77777777" w:rsidR="00DE23BF" w:rsidRPr="00556A8B" w:rsidRDefault="00DE23BF" w:rsidP="00357B2F">
      <w:pPr>
        <w:rPr>
          <w:rFonts w:cs="Times New Roman"/>
        </w:rPr>
      </w:pPr>
      <w:r w:rsidRPr="00556A8B">
        <w:rPr>
          <w:rFonts w:cs="Times New Roman"/>
        </w:rPr>
        <w:t xml:space="preserve">El primer procedimiento de exclusión es la prohibición, que Foucault (1970a) describe como el más evidente y familiar de los sistemas que regulan el orden del discurso. Lejos de constituir una mera censura explícita, la prohibición opera como una tecnología sutil que </w:t>
      </w:r>
      <w:r w:rsidRPr="00556A8B">
        <w:rPr>
          <w:rFonts w:cs="Times New Roman"/>
        </w:rPr>
        <w:lastRenderedPageBreak/>
        <w:t>organiza anticipadamente el campo de lo decible, delimitando aquello que puede circular como discurso legítimo y aquello que debe permanecer en silencio. No se trata simplemente de impedir que algo sea dicho, sino de estructurar el espacio mismo en el que algo podría llegar a ser formulado.</w:t>
      </w:r>
    </w:p>
    <w:p w14:paraId="5EE9D6A1" w14:textId="77777777" w:rsidR="00DE23BF" w:rsidRPr="00556A8B" w:rsidRDefault="00DE23BF" w:rsidP="00357B2F">
      <w:pPr>
        <w:rPr>
          <w:rFonts w:cs="Times New Roman"/>
        </w:rPr>
      </w:pPr>
      <w:r w:rsidRPr="00556A8B">
        <w:rPr>
          <w:rFonts w:cs="Times New Roman"/>
        </w:rPr>
        <w:t>La prohibición funciona, según Foucault, a través de tres modalidades interrelacionadas. En primer lugar, el tabú del objeto: ciertos temas no pueden ser abordados en determinados contextos o bajo determinadas condiciones sin que su enunciación produzca sanciones simbólicas o materiales. En segundo lugar, el ritual de la circunstancia: no se puede hablar de cualquier cosa en cualquier momento o lugar; existen reglas implícitas que regulan las condiciones espaciales, temporales e institucionales en las que un discurso adquiere legitimidad. Finalmente, el derecho exclusivo del sujeto que habla: no cualquiera está autorizado a pronunciar determinados discursos; la posición desde la cual se habla constituye un requisito fundamental para que un enunciado sea reconocido como válido. Como afirma Foucault (1970a), “se sabe que no se tiene derecho a decirlo todo, que no se puede hablar de todo en cualquier circunstancia, que cualquiera, en fin, no puede hablar de cualquier cosa” (p. 14).</w:t>
      </w:r>
    </w:p>
    <w:p w14:paraId="4BDBB661" w14:textId="77777777" w:rsidR="00DE23BF" w:rsidRPr="00556A8B" w:rsidRDefault="00DE23BF" w:rsidP="00357B2F">
      <w:pPr>
        <w:rPr>
          <w:rFonts w:cs="Times New Roman"/>
        </w:rPr>
      </w:pPr>
      <w:r w:rsidRPr="00556A8B">
        <w:rPr>
          <w:rFonts w:cs="Times New Roman"/>
        </w:rPr>
        <w:t>La prohibición, en este sentido, no opera únicamente como negación, sino como una forma productiva de ordenamiento. Al establecer zonas de silencio, temas intocables y palabras cuya enunciación comporta consecuencias, configura simultáneamente el campo de lo enunciable. Cada interdicción delimita un afuera constitutivo del discurso: aquello que no puede decirse define indirectamente aquello que sí puede formularse como verdad. Así, el silencio no es simplemente ausencia de palabra, sino efecto estructural de una economía discursiva que distribuye jerárquicamente lo visible y lo invisible, lo audible y lo inaudible.</w:t>
      </w:r>
    </w:p>
    <w:p w14:paraId="46F0838D" w14:textId="75F0D237" w:rsidR="00DE23BF" w:rsidRPr="00556A8B" w:rsidRDefault="00DE23BF" w:rsidP="00357B2F">
      <w:pPr>
        <w:rPr>
          <w:rFonts w:cs="Times New Roman"/>
        </w:rPr>
      </w:pPr>
      <w:r w:rsidRPr="00556A8B">
        <w:rPr>
          <w:rFonts w:cs="Times New Roman"/>
        </w:rPr>
        <w:t>Este procedimiento de exclusión se articula estrechamente con relaciones de poder, en tanto la capacidad de prohibir no se distribuye de manera homogénea. Las instancias institucionales</w:t>
      </w:r>
      <w:r w:rsidR="009950ED" w:rsidRPr="00556A8B">
        <w:rPr>
          <w:rFonts w:cs="Times New Roman"/>
        </w:rPr>
        <w:t>, j</w:t>
      </w:r>
      <w:r w:rsidRPr="00556A8B">
        <w:rPr>
          <w:rFonts w:cs="Times New Roman"/>
        </w:rPr>
        <w:t>urídicas, religiosas, médicas, académicas</w:t>
      </w:r>
      <w:r w:rsidR="009950ED" w:rsidRPr="00556A8B">
        <w:rPr>
          <w:rFonts w:cs="Times New Roman"/>
        </w:rPr>
        <w:t>,</w:t>
      </w:r>
      <w:r w:rsidRPr="00556A8B">
        <w:rPr>
          <w:rFonts w:cs="Times New Roman"/>
        </w:rPr>
        <w:t xml:space="preserve"> detentan la autoridad para determinar qué discursos resultan legítimos y cuáles deben ser reprimidos, desplazados o reformulados. De este modo, la prohibición no solo regula contenidos, sino que contribuye a producir sujetos que aprenden tempranamente qué puede decirse, ante quién y en qué condiciones. El sujeto se forma, así, en el interior de una gramática de la permisividad y del silencio que orienta su relación con la palabra y con la verdad.</w:t>
      </w:r>
    </w:p>
    <w:p w14:paraId="13F389AC" w14:textId="694FF7BF" w:rsidR="00DE23BF" w:rsidRPr="00556A8B" w:rsidRDefault="00DE23BF" w:rsidP="00357B2F">
      <w:pPr>
        <w:rPr>
          <w:rFonts w:cs="Times New Roman"/>
        </w:rPr>
      </w:pPr>
    </w:p>
    <w:p w14:paraId="00F54FF9" w14:textId="3CF72F1A" w:rsidR="00DE23BF" w:rsidRPr="00556A8B" w:rsidRDefault="00DE23BF" w:rsidP="00914F05">
      <w:pPr>
        <w:pStyle w:val="Ttulo3"/>
        <w:numPr>
          <w:ilvl w:val="2"/>
          <w:numId w:val="6"/>
        </w:numPr>
        <w:spacing w:line="360" w:lineRule="auto"/>
      </w:pPr>
      <w:bookmarkStart w:id="47" w:name="_Toc232580572"/>
      <w:r w:rsidRPr="00556A8B">
        <w:lastRenderedPageBreak/>
        <w:t>La división y el rechazo</w:t>
      </w:r>
      <w:bookmarkEnd w:id="47"/>
    </w:p>
    <w:p w14:paraId="5E09B7AE" w14:textId="27332FF6" w:rsidR="00DE23BF" w:rsidRPr="00556A8B" w:rsidRDefault="00DE23BF" w:rsidP="00357B2F">
      <w:pPr>
        <w:rPr>
          <w:rFonts w:cs="Times New Roman"/>
        </w:rPr>
      </w:pPr>
      <w:r w:rsidRPr="00556A8B">
        <w:rPr>
          <w:rFonts w:cs="Times New Roman"/>
        </w:rPr>
        <w:t>El segundo procedimiento de exclusión es la división y el rechazo, que Foucault (1970a) ejemplifica a partir de la oposición histórica entre razón y locura. A diferencia de la prohibición</w:t>
      </w:r>
      <w:r w:rsidR="009950ED" w:rsidRPr="00556A8B">
        <w:rPr>
          <w:rFonts w:cs="Times New Roman"/>
        </w:rPr>
        <w:t xml:space="preserve">, </w:t>
      </w:r>
      <w:r w:rsidRPr="00556A8B">
        <w:rPr>
          <w:rFonts w:cs="Times New Roman"/>
        </w:rPr>
        <w:t>que actúa delimitando objetos, circunstancias y hablantes, la división y el rechazo operan mediante la instauración de fronteras internas al campo social que separan discursos legítimos de discursos descalificados. Se trata de una operación clasificatoria que no silencia simplemente una palabra, sino que la sitúa en un régimen de invalidez.</w:t>
      </w:r>
    </w:p>
    <w:p w14:paraId="35D87F34" w14:textId="77777777" w:rsidR="00DE23BF" w:rsidRPr="00556A8B" w:rsidRDefault="00DE23BF" w:rsidP="00357B2F">
      <w:pPr>
        <w:rPr>
          <w:rFonts w:cs="Times New Roman"/>
        </w:rPr>
      </w:pPr>
      <w:r w:rsidRPr="00556A8B">
        <w:rPr>
          <w:rFonts w:cs="Times New Roman"/>
        </w:rPr>
        <w:t>Durante siglos, el discurso del loco fue excluido como palabra carente de valor, verdad y legitimidad; “su palabra era considerada como nula y sin valor, sin verdad ni significación” (Foucault, 1970a, p. 15). Esta descalificación no implicaba únicamente que el loco dijera algo falso, sino que su palabra era privada de estatuto epistémico. No se trataba de refutar su discurso, sino de negar su condición misma de discurso. La locura funcionó, así, como figura límite que permitía trazar una frontera entre lo racional y lo irracional, entre lo verdadero y lo carente de sentido.</w:t>
      </w:r>
    </w:p>
    <w:p w14:paraId="4D94CFE5" w14:textId="3FB3BEAF" w:rsidR="00DE23BF" w:rsidRPr="00556A8B" w:rsidRDefault="00DE23BF" w:rsidP="00357B2F">
      <w:pPr>
        <w:rPr>
          <w:rFonts w:cs="Times New Roman"/>
        </w:rPr>
      </w:pPr>
      <w:r w:rsidRPr="00556A8B">
        <w:rPr>
          <w:rFonts w:cs="Times New Roman"/>
        </w:rPr>
        <w:t>Si bien las formas históricas de esta exclusión han variado</w:t>
      </w:r>
      <w:r w:rsidR="009950ED" w:rsidRPr="00556A8B">
        <w:rPr>
          <w:rFonts w:cs="Times New Roman"/>
        </w:rPr>
        <w:t xml:space="preserve">, </w:t>
      </w:r>
      <w:r w:rsidRPr="00556A8B">
        <w:rPr>
          <w:rFonts w:cs="Times New Roman"/>
        </w:rPr>
        <w:t xml:space="preserve">desde el encierro clásico descrito en </w:t>
      </w:r>
      <w:r w:rsidRPr="00556A8B">
        <w:rPr>
          <w:rFonts w:cs="Times New Roman"/>
          <w:i/>
          <w:iCs/>
        </w:rPr>
        <w:t>Historia de la locura</w:t>
      </w:r>
      <w:r w:rsidRPr="00556A8B">
        <w:rPr>
          <w:rFonts w:cs="Times New Roman"/>
        </w:rPr>
        <w:t xml:space="preserve"> hasta la medicalización y psiquiatrización moderna, persiste una operación estructural de división que clasifica ciertas voces como irracionales, patológicas o incompetentes. El paso del manicomio al consultorio psiquiátrico no elimina la frontera; la reconfigura bajo el lenguaje del diagnóstico, la terapia y la rehabilitación. El discurso excluido deja de ser simplemente silenciado para convertirse en objeto de saber especializado. En este desplazamiento, la palabra del sujeto es reinterpretada, traducida y reinscrita dentro de un marco experto que determina su significado.</w:t>
      </w:r>
    </w:p>
    <w:p w14:paraId="60F87482" w14:textId="77777777" w:rsidR="00DE23BF" w:rsidRPr="00556A8B" w:rsidRDefault="00DE23BF" w:rsidP="00357B2F">
      <w:pPr>
        <w:rPr>
          <w:rFonts w:cs="Times New Roman"/>
        </w:rPr>
      </w:pPr>
      <w:r w:rsidRPr="00556A8B">
        <w:rPr>
          <w:rFonts w:cs="Times New Roman"/>
        </w:rPr>
        <w:t>La división y el rechazo no afectan únicamente al “loco” en sentido estricto. Operan cada vez que un discurso es deslegitimado por desviarse de los parámetros de racionalidad establecidos por el orden social dominante. Determinadas experiencias, narrativas o formas de nombrar el malestar pueden ser clasificadas como exageradas, impropias, inmaduras o disfuncionales, perdiendo así su fuerza como enunciados válidos sobre lo real. En este sentido, la exclusión no siempre adopta la forma del silencio absoluto; puede manifestarse como reubicación, reinterpretación o patologización.</w:t>
      </w:r>
    </w:p>
    <w:p w14:paraId="369A83C8" w14:textId="77777777" w:rsidR="00DE23BF" w:rsidRPr="00556A8B" w:rsidRDefault="00DE23BF" w:rsidP="00357B2F">
      <w:pPr>
        <w:rPr>
          <w:rFonts w:cs="Times New Roman"/>
        </w:rPr>
      </w:pPr>
      <w:r w:rsidRPr="00556A8B">
        <w:rPr>
          <w:rFonts w:cs="Times New Roman"/>
        </w:rPr>
        <w:t xml:space="preserve">Esta operación divisoria cumple una función constitutiva: al trazar la frontera entre lo que cuenta como razón y lo que es relegado al estatuto de sinrazón, el orden del discurso produce </w:t>
      </w:r>
      <w:r w:rsidRPr="00556A8B">
        <w:rPr>
          <w:rFonts w:cs="Times New Roman"/>
        </w:rPr>
        <w:lastRenderedPageBreak/>
        <w:t>simultáneamente sujetos autorizados y sujetos descalificados. La división no solo organiza el campo epistémico, sino que produce posiciones de sujeto diferenciadas, asignando a algunos la autoridad de interpretar y a otros la condición de ser interpretados. Así, el procedimiento de división y rechazo no es meramente negativo; constituye una matriz de jerarquización que estructura las relaciones entre saber, poder y subjetividad.</w:t>
      </w:r>
    </w:p>
    <w:p w14:paraId="50F99D4B" w14:textId="72E3F6D7" w:rsidR="00DE23BF" w:rsidRPr="00556A8B" w:rsidRDefault="00DE23BF" w:rsidP="00357B2F">
      <w:pPr>
        <w:rPr>
          <w:rFonts w:cs="Times New Roman"/>
        </w:rPr>
      </w:pPr>
    </w:p>
    <w:p w14:paraId="1314178C" w14:textId="1034159E" w:rsidR="00DE23BF" w:rsidRPr="00556A8B" w:rsidRDefault="00DE23BF" w:rsidP="00914F05">
      <w:pPr>
        <w:pStyle w:val="Ttulo3"/>
        <w:numPr>
          <w:ilvl w:val="2"/>
          <w:numId w:val="6"/>
        </w:numPr>
        <w:spacing w:line="360" w:lineRule="auto"/>
      </w:pPr>
      <w:bookmarkStart w:id="48" w:name="_Toc232580573"/>
      <w:r w:rsidRPr="00556A8B">
        <w:t>La voluntad de verdad</w:t>
      </w:r>
      <w:bookmarkEnd w:id="48"/>
    </w:p>
    <w:p w14:paraId="04D80C69" w14:textId="7D0E1D80" w:rsidR="00DE23BF" w:rsidRPr="00556A8B" w:rsidRDefault="00DE23BF" w:rsidP="00357B2F">
      <w:pPr>
        <w:rPr>
          <w:rFonts w:cs="Times New Roman"/>
        </w:rPr>
      </w:pPr>
      <w:r w:rsidRPr="00556A8B">
        <w:rPr>
          <w:rFonts w:cs="Times New Roman"/>
        </w:rPr>
        <w:t>El tercer procedimiento, y quizá el más decisivo en las sociedades modernas, es la voluntad de verdad. Foucault (1970a) señala que, mientras la prohibición y la división son mecanismos visibles, la voluntad de verdad "tiende a ejercer sobre los otros discursos... una especie de presión y como un poder de coacción" (p. 19) que resulta menos perceptible</w:t>
      </w:r>
      <w:r w:rsidR="0050310B" w:rsidRPr="00556A8B">
        <w:rPr>
          <w:rFonts w:cs="Times New Roman"/>
        </w:rPr>
        <w:t>,</w:t>
      </w:r>
      <w:r w:rsidRPr="00556A8B">
        <w:rPr>
          <w:rFonts w:cs="Times New Roman"/>
        </w:rPr>
        <w:t xml:space="preserve"> precisamente porque se presenta como búsqueda neutral de conocimiento objetivo. La voluntad de verdad remite al conjunto de prácticas institucionales que sostienen, refuerzan y distribuyen ciertos discursos como verdaderos, mientras marginan o descalifican otros. Se manifiesta en "la manera como el saber es aplicado en una sociedad, como es valorizado, distribuido, repartido y en cierto modo atribuido" (Foucault, 1970a, p. 20).</w:t>
      </w:r>
    </w:p>
    <w:p w14:paraId="70C954E9" w14:textId="6273C2CB" w:rsidR="00DE23BF" w:rsidRPr="00556A8B" w:rsidRDefault="00DE23BF" w:rsidP="00357B2F">
      <w:pPr>
        <w:rPr>
          <w:rFonts w:cs="Times New Roman"/>
        </w:rPr>
      </w:pPr>
      <w:r w:rsidRPr="00556A8B">
        <w:rPr>
          <w:rFonts w:cs="Times New Roman"/>
        </w:rPr>
        <w:t>Lo crucial es que estos tres procedimientos de exclusión no operan de manera aislada, sino articulada, configurando un orden del discurso que delimita qué puede ser dicho, por quién y con qué efectos. La prohibición instituye zonas de silencio; la división descalifica determinadas voces como irracionales; y la voluntad de verdad legitima ciertos discursos como portadores de conocimiento objetivo. Como señala Foucault (1970a)</w:t>
      </w:r>
      <w:r w:rsidR="00F874B8" w:rsidRPr="00556A8B">
        <w:rPr>
          <w:rFonts w:cs="Times New Roman"/>
        </w:rPr>
        <w:t xml:space="preserve"> “</w:t>
      </w:r>
      <w:r w:rsidRPr="00556A8B">
        <w:rPr>
          <w:rFonts w:cs="Times New Roman"/>
        </w:rPr>
        <w:t>en toda sociedad la producción del discurso está controlada, seleccionada y redistribuida por un cierto número de procedimientos que tienen por función conjurar los poderes y peligros, dominar el acontecimiento aleatorio y esquivar su pesada y temible materialidad</w:t>
      </w:r>
      <w:r w:rsidR="00F874B8" w:rsidRPr="00556A8B">
        <w:rPr>
          <w:rFonts w:cs="Times New Roman"/>
        </w:rPr>
        <w:t>”</w:t>
      </w:r>
      <w:r w:rsidRPr="00556A8B">
        <w:rPr>
          <w:rFonts w:cs="Times New Roman"/>
        </w:rPr>
        <w:t xml:space="preserve"> (p. 14).</w:t>
      </w:r>
    </w:p>
    <w:p w14:paraId="1DA98578" w14:textId="77777777" w:rsidR="000E5B14" w:rsidRPr="00556A8B" w:rsidRDefault="000E5B14" w:rsidP="00357B2F">
      <w:pPr>
        <w:ind w:firstLine="0"/>
        <w:rPr>
          <w:rFonts w:cs="Times New Roman"/>
          <w:lang w:val="es-MX"/>
        </w:rPr>
      </w:pPr>
    </w:p>
    <w:p w14:paraId="5A749014" w14:textId="5966EE61" w:rsidR="000E5B14" w:rsidRPr="00556A8B" w:rsidRDefault="009950ED" w:rsidP="00357B2F">
      <w:pPr>
        <w:pStyle w:val="Ttulo2"/>
        <w:rPr>
          <w:lang w:val="es-MX"/>
        </w:rPr>
      </w:pPr>
      <w:bookmarkStart w:id="49" w:name="_Toc232580574"/>
      <w:r w:rsidRPr="00556A8B">
        <w:rPr>
          <w:lang w:val="es-MX"/>
        </w:rPr>
        <w:t>Subjetivación y producción del sujeto</w:t>
      </w:r>
      <w:bookmarkEnd w:id="49"/>
    </w:p>
    <w:p w14:paraId="497A6090" w14:textId="7D2B6B7C" w:rsidR="009950ED" w:rsidRPr="00556A8B" w:rsidRDefault="009950ED" w:rsidP="00914F05">
      <w:pPr>
        <w:pStyle w:val="Ttulo3"/>
        <w:spacing w:line="360" w:lineRule="auto"/>
      </w:pPr>
      <w:bookmarkStart w:id="50" w:name="_Toc232580575"/>
      <w:r w:rsidRPr="00556A8B">
        <w:t>4.8.1. Subjetivación y producción del sujeto</w:t>
      </w:r>
      <w:bookmarkEnd w:id="50"/>
    </w:p>
    <w:p w14:paraId="0097E223" w14:textId="2DE76F57" w:rsidR="00DE23BF" w:rsidRPr="00556A8B" w:rsidRDefault="00DE23BF" w:rsidP="00357B2F">
      <w:pPr>
        <w:rPr>
          <w:rFonts w:cs="Times New Roman"/>
        </w:rPr>
      </w:pPr>
      <w:r w:rsidRPr="00556A8B">
        <w:rPr>
          <w:rFonts w:cs="Times New Roman"/>
        </w:rPr>
        <w:t xml:space="preserve">Una vez reconocidos los elementos estructurantes asociados a las prácticas discursivas, resulta pertinente avanzar hacia uno de sus efectos fundamentales: la constitución del sujeto. Este efecto se traduce en lo que se denomina subjetivación, concepto que permite comprender que los </w:t>
      </w:r>
      <w:r w:rsidR="007B2E62">
        <w:rPr>
          <w:rFonts w:cs="Times New Roman"/>
        </w:rPr>
        <w:lastRenderedPageBreak/>
        <w:t>sujetos</w:t>
      </w:r>
      <w:r w:rsidR="007B2E62" w:rsidRPr="00556A8B">
        <w:rPr>
          <w:rFonts w:cs="Times New Roman"/>
        </w:rPr>
        <w:t xml:space="preserve"> </w:t>
      </w:r>
      <w:r w:rsidRPr="00556A8B">
        <w:rPr>
          <w:rFonts w:cs="Times New Roman"/>
        </w:rPr>
        <w:t>no nacen con una esencia fija y universal, sino que se constituyen históricamente mediante su inscripción en regímenes discursivos específicos que delimitan las formas de pensar, actuar y sentir consideradas legítimas en un momento determinado.</w:t>
      </w:r>
    </w:p>
    <w:p w14:paraId="4CE7DF90" w14:textId="66A96CA4" w:rsidR="00783F8F" w:rsidRPr="00556A8B" w:rsidRDefault="00DE23BF" w:rsidP="00357B2F">
      <w:pPr>
        <w:rPr>
          <w:rFonts w:cs="Times New Roman"/>
        </w:rPr>
      </w:pPr>
      <w:r w:rsidRPr="00556A8B">
        <w:rPr>
          <w:rFonts w:cs="Times New Roman"/>
        </w:rPr>
        <w:t>Para Foucault (2002), el sujeto no es una sustancia sino una forma, y esta forma no es originaria sino "el resultado de relaciones de poder y saber" (p. 212). Esta afirmación desplaza radicalmente la pregunta filosófica tradicional sobre el sujeto: en lugar de interrogar qué es el sujeto en sí mismo</w:t>
      </w:r>
      <w:r w:rsidR="009950ED" w:rsidRPr="00556A8B">
        <w:rPr>
          <w:rFonts w:cs="Times New Roman"/>
        </w:rPr>
        <w:t xml:space="preserve">, </w:t>
      </w:r>
      <w:r w:rsidRPr="00556A8B">
        <w:rPr>
          <w:rFonts w:cs="Times New Roman"/>
        </w:rPr>
        <w:t xml:space="preserve">como si poseyera una naturaleza esencial, Foucault propone examinar cómo es producido, mediante qué prácticas se constituye </w:t>
      </w:r>
      <w:r w:rsidR="00C76D78" w:rsidRPr="00556A8B">
        <w:rPr>
          <w:rFonts w:cs="Times New Roman"/>
        </w:rPr>
        <w:t xml:space="preserve">y en qué </w:t>
      </w:r>
      <w:r w:rsidRPr="00556A8B">
        <w:rPr>
          <w:rFonts w:cs="Times New Roman"/>
        </w:rPr>
        <w:t>condiciones históricas emerge como forma reconocible de subjetividad. La subjetivación debe entenderse, entonces, como el proceso mediante el cual, en el marco de prácticas discursivas que delimitan lo pensable y lo decible, el sujeto se inscribe y se constituye a sí mismo a partir de marcos normativos preestablecidos, interiorizando modos de ser que una época y un contexto específicos instituyen como verdaderos (Arruda, 201</w:t>
      </w:r>
      <w:r w:rsidR="006C48BA" w:rsidRPr="00556A8B">
        <w:rPr>
          <w:rFonts w:cs="Times New Roman"/>
        </w:rPr>
        <w:t>1</w:t>
      </w:r>
      <w:r w:rsidRPr="00556A8B">
        <w:rPr>
          <w:rFonts w:cs="Times New Roman"/>
        </w:rPr>
        <w:t>; Rose, 1999).</w:t>
      </w:r>
    </w:p>
    <w:p w14:paraId="2EC9D5A8" w14:textId="60C3A6EE" w:rsidR="00DE23BF" w:rsidRPr="00556A8B" w:rsidRDefault="00DE23BF" w:rsidP="00357B2F">
      <w:pPr>
        <w:rPr>
          <w:rFonts w:cs="Times New Roman"/>
        </w:rPr>
      </w:pPr>
      <w:r w:rsidRPr="00556A8B">
        <w:rPr>
          <w:rFonts w:cs="Times New Roman"/>
        </w:rPr>
        <w:t>Esta perspectiva rompe con la concepción esencialista que supone que el sujeto posee una interioridad auténtica o una esencia innata que determina su naturaleza y comportamiento con independencia de las condiciones sociales e históricas. Por el contrario, la subjetivación opera como un proceso de inscripción del sujeto en formaciones discursivas que lo atraviesan y lo configuran. Como advierte Bedoya (2021), se trata de un proceso mediante el cual el sujeto adopta sistemas de significados que le permiten apropiarse de aquello que ha sido construido como verdad en contextos gubernamentales específicos, marcados por determinaciones históricas, políticas y económicas. No existe, por tanto, formación del sujeto sin un régimen de sujeción, pues el sujeto emerge siempre en relación con dispositivos de poder y saber que lo producen como tal (Foucault, 2008b).</w:t>
      </w:r>
    </w:p>
    <w:p w14:paraId="2C3AF325" w14:textId="77777777" w:rsidR="00783F8F" w:rsidRPr="00556A8B" w:rsidRDefault="00DE23BF" w:rsidP="00357B2F">
      <w:pPr>
        <w:rPr>
          <w:rFonts w:cs="Times New Roman"/>
        </w:rPr>
      </w:pPr>
      <w:r w:rsidRPr="00556A8B">
        <w:rPr>
          <w:rFonts w:cs="Times New Roman"/>
        </w:rPr>
        <w:t xml:space="preserve">Esta idea valida la comprensión de que la subjetivación opera a través de prácticas discursivas y condiciones históricas de posibilidad que atraviesan al sujeto y configuran un yo que emerge y se sostiene en condiciones específicas de emergencia (Arruda, 2010). En este sentido, el sujeto no preexiste a las prácticas que lo constituyen, sino que es efecto de ellas. Como señala Foucault (1970a), el sujeto se construye a partir de un discurso que ya existe y que funciona como marco que define y limita las posibilidades de interpretación, acción y experiencia. Este marco no actúa de manera meramente externa o represiva; no se limita a censurar o prohibir formas de ser, sino que produce activamente las condiciones de posibilidad </w:t>
      </w:r>
      <w:r w:rsidRPr="00556A8B">
        <w:rPr>
          <w:rFonts w:cs="Times New Roman"/>
        </w:rPr>
        <w:lastRenderedPageBreak/>
        <w:t>para que determinadas formas de subjetividad emerjan como inteligibles, mientras otras quedan excluidas del campo de lo pensable.</w:t>
      </w:r>
    </w:p>
    <w:p w14:paraId="14505EB9" w14:textId="77777777" w:rsidR="00783F8F" w:rsidRPr="00556A8B" w:rsidRDefault="00DE23BF" w:rsidP="00357B2F">
      <w:pPr>
        <w:rPr>
          <w:rFonts w:cs="Times New Roman"/>
        </w:rPr>
      </w:pPr>
      <w:r w:rsidRPr="00556A8B">
        <w:rPr>
          <w:rFonts w:cs="Times New Roman"/>
        </w:rPr>
        <w:t>El proceso de subjetivación no es lineal ni uniforme, sino que se articula a las variaciones propias de los contextos históricos y a las configuraciones de poder que definen las posibilidades de vida en un momento determinado. Para Deleuze y Guattari (2004), "la subjetivación no es el desarrollo de una interioridad, sino la producción de una posición del sujeto en un campo social; una formación provisoria generada por agenciamientos colectivos que determinan los modos de existencia" (p. 56). Esta afirmación resulta crucial, pues rechaza la idea de que la subjetivación constituya el despliegue de potencialidades internas; por el contrario, las posiciones de sujeto son producidas por ensamblajes de prácticas, discursos, instituciones y relaciones de poder que configuran campos históricos y contingentes de posibilidad.</w:t>
      </w:r>
    </w:p>
    <w:p w14:paraId="01D8ABCB" w14:textId="6A4EA723" w:rsidR="00DE23BF" w:rsidRPr="00556A8B" w:rsidRDefault="00DE23BF" w:rsidP="00357B2F">
      <w:pPr>
        <w:rPr>
          <w:rFonts w:cs="Times New Roman"/>
        </w:rPr>
      </w:pPr>
      <w:r w:rsidRPr="00556A8B">
        <w:rPr>
          <w:rFonts w:cs="Times New Roman"/>
        </w:rPr>
        <w:t>Illouz (2007) sostiene que la subjetivación no se produce únicamente mediante la interiorización cognitiva de normas, sino también a través de la apropiación afectiva de marcos culturalmente construidos que orientan la experiencia del yo. Los afectos, lejos de constituir vivencias puramente internas o prediscursivas, se encuentran organizados por estructuras simbólicas y regímenes de sentido que definen qué emociones son legítimas, cómo deben experimentarse, expresarse y evaluarse en contextos específicos. De este modo, los marcos afectivos no solo configuran modos de sentir, sino que operan como tecnologías sutiles de regulación subjetiva mediante las cuales los individuos aprenden a evaluarse, gobernarse y responsabilizarse emocionalmente.</w:t>
      </w:r>
    </w:p>
    <w:p w14:paraId="7043420A" w14:textId="391D0593" w:rsidR="00DE23BF" w:rsidRPr="00556A8B" w:rsidRDefault="00DE23BF" w:rsidP="00357B2F">
      <w:pPr>
        <w:rPr>
          <w:rFonts w:cs="Times New Roman"/>
        </w:rPr>
      </w:pPr>
      <w:r w:rsidRPr="00556A8B">
        <w:rPr>
          <w:rFonts w:cs="Times New Roman"/>
        </w:rPr>
        <w:t xml:space="preserve">En este proceso, la afectividad se convierte en un punto privilegiado de articulación entre poder y subjetividad, en la medida en que orienta prácticas de autoexamen, autorregulación y normalización que no requieren imposición externa directa, sino que se activan desde la experiencia íntima del sujeto (Illouz, 2007). Así, los afectos organizan tanto la relación consigo mismo como con los otros, produciendo formas de subjetividad socialmente reconocibles que se alinean </w:t>
      </w:r>
      <w:r w:rsidR="004F3849" w:rsidRPr="00556A8B">
        <w:rPr>
          <w:rFonts w:cs="Times New Roman"/>
        </w:rPr>
        <w:t>(</w:t>
      </w:r>
      <w:r w:rsidRPr="00556A8B">
        <w:rPr>
          <w:rFonts w:cs="Times New Roman"/>
        </w:rPr>
        <w:t>o se desajustan</w:t>
      </w:r>
      <w:r w:rsidR="004F3849" w:rsidRPr="00556A8B">
        <w:rPr>
          <w:rFonts w:cs="Times New Roman"/>
        </w:rPr>
        <w:t>)</w:t>
      </w:r>
      <w:r w:rsidRPr="00556A8B">
        <w:rPr>
          <w:rFonts w:cs="Times New Roman"/>
        </w:rPr>
        <w:t xml:space="preserve"> respecto de los discursos dominantes y los regímenes de verdad que definen lo emocionalmente saludable, adecuado o disfuncional en un momento histórico determinado.</w:t>
      </w:r>
    </w:p>
    <w:p w14:paraId="5F497BC9" w14:textId="0A9032F0" w:rsidR="00DE23BF" w:rsidRPr="00556A8B" w:rsidRDefault="00DE23BF" w:rsidP="00357B2F">
      <w:pPr>
        <w:rPr>
          <w:rFonts w:cs="Times New Roman"/>
        </w:rPr>
      </w:pPr>
    </w:p>
    <w:p w14:paraId="2F64B7F7" w14:textId="45F2581F" w:rsidR="00783F8F" w:rsidRPr="00556A8B" w:rsidRDefault="00783F8F" w:rsidP="00914F05">
      <w:pPr>
        <w:pStyle w:val="Ttulo3"/>
        <w:spacing w:line="360" w:lineRule="auto"/>
      </w:pPr>
      <w:bookmarkStart w:id="51" w:name="_Toc232580576"/>
      <w:r w:rsidRPr="00556A8B">
        <w:lastRenderedPageBreak/>
        <w:t xml:space="preserve">4.8.2. </w:t>
      </w:r>
      <w:r w:rsidR="00DE23BF" w:rsidRPr="00556A8B">
        <w:t xml:space="preserve"> Subjetivación como producción de posiciones de sujeto</w:t>
      </w:r>
      <w:bookmarkEnd w:id="51"/>
    </w:p>
    <w:p w14:paraId="30BB6D5A" w14:textId="77777777" w:rsidR="00DE23BF" w:rsidRPr="00556A8B" w:rsidRDefault="00DE23BF" w:rsidP="00357B2F">
      <w:pPr>
        <w:rPr>
          <w:rFonts w:cs="Times New Roman"/>
        </w:rPr>
      </w:pPr>
      <w:r w:rsidRPr="00556A8B">
        <w:rPr>
          <w:rFonts w:cs="Times New Roman"/>
        </w:rPr>
        <w:t>A través de la dinámica de la subjetivación se habilitan formas de subjetividad que no constituyen expresiones espontáneas de una identidad originaria, sino posiciones de sujeto producidas por agenciamientos colectivos que delimitan qué es posible ser, decir y hacer en un contexto histórico determinado. En esta línea, Laclau y Mouffe (1985) señalan que la subjetividad no remite a una esencia previa del yo, sino al efecto contingente de entramados discursivos que organizan posiciones diferenciales, jerarquizadas y en disputa, desde las cuales los sujetos se reconocen y actúan.</w:t>
      </w:r>
    </w:p>
    <w:p w14:paraId="215EEE7D" w14:textId="0384893A" w:rsidR="00DE23BF" w:rsidRPr="00556A8B" w:rsidRDefault="00DE23BF" w:rsidP="00357B2F">
      <w:pPr>
        <w:rPr>
          <w:rFonts w:cs="Times New Roman"/>
        </w:rPr>
      </w:pPr>
      <w:r w:rsidRPr="00556A8B">
        <w:rPr>
          <w:rFonts w:cs="Times New Roman"/>
        </w:rPr>
        <w:t xml:space="preserve">En este marco, los saberes psicológicos operan como tecnologías específicas de subjetivación (Rose, 2019), en tanto producen lenguajes, categorías y dispositivos que ofrecen al </w:t>
      </w:r>
      <w:r w:rsidR="007B2E62">
        <w:rPr>
          <w:rFonts w:cs="Times New Roman"/>
        </w:rPr>
        <w:t>sujeto</w:t>
      </w:r>
      <w:r w:rsidR="007B2E62" w:rsidRPr="00556A8B">
        <w:rPr>
          <w:rFonts w:cs="Times New Roman"/>
        </w:rPr>
        <w:t xml:space="preserve"> </w:t>
      </w:r>
      <w:r w:rsidRPr="00556A8B">
        <w:rPr>
          <w:rFonts w:cs="Times New Roman"/>
        </w:rPr>
        <w:t xml:space="preserve">posiciones desde las cuales comprenderse, narrarse y evaluarse. Este proceso no se limita a una adscripción externa a estructuras sociales, sino que implica un aprendizaje normativo del modo legítimo de ser sujeto, mediante el cual el </w:t>
      </w:r>
      <w:r w:rsidR="007B2E62">
        <w:rPr>
          <w:rFonts w:cs="Times New Roman"/>
        </w:rPr>
        <w:t>sujeto</w:t>
      </w:r>
      <w:r w:rsidR="007B2E62" w:rsidRPr="00556A8B">
        <w:rPr>
          <w:rFonts w:cs="Times New Roman"/>
        </w:rPr>
        <w:t xml:space="preserve"> </w:t>
      </w:r>
      <w:r w:rsidRPr="00556A8B">
        <w:rPr>
          <w:rFonts w:cs="Times New Roman"/>
        </w:rPr>
        <w:t>interioriza reglas, expectativas y criterios de valoración que orientan su conducta y su relación consigo mismo.</w:t>
      </w:r>
    </w:p>
    <w:p w14:paraId="51EFEE40" w14:textId="0E9139E2" w:rsidR="00DE23BF" w:rsidRPr="00556A8B" w:rsidRDefault="00DE23BF" w:rsidP="00357B2F">
      <w:pPr>
        <w:rPr>
          <w:rFonts w:cs="Times New Roman"/>
        </w:rPr>
      </w:pPr>
      <w:r w:rsidRPr="00556A8B">
        <w:rPr>
          <w:rFonts w:cs="Times New Roman"/>
        </w:rPr>
        <w:t xml:space="preserve">Tal como plantea Jaramillo (2018), la subjetivación debe entenderse como un proceso situado que distribuye posiciones de sujeto posibles e imposibles, deseables e indeseables, a través de prácticas discursivas concretas que producen efectos de normalización y exclusión. La constitución del sujeto no es, por tanto, un proceso armónico ni cerrado, sino una experiencia atravesada por tensiones y ambivalencias, en la que el </w:t>
      </w:r>
      <w:r w:rsidR="007B2E62">
        <w:rPr>
          <w:rFonts w:cs="Times New Roman"/>
        </w:rPr>
        <w:t xml:space="preserve">sujeto </w:t>
      </w:r>
      <w:r w:rsidRPr="00556A8B">
        <w:rPr>
          <w:rFonts w:cs="Times New Roman"/>
        </w:rPr>
        <w:t>se ve compelido a habitar posiciones que, aun siendo socialmente reconocidas, pueden resultar problemáticas o insuficientes para dar cuenta de su experiencia vivida.</w:t>
      </w:r>
    </w:p>
    <w:p w14:paraId="001DC06C" w14:textId="77777777" w:rsidR="000E5B14" w:rsidRPr="00556A8B" w:rsidRDefault="000E5B14" w:rsidP="00357B2F">
      <w:pPr>
        <w:rPr>
          <w:rFonts w:cs="Times New Roman"/>
        </w:rPr>
      </w:pPr>
    </w:p>
    <w:p w14:paraId="47841C50" w14:textId="30BD3CEE" w:rsidR="00DE23BF" w:rsidRPr="00556A8B" w:rsidRDefault="00783F8F" w:rsidP="00914F05">
      <w:pPr>
        <w:pStyle w:val="Ttulo3"/>
        <w:spacing w:line="360" w:lineRule="auto"/>
        <w:rPr>
          <w:lang w:val="es-MX"/>
        </w:rPr>
      </w:pPr>
      <w:bookmarkStart w:id="52" w:name="_Toc232580577"/>
      <w:r w:rsidRPr="00556A8B">
        <w:rPr>
          <w:lang w:val="es-MX"/>
        </w:rPr>
        <w:t xml:space="preserve">4.8.3. </w:t>
      </w:r>
      <w:r w:rsidR="00DE23BF" w:rsidRPr="00556A8B">
        <w:rPr>
          <w:lang w:val="es-MX"/>
        </w:rPr>
        <w:t>Mecanismos de subjetivación</w:t>
      </w:r>
      <w:bookmarkEnd w:id="52"/>
    </w:p>
    <w:p w14:paraId="3503593D" w14:textId="52BF323F" w:rsidR="00DE23BF" w:rsidRPr="00556A8B" w:rsidRDefault="00DE23BF" w:rsidP="00357B2F">
      <w:pPr>
        <w:rPr>
          <w:rFonts w:cs="Times New Roman"/>
          <w:bCs/>
          <w:lang w:val="es-MX"/>
        </w:rPr>
      </w:pPr>
      <w:r w:rsidRPr="00556A8B">
        <w:rPr>
          <w:rFonts w:cs="Times New Roman"/>
          <w:bCs/>
          <w:lang w:val="es-MX"/>
        </w:rPr>
        <w:t>Una vez establecido que la subjetivación designa el proceso histórico mediante el cual los individuos se constituyen como sujetos en el interior de regímenes discursivos específicos, resulta necesario precisar los mecanismos a través de los cuales este proceso se materializa. La subjetivación no opera como abstracción teórica ni como simple interiorización pasiva de normas, sino como un conjunto articulado de dispositivos que organizan la relación del sujeto consigo mismo, con los otros y con los marcos de poder-saber que lo atraviesan.</w:t>
      </w:r>
    </w:p>
    <w:p w14:paraId="5C835279" w14:textId="77777777" w:rsidR="00DE23BF" w:rsidRPr="00556A8B" w:rsidRDefault="00DE23BF" w:rsidP="00357B2F">
      <w:pPr>
        <w:rPr>
          <w:rFonts w:cs="Times New Roman"/>
          <w:bCs/>
          <w:lang w:val="es-MX"/>
        </w:rPr>
      </w:pPr>
      <w:r w:rsidRPr="00556A8B">
        <w:rPr>
          <w:rFonts w:cs="Times New Roman"/>
          <w:bCs/>
          <w:lang w:val="es-MX"/>
        </w:rPr>
        <w:lastRenderedPageBreak/>
        <w:t>Estos mecanismos no actúan de forma aislada, sino de manera entrelazada, produciendo configuraciones subjetivas que se experimentan como naturales, espontáneas o auténticas, cuando en realidad constituyen efectos de operaciones históricas y políticas situadas. Analizar estos mecanismos permite comprender cómo el sujeto deviene simultáneamente efecto y soporte de las racionalidades que lo constituyen.</w:t>
      </w:r>
    </w:p>
    <w:p w14:paraId="484578A5" w14:textId="77777777" w:rsidR="00322F62" w:rsidRPr="00556A8B" w:rsidRDefault="00322F62" w:rsidP="00357B2F">
      <w:pPr>
        <w:ind w:firstLine="0"/>
        <w:rPr>
          <w:rFonts w:cs="Times New Roman"/>
          <w:bCs/>
          <w:lang w:val="es-MX"/>
        </w:rPr>
      </w:pPr>
    </w:p>
    <w:p w14:paraId="0F7FA92F" w14:textId="7E727531" w:rsidR="00DE23BF" w:rsidRPr="00556A8B" w:rsidRDefault="00DE23BF" w:rsidP="00357B2F">
      <w:pPr>
        <w:rPr>
          <w:rFonts w:cs="Times New Roman"/>
          <w:bCs/>
          <w:i/>
          <w:iCs/>
          <w:lang w:val="es-MX"/>
        </w:rPr>
      </w:pPr>
      <w:r w:rsidRPr="00556A8B">
        <w:rPr>
          <w:rFonts w:cs="Times New Roman"/>
          <w:bCs/>
          <w:i/>
          <w:iCs/>
          <w:lang w:val="es-MX"/>
        </w:rPr>
        <w:t>Interiorización de normas y producción de la interioridad</w:t>
      </w:r>
    </w:p>
    <w:p w14:paraId="6317F7A8" w14:textId="0806DB2E" w:rsidR="00DE23BF" w:rsidRPr="00556A8B" w:rsidRDefault="00DE23BF" w:rsidP="00357B2F">
      <w:pPr>
        <w:rPr>
          <w:rFonts w:cs="Times New Roman"/>
          <w:bCs/>
          <w:lang w:val="es-MX"/>
        </w:rPr>
      </w:pPr>
      <w:r w:rsidRPr="00556A8B">
        <w:rPr>
          <w:rFonts w:cs="Times New Roman"/>
          <w:bCs/>
          <w:lang w:val="es-MX"/>
        </w:rPr>
        <w:t>El primer mecanismo fundamental de la subjetivación es la interiorización normativa, entendida como el proceso mediante el cual regulaciones sociales e institucionales se transforman en principios de autodisciplina. En el análisis foucaultiano del poder disciplinario (1975), este proceso no consiste simplemente en la imposición externa de reglas, sino en la producción de una interioridad regulada. El poder disciplinario no se limita a prohibir o castigar; produce sujetos capaces de observarse, evaluarse y corregirse a sí mismos conforme a criterios que han llegado a asumir como propios.</w:t>
      </w:r>
    </w:p>
    <w:p w14:paraId="69E541F1" w14:textId="74665556" w:rsidR="00DE23BF" w:rsidRPr="00556A8B" w:rsidRDefault="00DE23BF" w:rsidP="00357B2F">
      <w:pPr>
        <w:rPr>
          <w:rFonts w:cs="Times New Roman"/>
          <w:bCs/>
          <w:lang w:val="es-MX"/>
        </w:rPr>
      </w:pPr>
      <w:r w:rsidRPr="00556A8B">
        <w:rPr>
          <w:rFonts w:cs="Times New Roman"/>
          <w:bCs/>
          <w:lang w:val="es-MX"/>
        </w:rPr>
        <w:t xml:space="preserve">De este modo, el control deja de ejercerse exclusivamente desde una instancia visible y externa para operar desde el interior del </w:t>
      </w:r>
      <w:r w:rsidR="007B2E62">
        <w:rPr>
          <w:rFonts w:cs="Times New Roman"/>
          <w:bCs/>
          <w:lang w:val="es-MX"/>
        </w:rPr>
        <w:t>sujeto</w:t>
      </w:r>
      <w:r w:rsidRPr="00556A8B">
        <w:rPr>
          <w:rFonts w:cs="Times New Roman"/>
          <w:bCs/>
          <w:lang w:val="es-MX"/>
        </w:rPr>
        <w:t>. La vigilancia se convierte en autovigilancia; la norma, en criterio íntimo de autoevaluación. El cuerpo, los gestos, las emociones y los pensamientos se convierten en superficies de inscripción de una normatividad que se experimenta como autoimpuesta.</w:t>
      </w:r>
    </w:p>
    <w:p w14:paraId="7416A4D6" w14:textId="78A02A76" w:rsidR="00082BF9" w:rsidRPr="00082BF9" w:rsidRDefault="00082BF9" w:rsidP="00082BF9">
      <w:pPr>
        <w:rPr>
          <w:rFonts w:cs="Times New Roman"/>
          <w:bCs/>
        </w:rPr>
      </w:pPr>
      <w:r w:rsidRPr="00082BF9">
        <w:rPr>
          <w:rFonts w:cs="Times New Roman"/>
          <w:bCs/>
        </w:rPr>
        <w:t xml:space="preserve">Sin embargo, esta interiorización no debe entenderse como un acto definitivo, sino como un proceso reiterativo. Butler (1997) advierte que la subjetivación opera mediante la repetición performativa de normas sociales que producen la ilusión de una interioridad estable. La identidad no expresa una esencia previa; se sedimenta a través de la reiteración de prácticas que naturalizan determinados modos de ser. Lo que el sujeto experimenta como </w:t>
      </w:r>
      <w:r w:rsidRPr="00E16CA7">
        <w:rPr>
          <w:rFonts w:cs="Times New Roman"/>
          <w:bCs/>
          <w:i/>
          <w:iCs/>
        </w:rPr>
        <w:t>yo interior</w:t>
      </w:r>
      <w:r w:rsidRPr="00082BF9">
        <w:rPr>
          <w:rFonts w:cs="Times New Roman"/>
          <w:bCs/>
        </w:rPr>
        <w:t xml:space="preserve"> no remite a un núcleo auténtico prediscursivo, sino al efecto consolidado de procesos históricos de regulación.</w:t>
      </w:r>
    </w:p>
    <w:p w14:paraId="23BEA875" w14:textId="77777777" w:rsidR="00082BF9" w:rsidRPr="00082BF9" w:rsidRDefault="00082BF9" w:rsidP="00082BF9">
      <w:pPr>
        <w:rPr>
          <w:rFonts w:cs="Times New Roman"/>
          <w:bCs/>
        </w:rPr>
      </w:pPr>
      <w:r w:rsidRPr="00082BF9">
        <w:rPr>
          <w:rFonts w:cs="Times New Roman"/>
          <w:bCs/>
        </w:rPr>
        <w:t xml:space="preserve">En este sentido, la interioridad no es el origen de la subjetividad, sino su resultado. Lejos de constituir un núcleo prediscursivo o una esencia psíquica previa a toda intervención, la interioridad es producida históricamente mediante prácticas que enseñan al sujeto a reconocerse como poseedor de una vida interior que debe ser examinada, narrada y gestionada. Como señala Rose (2019), la psicología moderna no descubrió la interioridad; la inventó, dotándola de una realidad que parece anteceder a las mismas prácticas que la constituyen. En este marco, el sujeto </w:t>
      </w:r>
      <w:r w:rsidRPr="00082BF9">
        <w:rPr>
          <w:rFonts w:cs="Times New Roman"/>
          <w:bCs/>
        </w:rPr>
        <w:lastRenderedPageBreak/>
        <w:t>aparece como punto de convergencia de múltiples prácticas de normalización que, al reiterarse, configuran lo que Foucault denomina una "ontología histórica de nosotros mismos" (Jaramillo, 2018). La interioridad es, en consecuencia, un efecto político-histórico que se presenta como dato natural.</w:t>
      </w:r>
    </w:p>
    <w:p w14:paraId="1BD4C8AF" w14:textId="77777777" w:rsidR="00322F62" w:rsidRPr="00556A8B" w:rsidRDefault="00322F62" w:rsidP="00357B2F">
      <w:pPr>
        <w:rPr>
          <w:rFonts w:cs="Times New Roman"/>
          <w:bCs/>
          <w:lang w:val="es-MX"/>
        </w:rPr>
      </w:pPr>
    </w:p>
    <w:p w14:paraId="3F8C078F" w14:textId="68134537" w:rsidR="00DE23BF" w:rsidRPr="00556A8B" w:rsidRDefault="00DE23BF" w:rsidP="00357B2F">
      <w:pPr>
        <w:ind w:firstLine="708"/>
        <w:rPr>
          <w:rFonts w:cs="Times New Roman"/>
          <w:bCs/>
          <w:i/>
          <w:iCs/>
          <w:lang w:val="es-MX"/>
        </w:rPr>
      </w:pPr>
      <w:r w:rsidRPr="00556A8B">
        <w:rPr>
          <w:rFonts w:cs="Times New Roman"/>
          <w:bCs/>
          <w:i/>
          <w:iCs/>
          <w:lang w:val="es-MX"/>
        </w:rPr>
        <w:t>Producción de posiciones de sujeto</w:t>
      </w:r>
    </w:p>
    <w:p w14:paraId="08EFA778" w14:textId="46532B38" w:rsidR="00DE23BF" w:rsidRPr="00556A8B" w:rsidRDefault="00DE23BF" w:rsidP="00357B2F">
      <w:pPr>
        <w:rPr>
          <w:rFonts w:cs="Times New Roman"/>
          <w:bCs/>
          <w:lang w:val="es-MX"/>
        </w:rPr>
      </w:pPr>
      <w:r w:rsidRPr="00556A8B">
        <w:rPr>
          <w:rFonts w:cs="Times New Roman"/>
          <w:bCs/>
          <w:lang w:val="es-MX"/>
        </w:rPr>
        <w:t>Un segundo mecanismo central consiste en la producción de posiciones de sujeto al interior de formaciones discursivas específicas. Las prácticas discursivas no solo delimitan objetos y modos legítimos de enunciación; también distribuyen lugares desde los cuales es posible hablar, actuar y ser reconocido. El discurso no es simplemente un sistema de significados, sino un dispositivo que organiza posiciones estructurales dotadas de autoridad diferencial y de relaciones específicas con el saber y el poder (Foucault, 1969).</w:t>
      </w:r>
    </w:p>
    <w:p w14:paraId="4209BD68" w14:textId="1DEFB4E9" w:rsidR="00353034" w:rsidRPr="00556A8B" w:rsidRDefault="003F4E4F" w:rsidP="00D41D3C">
      <w:pPr>
        <w:rPr>
          <w:rFonts w:cs="Times New Roman"/>
          <w:bCs/>
        </w:rPr>
      </w:pPr>
      <w:r w:rsidRPr="00556A8B">
        <w:rPr>
          <w:rFonts w:cs="Times New Roman"/>
          <w:bCs/>
        </w:rPr>
        <w:t xml:space="preserve">Estas posiciones no equivalen a roles asumidos voluntariamente, sino que preexisten al </w:t>
      </w:r>
      <w:r w:rsidR="007B2E62">
        <w:rPr>
          <w:rFonts w:cs="Times New Roman"/>
          <w:bCs/>
        </w:rPr>
        <w:t>sujeto</w:t>
      </w:r>
      <w:r w:rsidR="007B2E62" w:rsidRPr="00556A8B">
        <w:rPr>
          <w:rFonts w:cs="Times New Roman"/>
          <w:bCs/>
        </w:rPr>
        <w:t xml:space="preserve"> </w:t>
      </w:r>
      <w:r w:rsidRPr="00556A8B">
        <w:rPr>
          <w:rFonts w:cs="Times New Roman"/>
          <w:bCs/>
        </w:rPr>
        <w:t>y lo constituyen en el momento mismo en que este se inscribe en el campo discursivo. En este sentido, el sujeto no elige libremente su ubicación, sino que es producido en relaciones de poder-saber que delimitan sus posibilidades de acción y autocomprensión (Foucault, 2002). No obstante, esta constitución implica también un proceso de reconocimiento en el que el individuo se vuelve sujeto al responder a un llamado normativo que lo produce y lo subordina simultáneamente, en la medida en que el sujeto se constituye en la subordinación, y esta subordinación es condición de su existencia y de su posibilidad de agencia (Butler, 1997</w:t>
      </w:r>
      <w:r w:rsidR="00353034" w:rsidRPr="00556A8B">
        <w:rPr>
          <w:rFonts w:cs="Times New Roman"/>
          <w:bCs/>
        </w:rPr>
        <w:t>).</w:t>
      </w:r>
    </w:p>
    <w:p w14:paraId="60222300" w14:textId="0FFC09C4" w:rsidR="00DE23BF" w:rsidRPr="00556A8B" w:rsidRDefault="00DE23BF" w:rsidP="00357B2F">
      <w:pPr>
        <w:rPr>
          <w:rFonts w:cs="Times New Roman"/>
          <w:bCs/>
          <w:lang w:val="es-MX"/>
        </w:rPr>
      </w:pPr>
      <w:r w:rsidRPr="00556A8B">
        <w:rPr>
          <w:rFonts w:cs="Times New Roman"/>
          <w:bCs/>
          <w:lang w:val="es-MX"/>
        </w:rPr>
        <w:t xml:space="preserve">En el campo psicodisciplinar, esta dinámica resulta particularmente visible. Las categorías diagnósticas, los repertorios emocionales y las tipologías de personalidad no se limitan a describir realidades preexistentes; funcionan como matrices de subjetivación que organizan modos legítimos de sentir, narrar y gestionar el malestar (Bedoya, 2021). Tales categorías ofrecen posiciones desde las cuales el </w:t>
      </w:r>
      <w:r w:rsidR="007B2E62">
        <w:rPr>
          <w:rFonts w:cs="Times New Roman"/>
          <w:bCs/>
          <w:lang w:val="es-MX"/>
        </w:rPr>
        <w:t>sujeto</w:t>
      </w:r>
      <w:r w:rsidR="007B2E62" w:rsidRPr="00556A8B">
        <w:rPr>
          <w:rFonts w:cs="Times New Roman"/>
          <w:bCs/>
          <w:lang w:val="es-MX"/>
        </w:rPr>
        <w:t xml:space="preserve"> </w:t>
      </w:r>
      <w:r w:rsidRPr="00556A8B">
        <w:rPr>
          <w:rFonts w:cs="Times New Roman"/>
          <w:bCs/>
          <w:lang w:val="es-MX"/>
        </w:rPr>
        <w:t>puede comprenderse</w:t>
      </w:r>
      <w:r w:rsidR="00783F8F" w:rsidRPr="00556A8B">
        <w:rPr>
          <w:rFonts w:cs="Times New Roman"/>
          <w:bCs/>
          <w:lang w:val="es-MX"/>
        </w:rPr>
        <w:t xml:space="preserve">, </w:t>
      </w:r>
      <w:r w:rsidRPr="00556A8B">
        <w:rPr>
          <w:rFonts w:cs="Times New Roman"/>
          <w:bCs/>
          <w:lang w:val="es-MX"/>
        </w:rPr>
        <w:t>como resiliente, vulnerable, disfuncional, saludable, pero al mismo tiempo delimitan el horizonte de inteligibilidad de su experiencia.</w:t>
      </w:r>
    </w:p>
    <w:p w14:paraId="18A5A778" w14:textId="77777777" w:rsidR="00DE23BF" w:rsidRPr="00556A8B" w:rsidRDefault="00DE23BF" w:rsidP="00357B2F">
      <w:pPr>
        <w:rPr>
          <w:rFonts w:cs="Times New Roman"/>
          <w:bCs/>
          <w:lang w:val="es-MX"/>
        </w:rPr>
      </w:pPr>
      <w:r w:rsidRPr="00556A8B">
        <w:rPr>
          <w:rFonts w:cs="Times New Roman"/>
          <w:bCs/>
          <w:lang w:val="es-MX"/>
        </w:rPr>
        <w:t xml:space="preserve">Así, la subjetivación no consiste únicamente en adoptar un discurso, sino en habitar una posición normativamente estructurada que distribuye expectativas sobre conducta, emocionalidad y autogestión. Estas posiciones, aunque presentadas como descripciones neutrales, operan como </w:t>
      </w:r>
      <w:r w:rsidRPr="00556A8B">
        <w:rPr>
          <w:rFonts w:cs="Times New Roman"/>
          <w:bCs/>
          <w:lang w:val="es-MX"/>
        </w:rPr>
        <w:lastRenderedPageBreak/>
        <w:t>dispositivos de regulación que orientan la experiencia subjetiva hacia modelos específicos de normalidad (Rose, 2019).</w:t>
      </w:r>
    </w:p>
    <w:p w14:paraId="261672B9" w14:textId="77777777" w:rsidR="00DE23BF" w:rsidRPr="00556A8B" w:rsidRDefault="00DE23BF" w:rsidP="00357B2F">
      <w:pPr>
        <w:rPr>
          <w:rFonts w:cs="Times New Roman"/>
          <w:bCs/>
          <w:lang w:val="es-MX"/>
        </w:rPr>
      </w:pPr>
    </w:p>
    <w:p w14:paraId="03CCA50A" w14:textId="45CD9CEE" w:rsidR="00DE23BF" w:rsidRPr="00556A8B" w:rsidRDefault="00DE23BF" w:rsidP="00357B2F">
      <w:pPr>
        <w:rPr>
          <w:rFonts w:cs="Times New Roman"/>
          <w:bCs/>
          <w:i/>
          <w:iCs/>
          <w:lang w:val="es-MX"/>
        </w:rPr>
      </w:pPr>
      <w:r w:rsidRPr="00556A8B">
        <w:rPr>
          <w:rFonts w:cs="Times New Roman"/>
          <w:bCs/>
          <w:i/>
          <w:iCs/>
          <w:lang w:val="es-MX"/>
        </w:rPr>
        <w:t>Autogobierno y autorregulación</w:t>
      </w:r>
    </w:p>
    <w:p w14:paraId="36C5DDCB" w14:textId="22C9FDF0" w:rsidR="00DE23BF" w:rsidRPr="00556A8B" w:rsidRDefault="00DE23BF" w:rsidP="00D41D3C">
      <w:pPr>
        <w:rPr>
          <w:rFonts w:cs="Times New Roman"/>
          <w:bCs/>
          <w:lang w:val="es-MX"/>
        </w:rPr>
      </w:pPr>
      <w:r w:rsidRPr="00556A8B">
        <w:rPr>
          <w:rFonts w:cs="Times New Roman"/>
          <w:bCs/>
          <w:lang w:val="es-MX"/>
        </w:rPr>
        <w:t>El tercer mecanismo, particularmente relevante en las racionalidades contemporáneas, es la producción de capacidades de autogobierno. En el marco de la gubernamentalidad analizada por Foucault (1978), el poder no se ejerce prioritariamente mediante imposición directa, sino estructurando el campo de acción posi</w:t>
      </w:r>
      <w:r w:rsidR="000A3285" w:rsidRPr="00556A8B">
        <w:rPr>
          <w:rFonts w:cs="Times New Roman"/>
          <w:bCs/>
          <w:lang w:val="es-MX"/>
        </w:rPr>
        <w:t>apa</w:t>
      </w:r>
      <w:r w:rsidRPr="00556A8B">
        <w:rPr>
          <w:rFonts w:cs="Times New Roman"/>
          <w:bCs/>
          <w:lang w:val="es-MX"/>
        </w:rPr>
        <w:t>ble de los sujetos, orientándolos a conducirse a sí mismos conforme a determinadas racionalidades.</w:t>
      </w:r>
    </w:p>
    <w:p w14:paraId="5FDA8BE3" w14:textId="207A207C" w:rsidR="00DE23BF" w:rsidRPr="00556A8B" w:rsidRDefault="00DE23BF" w:rsidP="000A3285">
      <w:pPr>
        <w:rPr>
          <w:rFonts w:cs="Times New Roman"/>
          <w:bCs/>
          <w:lang w:val="es-MX"/>
        </w:rPr>
      </w:pPr>
      <w:r w:rsidRPr="00556A8B">
        <w:rPr>
          <w:rFonts w:cs="Times New Roman"/>
          <w:bCs/>
          <w:lang w:val="es-MX"/>
        </w:rPr>
        <w:t>En esta lógica, la subjetivación produce individuos que se comprenden como autónomos, responsables y libres, pero cuyas elecciones se encuentran previamente configuradas por marcos normativos que definen qué opciones son racionales, deseables o legítimas. El gobierno opera “a través” de la libertad, no en su contra.</w:t>
      </w:r>
    </w:p>
    <w:p w14:paraId="0BBDED3C" w14:textId="530F63BE" w:rsidR="00DE23BF" w:rsidRPr="00556A8B" w:rsidRDefault="00DE23BF" w:rsidP="00357B2F">
      <w:pPr>
        <w:rPr>
          <w:rFonts w:cs="Times New Roman"/>
          <w:bCs/>
          <w:lang w:val="es-MX"/>
        </w:rPr>
      </w:pPr>
      <w:r w:rsidRPr="00556A8B">
        <w:rPr>
          <w:rFonts w:cs="Times New Roman"/>
          <w:bCs/>
          <w:lang w:val="es-MX"/>
        </w:rPr>
        <w:t xml:space="preserve">Rose (1999) muestra cómo los saberes psicológicos contemporáneos funcionan como tecnologías de autogobierno que entrenan a los individuos en prácticas de autorreflexión, automonitoreo y optimización constante. </w:t>
      </w:r>
      <w:r w:rsidR="00E6303F" w:rsidRPr="00E6303F">
        <w:rPr>
          <w:rFonts w:cs="Times New Roman"/>
          <w:bCs/>
        </w:rPr>
        <w:t>El sujeto tiende a configurarse como entidad gestionable</w:t>
      </w:r>
      <w:r w:rsidRPr="00556A8B">
        <w:rPr>
          <w:rFonts w:cs="Times New Roman"/>
          <w:bCs/>
          <w:lang w:val="es-MX"/>
        </w:rPr>
        <w:t>: evalúa su desempeño emocional, mide su bienestar, corrige sus déficits y proyecta mejoras continuas. Esta reflexividad no es una propiedad natural del psiquismo, sino una competencia históricamente producida mediante dispositivos educativos, terapéuticos y mediáticos.</w:t>
      </w:r>
    </w:p>
    <w:p w14:paraId="6CFAB53D" w14:textId="650D3FCD" w:rsidR="00DE23BF" w:rsidRPr="00556A8B" w:rsidRDefault="00DE23BF" w:rsidP="00357B2F">
      <w:pPr>
        <w:rPr>
          <w:rFonts w:cs="Times New Roman"/>
          <w:bCs/>
          <w:lang w:val="es-MX"/>
        </w:rPr>
      </w:pPr>
      <w:r w:rsidRPr="00556A8B">
        <w:rPr>
          <w:rFonts w:cs="Times New Roman"/>
          <w:bCs/>
          <w:lang w:val="es-MX"/>
        </w:rPr>
        <w:t>En este punto se articula de manera decisiva la relación entre subjetivación y neoliberalismo. El individuo es interpelado como responsable de su propia trayectoria vital, incluido su equilibrio psicológico. La autorregulación se convierte en imperativo moral: gestionar emociones, optimizar habilidades, maximizar bienestar. La libertad aparece como exigencia de autoadministración permanente.</w:t>
      </w:r>
    </w:p>
    <w:p w14:paraId="6907CF55" w14:textId="77777777" w:rsidR="00DE23BF" w:rsidRPr="00556A8B" w:rsidRDefault="00DE23BF" w:rsidP="00357B2F">
      <w:pPr>
        <w:rPr>
          <w:rFonts w:cs="Times New Roman"/>
          <w:bCs/>
          <w:lang w:val="es-MX"/>
        </w:rPr>
      </w:pPr>
      <w:r w:rsidRPr="00556A8B">
        <w:rPr>
          <w:rFonts w:cs="Times New Roman"/>
          <w:bCs/>
          <w:lang w:val="es-MX"/>
        </w:rPr>
        <w:t>Así, el autogobierno no constituye la superación del disciplinamiento, sino su reconfiguración en una forma más difusa e internalizada de conducción de la conducta. El sujeto no deja de ser gobernado; aprende a gobernarse según criterios históricamente situados de normalidad, funcionalidad y rendimiento.</w:t>
      </w:r>
    </w:p>
    <w:p w14:paraId="21F8CA52" w14:textId="77777777" w:rsidR="000A3285" w:rsidRPr="00556A8B" w:rsidRDefault="000A3285" w:rsidP="00357B2F">
      <w:pPr>
        <w:rPr>
          <w:rFonts w:cs="Times New Roman"/>
          <w:bCs/>
          <w:lang w:val="es-MX"/>
        </w:rPr>
      </w:pPr>
    </w:p>
    <w:p w14:paraId="1DBB0878" w14:textId="77777777" w:rsidR="004F3849" w:rsidRPr="00556A8B" w:rsidRDefault="004F3849" w:rsidP="00357B2F">
      <w:pPr>
        <w:rPr>
          <w:rFonts w:cs="Times New Roman"/>
          <w:bCs/>
          <w:lang w:val="es-MX"/>
        </w:rPr>
      </w:pPr>
    </w:p>
    <w:p w14:paraId="1ACEACB2" w14:textId="1B12B1A0" w:rsidR="00DE23BF" w:rsidRPr="00556A8B" w:rsidRDefault="00DE23BF" w:rsidP="00357B2F">
      <w:pPr>
        <w:rPr>
          <w:rFonts w:cs="Times New Roman"/>
          <w:bCs/>
          <w:i/>
          <w:iCs/>
          <w:lang w:val="es-MX"/>
        </w:rPr>
      </w:pPr>
      <w:r w:rsidRPr="00556A8B">
        <w:rPr>
          <w:rFonts w:cs="Times New Roman"/>
          <w:bCs/>
          <w:i/>
          <w:iCs/>
          <w:lang w:val="es-MX"/>
        </w:rPr>
        <w:lastRenderedPageBreak/>
        <w:t>Subjetivación como proceso histórico-discursivo</w:t>
      </w:r>
    </w:p>
    <w:p w14:paraId="498478D9" w14:textId="373517E6" w:rsidR="00DE23BF" w:rsidRPr="00556A8B" w:rsidRDefault="00DE23BF" w:rsidP="00357B2F">
      <w:pPr>
        <w:rPr>
          <w:rFonts w:cs="Times New Roman"/>
          <w:bCs/>
          <w:lang w:val="es-MX"/>
        </w:rPr>
      </w:pPr>
      <w:r w:rsidRPr="00556A8B">
        <w:rPr>
          <w:rFonts w:cs="Times New Roman"/>
          <w:bCs/>
          <w:lang w:val="es-MX"/>
        </w:rPr>
        <w:t>En conjunto, estos mecanismos permiten comprender la subjetivación como un proceso histórico-discursivo que produce individuos clasificables, evaluables y gobernables. No se trata únicamente de modelar conductas, sino de organizar la experiencia misma de lo real. Como plantea Arruda (2010), la subjetivación dota al sujeto de marcos cognitivos y afectivos que estructuran su percepción, su lenguaje y su capacidad de acción dentro de un entramado disciplinar específico.</w:t>
      </w:r>
    </w:p>
    <w:p w14:paraId="453E2A00" w14:textId="2B409C2B" w:rsidR="00DE23BF" w:rsidRPr="00556A8B" w:rsidRDefault="005C5863" w:rsidP="00357B2F">
      <w:pPr>
        <w:rPr>
          <w:rFonts w:cs="Times New Roman"/>
          <w:bCs/>
          <w:lang w:val="es-MX"/>
        </w:rPr>
      </w:pPr>
      <w:r w:rsidRPr="00556A8B">
        <w:rPr>
          <w:rFonts w:cs="Times New Roman"/>
          <w:bCs/>
          <w:lang w:val="es-MX"/>
        </w:rPr>
        <w:t>La</w:t>
      </w:r>
      <w:r w:rsidR="00DE23BF" w:rsidRPr="00556A8B">
        <w:rPr>
          <w:rFonts w:cs="Times New Roman"/>
          <w:bCs/>
          <w:lang w:val="es-MX"/>
        </w:rPr>
        <w:t xml:space="preserve"> subjetivación</w:t>
      </w:r>
      <w:r w:rsidRPr="00556A8B">
        <w:rPr>
          <w:rFonts w:cs="Times New Roman"/>
          <w:bCs/>
          <w:lang w:val="es-MX"/>
        </w:rPr>
        <w:t>, entonces,</w:t>
      </w:r>
      <w:r w:rsidR="00DE23BF" w:rsidRPr="00556A8B">
        <w:rPr>
          <w:rFonts w:cs="Times New Roman"/>
          <w:bCs/>
          <w:lang w:val="es-MX"/>
        </w:rPr>
        <w:t xml:space="preserve"> no solo reproduce categorías existentes; asegura su continuidad al formar sujetos capaces de reconocerse en ellas. Las clasificaciones diagnósticas, los ideales de bienestar o las normas de funcionamiento psíquico se sostienen porque los individuos aprenden a pensarse a sí mismos a través de tales esquemas (Bedoya, 2016). La subjetivación </w:t>
      </w:r>
      <w:r w:rsidRPr="00556A8B">
        <w:rPr>
          <w:rFonts w:cs="Times New Roman"/>
          <w:bCs/>
          <w:lang w:val="es-MX"/>
        </w:rPr>
        <w:t xml:space="preserve">opera </w:t>
      </w:r>
      <w:r w:rsidR="00DE23BF" w:rsidRPr="00556A8B">
        <w:rPr>
          <w:rFonts w:cs="Times New Roman"/>
          <w:bCs/>
          <w:lang w:val="es-MX"/>
        </w:rPr>
        <w:t>como matriz de inteligibilidad que ordena lo pensable y lo vivible.</w:t>
      </w:r>
    </w:p>
    <w:p w14:paraId="19CCF343" w14:textId="4D23A65C" w:rsidR="00DE23BF" w:rsidRPr="00556A8B" w:rsidRDefault="00DE23BF" w:rsidP="00357B2F">
      <w:pPr>
        <w:rPr>
          <w:rFonts w:cs="Times New Roman"/>
          <w:bCs/>
          <w:lang w:val="es-MX"/>
        </w:rPr>
      </w:pPr>
      <w:r w:rsidRPr="00556A8B">
        <w:rPr>
          <w:rFonts w:cs="Times New Roman"/>
          <w:bCs/>
          <w:lang w:val="es-MX"/>
        </w:rPr>
        <w:t>La autonomía moderna, en este marco, no desaparece, pero queda reconfigurada. El sujeto se percibe como autodeterminado y reflexivo, aunque su margen de acción esté estructurado por racionalidades que delimitan las formas legítimas de ejercer esa libertad (Bedoya, 2018). Como advierte Foucault (2009b), el sujeto moderno no es menos gobernado que el premoderno; simplemente es conducido mediante tecnologías que producen la experiencia de libertad mientras orientan su conducta según lógicas específicas de poder.</w:t>
      </w:r>
    </w:p>
    <w:p w14:paraId="5BAF2549" w14:textId="166AEC33" w:rsidR="001411D5" w:rsidRDefault="00DE23BF" w:rsidP="00AF34B8">
      <w:pPr>
        <w:rPr>
          <w:rFonts w:cs="Times New Roman"/>
          <w:bCs/>
          <w:lang w:val="es-MX"/>
        </w:rPr>
      </w:pPr>
      <w:r w:rsidRPr="00556A8B">
        <w:rPr>
          <w:rFonts w:cs="Times New Roman"/>
          <w:bCs/>
          <w:lang w:val="es-MX"/>
        </w:rPr>
        <w:t>Para comprender la configuración contemporánea de la subjetividad, es necesario situar históricamente sus transformaciones. Las formas mediante las cuales los individuos se relacionan consigo mismos no han sido constantes; responden a configuraciones variables de poder y saber. Foucault (2002) identifica distintos modos históricos de subjetivación que no deben entenderse como etapas evolutivas, sino como reconfiguraciones de las racionalidades que producen tipos específicos de sujeto.</w:t>
      </w:r>
      <w:r w:rsidR="005C5863" w:rsidRPr="00556A8B">
        <w:rPr>
          <w:rFonts w:cs="Times New Roman"/>
          <w:bCs/>
          <w:lang w:val="es-MX"/>
        </w:rPr>
        <w:t xml:space="preserve"> </w:t>
      </w:r>
    </w:p>
    <w:p w14:paraId="14C73B01" w14:textId="77777777" w:rsidR="00AF34B8" w:rsidRPr="00556A8B" w:rsidRDefault="00AF34B8" w:rsidP="00AF34B8">
      <w:pPr>
        <w:rPr>
          <w:rFonts w:cs="Times New Roman"/>
          <w:bCs/>
          <w:lang w:val="es-MX"/>
        </w:rPr>
      </w:pPr>
    </w:p>
    <w:p w14:paraId="0CE3BA92" w14:textId="77777777" w:rsidR="00DE23BF" w:rsidRPr="00556A8B" w:rsidRDefault="00DE23BF" w:rsidP="00357B2F">
      <w:pPr>
        <w:rPr>
          <w:i/>
          <w:iCs/>
        </w:rPr>
      </w:pPr>
      <w:r w:rsidRPr="00556A8B">
        <w:rPr>
          <w:i/>
          <w:iCs/>
        </w:rPr>
        <w:t>El modo disciplinario moderno: la normalización</w:t>
      </w:r>
    </w:p>
    <w:p w14:paraId="177932E1" w14:textId="0BB672E4" w:rsidR="00DE23BF" w:rsidRPr="00556A8B" w:rsidRDefault="00DE23BF" w:rsidP="00357B2F">
      <w:pPr>
        <w:rPr>
          <w:rFonts w:cs="Times New Roman"/>
          <w:bCs/>
        </w:rPr>
      </w:pPr>
      <w:r w:rsidRPr="00556A8B">
        <w:rPr>
          <w:rFonts w:cs="Times New Roman"/>
          <w:bCs/>
        </w:rPr>
        <w:t xml:space="preserve">El tercer modo histórico de subjetivación, característico de la modernidad, se configura en el marco del poder disciplinario, cuya lógica central es la normalización. A diferencia de formas anteriores de sujeción centradas en la ley o la moral, el disciplinamiento opera a través de técnicas minuciosas que organizan el tiempo, el espacio, los cuerpos y las conductas en instituciones cerradas como la escuela, el hospital, el cuartel, la fábrica y la prisión. Foucault </w:t>
      </w:r>
      <w:r w:rsidRPr="00556A8B">
        <w:rPr>
          <w:rFonts w:cs="Times New Roman"/>
          <w:bCs/>
        </w:rPr>
        <w:lastRenderedPageBreak/>
        <w:t xml:space="preserve">(1975) muestra cómo estas tecnologías no solo imponen reglas, sino que producen </w:t>
      </w:r>
      <w:r w:rsidR="00F42B17">
        <w:rPr>
          <w:rFonts w:cs="Times New Roman"/>
          <w:bCs/>
        </w:rPr>
        <w:t>sujet</w:t>
      </w:r>
      <w:r w:rsidR="007B2E62" w:rsidRPr="00556A8B">
        <w:rPr>
          <w:rFonts w:cs="Times New Roman"/>
          <w:bCs/>
        </w:rPr>
        <w:t xml:space="preserve">os </w:t>
      </w:r>
      <w:r w:rsidRPr="00556A8B">
        <w:rPr>
          <w:rFonts w:cs="Times New Roman"/>
          <w:bCs/>
        </w:rPr>
        <w:t>dóciles y útiles mediante dispositivos sistemáticos de vigilancia, examen, registro y corrección.</w:t>
      </w:r>
    </w:p>
    <w:p w14:paraId="1FA1B24A" w14:textId="64095829" w:rsidR="00DE23BF" w:rsidRPr="00556A8B" w:rsidRDefault="00DE23BF" w:rsidP="00357B2F">
      <w:pPr>
        <w:rPr>
          <w:rFonts w:cs="Times New Roman"/>
          <w:bCs/>
        </w:rPr>
      </w:pPr>
      <w:r w:rsidRPr="00556A8B">
        <w:rPr>
          <w:rFonts w:cs="Times New Roman"/>
          <w:bCs/>
        </w:rPr>
        <w:t>La disciplina no se limita a reprimir; fabrica sujetos. Su eficacia radica en la articulación entre saber y poder: el examen disciplinario</w:t>
      </w:r>
      <w:r w:rsidR="004F3849" w:rsidRPr="00556A8B">
        <w:rPr>
          <w:rFonts w:cs="Times New Roman"/>
          <w:bCs/>
        </w:rPr>
        <w:t xml:space="preserve"> </w:t>
      </w:r>
      <w:r w:rsidRPr="00556A8B">
        <w:rPr>
          <w:rFonts w:cs="Times New Roman"/>
          <w:bCs/>
        </w:rPr>
        <w:t>escolar, médico, psicológic</w:t>
      </w:r>
      <w:r w:rsidR="004F3849" w:rsidRPr="00556A8B">
        <w:rPr>
          <w:rFonts w:cs="Times New Roman"/>
          <w:bCs/>
        </w:rPr>
        <w:t>o,</w:t>
      </w:r>
      <w:r w:rsidRPr="00556A8B">
        <w:rPr>
          <w:rFonts w:cs="Times New Roman"/>
          <w:bCs/>
        </w:rPr>
        <w:t xml:space="preserve"> produce conocimiento sobre el </w:t>
      </w:r>
      <w:r w:rsidR="00F42B17">
        <w:rPr>
          <w:rFonts w:cs="Times New Roman"/>
          <w:bCs/>
        </w:rPr>
        <w:t>sujeto</w:t>
      </w:r>
      <w:r w:rsidR="00F42B17" w:rsidRPr="00556A8B">
        <w:rPr>
          <w:rFonts w:cs="Times New Roman"/>
          <w:bCs/>
        </w:rPr>
        <w:t xml:space="preserve"> </w:t>
      </w:r>
      <w:r w:rsidRPr="00556A8B">
        <w:rPr>
          <w:rFonts w:cs="Times New Roman"/>
          <w:bCs/>
        </w:rPr>
        <w:t xml:space="preserve">al mismo tiempo que lo constituye como objeto de saber. El sujeto deviene caso, expediente, perfil evaluable que puede ser comparado, clasificado y jerarquizado (Foucault, 1975). Así, el saber no se superpone al </w:t>
      </w:r>
      <w:r w:rsidR="00F42B17">
        <w:rPr>
          <w:rFonts w:cs="Times New Roman"/>
          <w:bCs/>
        </w:rPr>
        <w:t>sujeto</w:t>
      </w:r>
      <w:r w:rsidRPr="00556A8B">
        <w:rPr>
          <w:rFonts w:cs="Times New Roman"/>
          <w:bCs/>
        </w:rPr>
        <w:t>; lo constituye en su singularidad mensurable.</w:t>
      </w:r>
    </w:p>
    <w:p w14:paraId="19417E7A" w14:textId="5587FD07" w:rsidR="00DE23BF" w:rsidRPr="00556A8B" w:rsidRDefault="00DE23BF" w:rsidP="00357B2F">
      <w:pPr>
        <w:rPr>
          <w:rFonts w:cs="Times New Roman"/>
          <w:bCs/>
        </w:rPr>
      </w:pPr>
      <w:r w:rsidRPr="00556A8B">
        <w:rPr>
          <w:rFonts w:cs="Times New Roman"/>
          <w:bCs/>
        </w:rPr>
        <w:t xml:space="preserve">A diferencia del modo pastoral cristiano, centrado en la confesión y en la búsqueda de una verdad interior que debía ser revelada, el poder disciplinario desplaza el eje hacia la observación constante y la medición de comportamientos. Lo que importa ya no es únicamente la pureza del alma, sino la conformidad del cuerpo y de la conducta respecto de estándares previamente definidos. En este contexto, la norma se convierte en criterio central de inteligibilidad: no funciona como ley binaria que separa lo permitido de lo prohibido, sino como promedio que distribuye a los </w:t>
      </w:r>
      <w:r w:rsidR="00E463F3">
        <w:rPr>
          <w:rFonts w:cs="Times New Roman"/>
          <w:bCs/>
        </w:rPr>
        <w:t>sujet</w:t>
      </w:r>
      <w:r w:rsidRPr="00556A8B">
        <w:rPr>
          <w:rFonts w:cs="Times New Roman"/>
          <w:bCs/>
        </w:rPr>
        <w:t>os en un continuo de desviación. Cada sujeto es situado en relación con un modelo óptimo de funcionamiento, quedando jerarquizado según su grado de adecuación.</w:t>
      </w:r>
    </w:p>
    <w:p w14:paraId="34935CAE" w14:textId="038AC186" w:rsidR="00D41D3C" w:rsidRPr="00556A8B" w:rsidRDefault="00DE23BF" w:rsidP="001202D6">
      <w:pPr>
        <w:rPr>
          <w:rFonts w:cs="Times New Roman"/>
          <w:bCs/>
        </w:rPr>
      </w:pPr>
      <w:r w:rsidRPr="00556A8B">
        <w:rPr>
          <w:rFonts w:cs="Times New Roman"/>
          <w:bCs/>
        </w:rPr>
        <w:t xml:space="preserve">La subjetivación disciplinaria produce, entonces, </w:t>
      </w:r>
      <w:r w:rsidR="00E463F3">
        <w:rPr>
          <w:rFonts w:cs="Times New Roman"/>
          <w:bCs/>
        </w:rPr>
        <w:t>sujet</w:t>
      </w:r>
      <w:r w:rsidR="00E463F3" w:rsidRPr="00556A8B">
        <w:rPr>
          <w:rFonts w:cs="Times New Roman"/>
          <w:bCs/>
        </w:rPr>
        <w:t xml:space="preserve">os </w:t>
      </w:r>
      <w:r w:rsidRPr="00556A8B">
        <w:rPr>
          <w:rFonts w:cs="Times New Roman"/>
          <w:bCs/>
        </w:rPr>
        <w:t>que han interiorizado la mirada evaluadora como autovigilancia. El control se vuelve inmanente; el sujeto aprende a examinarse, corregirse y optimizarse conforme a parámetros institucionales. Sin embargo, como advierte Rose (1999), las tecnologías disciplinarias no desaparecen con la emergencia de nuevas racionalidades de poder. Más bien se rearticulan, combinándose con formas más flexibles de gobierno que caracterizan la contemporaneidad. La normalización no se extingue: se desplaza y se integra en configuraciones más complejas de conducción de la conducta.</w:t>
      </w:r>
    </w:p>
    <w:p w14:paraId="2EC0F304" w14:textId="77777777" w:rsidR="00D41D3C" w:rsidRPr="00556A8B" w:rsidRDefault="00D41D3C" w:rsidP="00357B2F">
      <w:pPr>
        <w:rPr>
          <w:rFonts w:cs="Times New Roman"/>
          <w:bCs/>
        </w:rPr>
      </w:pPr>
    </w:p>
    <w:p w14:paraId="6C6EACC5" w14:textId="77777777" w:rsidR="00DE23BF" w:rsidRPr="00556A8B" w:rsidRDefault="00DE23BF" w:rsidP="00357B2F">
      <w:pPr>
        <w:rPr>
          <w:rFonts w:cs="Times New Roman"/>
          <w:bCs/>
          <w:i/>
          <w:iCs/>
        </w:rPr>
      </w:pPr>
      <w:r w:rsidRPr="00556A8B">
        <w:rPr>
          <w:rFonts w:cs="Times New Roman"/>
          <w:bCs/>
          <w:i/>
          <w:iCs/>
        </w:rPr>
        <w:t>El modo gubernamental neoliberal: el empresario de sí mismo</w:t>
      </w:r>
    </w:p>
    <w:p w14:paraId="6CE6F015" w14:textId="77777777" w:rsidR="00DE23BF" w:rsidRPr="00556A8B" w:rsidRDefault="00DE23BF" w:rsidP="00357B2F">
      <w:pPr>
        <w:rPr>
          <w:rFonts w:cs="Times New Roman"/>
          <w:bCs/>
        </w:rPr>
      </w:pPr>
      <w:r w:rsidRPr="00556A8B">
        <w:rPr>
          <w:rFonts w:cs="Times New Roman"/>
          <w:bCs/>
        </w:rPr>
        <w:t>En el marco de la gubernamentalidad neoliberal se configura un modo específico de subjetivación que no sustituye al disciplinamiento, sino que lo reconfigura. Foucault (2007) identifica un desplazamiento significativo: el gobierno de los sujetos deja de apoyarse prioritariamente en el encierro institucional y en la vigilancia directa para operar a través de tecnologías que movilizan la libertad, la elección y la responsabilidad individual. El poder ya no se presenta fundamentalmente como coerción externa, sino como estructuración del campo de acción posible.</w:t>
      </w:r>
    </w:p>
    <w:p w14:paraId="729552D5" w14:textId="7C963E4D" w:rsidR="00DE23BF" w:rsidRPr="00556A8B" w:rsidRDefault="00DE23BF" w:rsidP="00357B2F">
      <w:pPr>
        <w:rPr>
          <w:rFonts w:cs="Times New Roman"/>
          <w:bCs/>
        </w:rPr>
      </w:pPr>
      <w:r w:rsidRPr="00556A8B">
        <w:rPr>
          <w:rFonts w:cs="Times New Roman"/>
          <w:bCs/>
        </w:rPr>
        <w:lastRenderedPageBreak/>
        <w:t xml:space="preserve">En este contexto, el </w:t>
      </w:r>
      <w:r w:rsidR="00E463F3">
        <w:rPr>
          <w:rFonts w:cs="Times New Roman"/>
          <w:bCs/>
        </w:rPr>
        <w:t>sujet</w:t>
      </w:r>
      <w:r w:rsidRPr="00556A8B">
        <w:rPr>
          <w:rFonts w:cs="Times New Roman"/>
          <w:bCs/>
        </w:rPr>
        <w:t xml:space="preserve">o es interpelado como capital humano, es decir, como conjunto de competencias, habilidades y disposiciones susceptibles de inversión, mejora y valorización constante. La vida </w:t>
      </w:r>
      <w:r w:rsidR="00E6303F">
        <w:rPr>
          <w:rFonts w:cs="Times New Roman"/>
          <w:bCs/>
        </w:rPr>
        <w:t>tiende a convertirse</w:t>
      </w:r>
      <w:r w:rsidRPr="00556A8B">
        <w:rPr>
          <w:rFonts w:cs="Times New Roman"/>
          <w:bCs/>
        </w:rPr>
        <w:t xml:space="preserve"> en proyecto gestionable. No se trata únicamente de obedecer normas, sino de administrarse estratégicamente en función de criterios de rendimiento, eficiencia y competitividad. La racionalidad económica penetra la comprensión de sí: el sujeto es convocado a pensarse como empresario de su propia existencia.</w:t>
      </w:r>
    </w:p>
    <w:p w14:paraId="6597A34C" w14:textId="77777777" w:rsidR="00DE23BF" w:rsidRPr="00556A8B" w:rsidRDefault="00DE23BF" w:rsidP="00357B2F">
      <w:pPr>
        <w:rPr>
          <w:rFonts w:cs="Times New Roman"/>
          <w:bCs/>
        </w:rPr>
      </w:pPr>
      <w:r w:rsidRPr="00556A8B">
        <w:rPr>
          <w:rFonts w:cs="Times New Roman"/>
          <w:bCs/>
        </w:rPr>
        <w:t>Esta forma de subjetivación produce un tipo particular de autonomía. El individuo se reconoce como agente libre y responsable, capaz de tomar decisiones y asumir sus consecuencias. Sin embargo, esta libertad se encuentra enmarcada por dispositivos que orientan la conducta mediante incentivos, riesgos y evaluaciones permanentes. Tal como señala Castro-Gómez (2010), el neoliberalismo no gobierna reprimiendo, sino incitando: estimula la acción, fomenta la iniciativa y promueve una relación consigo mismo basada en la inversión continua en capacidades y competencias.</w:t>
      </w:r>
    </w:p>
    <w:p w14:paraId="0560866F" w14:textId="77777777" w:rsidR="00DE23BF" w:rsidRPr="00556A8B" w:rsidRDefault="00DE23BF" w:rsidP="00357B2F">
      <w:pPr>
        <w:rPr>
          <w:rFonts w:cs="Times New Roman"/>
          <w:bCs/>
        </w:rPr>
      </w:pPr>
      <w:r w:rsidRPr="00556A8B">
        <w:rPr>
          <w:rFonts w:cs="Times New Roman"/>
          <w:bCs/>
        </w:rPr>
        <w:t>En este horizonte, la subjetivación adopta la forma de autogobierno permanente. El sujeto no solo es evaluado; se autoevalúa. No solo es normalizado; se optimiza. La lógica disciplinaria del examen se transforma en práctica cotidiana de autoauditoría. La vigilancia ya no requiere necesariamente de una institución cerrada; se internaliza como cálculo constante sobre el propio desempeño.</w:t>
      </w:r>
    </w:p>
    <w:p w14:paraId="63121269" w14:textId="77777777" w:rsidR="00DE23BF" w:rsidRPr="00556A8B" w:rsidRDefault="00DE23BF" w:rsidP="00357B2F">
      <w:pPr>
        <w:rPr>
          <w:rFonts w:cs="Times New Roman"/>
          <w:bCs/>
        </w:rPr>
      </w:pPr>
      <w:r w:rsidRPr="00556A8B">
        <w:rPr>
          <w:rFonts w:cs="Times New Roman"/>
          <w:bCs/>
        </w:rPr>
        <w:t>En el campo de la salud mental, esta racionalidad se expresa con particular claridad. El bienestar psicológico se configura como responsabilidad individual, como tarea que debe ser gestionada mediante prácticas de autorregulación, monitoreo emocional y mejora continua. Los saberes psicológicos ofrecen herramientas para esta gestión, pero también establecen estándares de funcionamiento óptimo que orientan la autoevaluación (Bedoya, 2021). El equilibrio emocional, la resiliencia y la productividad afectiva se convierten en indicadores de una vida bien administrada.</w:t>
      </w:r>
    </w:p>
    <w:p w14:paraId="475927ED" w14:textId="77777777" w:rsidR="00DE23BF" w:rsidRPr="00556A8B" w:rsidRDefault="00DE23BF" w:rsidP="00357B2F">
      <w:pPr>
        <w:rPr>
          <w:rFonts w:cs="Times New Roman"/>
          <w:bCs/>
        </w:rPr>
      </w:pPr>
      <w:r w:rsidRPr="00556A8B">
        <w:rPr>
          <w:rFonts w:cs="Times New Roman"/>
          <w:bCs/>
        </w:rPr>
        <w:t>Desde esta perspectiva, la subjetivación neoliberal no elimina la normalización disciplinaria, sino que la desplaza hacia el interior del sujeto bajo la forma de imperativo de optimización. El individuo se gobierna a sí mismo conforme a criterios que experimenta como elecciones personales, aunque responden a racionalidades históricamente situadas de gobierno de la vida (Han, 2014). La libertad no desaparece; se convierte en tecnología de poder.</w:t>
      </w:r>
    </w:p>
    <w:p w14:paraId="469B8F8D" w14:textId="77777777" w:rsidR="00322F62" w:rsidRPr="00556A8B" w:rsidRDefault="00322F62" w:rsidP="00357B2F">
      <w:pPr>
        <w:rPr>
          <w:rFonts w:cs="Times New Roman"/>
          <w:b/>
        </w:rPr>
      </w:pPr>
    </w:p>
    <w:p w14:paraId="4CFA8073" w14:textId="796C8F18" w:rsidR="00DE23BF" w:rsidRPr="00556A8B" w:rsidRDefault="00144D13" w:rsidP="00357B2F">
      <w:pPr>
        <w:pStyle w:val="Ttulo2"/>
      </w:pPr>
      <w:bookmarkStart w:id="53" w:name="_Toc232580578"/>
      <w:r w:rsidRPr="00556A8B">
        <w:lastRenderedPageBreak/>
        <w:t>Subjetividad</w:t>
      </w:r>
      <w:bookmarkEnd w:id="53"/>
    </w:p>
    <w:p w14:paraId="411EAABF" w14:textId="700E0D5E" w:rsidR="00DE23BF" w:rsidRPr="00556A8B" w:rsidRDefault="00DE23BF" w:rsidP="00914F05">
      <w:pPr>
        <w:pStyle w:val="Ttulo3"/>
        <w:numPr>
          <w:ilvl w:val="2"/>
          <w:numId w:val="6"/>
        </w:numPr>
        <w:spacing w:line="360" w:lineRule="auto"/>
      </w:pPr>
      <w:bookmarkStart w:id="54" w:name="_Toc232580579"/>
      <w:r w:rsidRPr="00556A8B">
        <w:t>Concepto de subjetividad y distinción con subjetivación</w:t>
      </w:r>
      <w:bookmarkEnd w:id="54"/>
    </w:p>
    <w:p w14:paraId="50893B9A" w14:textId="77777777" w:rsidR="00DE23BF" w:rsidRPr="00556A8B" w:rsidRDefault="00DE23BF" w:rsidP="00357B2F">
      <w:pPr>
        <w:rPr>
          <w:rFonts w:cs="Times New Roman"/>
          <w:b/>
        </w:rPr>
      </w:pPr>
    </w:p>
    <w:p w14:paraId="5BF3F0DD" w14:textId="6623CC0D" w:rsidR="00DE23BF" w:rsidRPr="00556A8B" w:rsidRDefault="00DE23BF" w:rsidP="00357B2F">
      <w:pPr>
        <w:rPr>
          <w:rFonts w:cs="Times New Roman"/>
          <w:bCs/>
        </w:rPr>
      </w:pPr>
      <w:r w:rsidRPr="00556A8B">
        <w:rPr>
          <w:rFonts w:cs="Times New Roman"/>
          <w:bCs/>
        </w:rPr>
        <w:t>Una vez desarrollado el concepto de subjetivación como proceso histórico de constitución del sujeto, resulta necesario precisar su relación con la noción de subjetividad. Si la subjetivación designa el conjunto de prácticas, discursos y tecnologías mediante las cuales los individuos son constituidos como sujetos en un determinado régimen de saber-poder, la subjetividad refiere al modo específico en que esos sujetos se experimentan a sí mismos, se reconocen y otorgan sentido a su existencia. No se trata, sin embargo, de dos niveles independientes: la subjetividad no es el núcleo interior que precede al proceso de subjetivación, sino su efecto singular.</w:t>
      </w:r>
    </w:p>
    <w:p w14:paraId="2C9633E5" w14:textId="06580723" w:rsidR="00DE23BF" w:rsidRPr="00556A8B" w:rsidRDefault="00DE23BF" w:rsidP="00357B2F">
      <w:pPr>
        <w:rPr>
          <w:rFonts w:cs="Times New Roman"/>
          <w:bCs/>
        </w:rPr>
      </w:pPr>
      <w:r w:rsidRPr="00556A8B">
        <w:rPr>
          <w:rFonts w:cs="Times New Roman"/>
          <w:bCs/>
        </w:rPr>
        <w:t>Desde esta perspectiva, la subjetividad no puede entenderse como expresión espontánea de una interioridad originaria. La experiencia de poseer un “yo”, de tener una vida psíquica propia y una identidad relativamente estable, es el resultado de operaciones históricas específicas que han producido la interioridad como dominio de experiencia (Foucault, 1984). En este sentido, la subjetividad no es condición natural del sujeto, sino forma históricamente configurada de relación consigo mismo.</w:t>
      </w:r>
    </w:p>
    <w:p w14:paraId="6DE2B1AE" w14:textId="16C36545" w:rsidR="00DE23BF" w:rsidRPr="00556A8B" w:rsidRDefault="00DE23BF" w:rsidP="00357B2F">
      <w:pPr>
        <w:rPr>
          <w:rFonts w:cs="Times New Roman"/>
          <w:bCs/>
        </w:rPr>
      </w:pPr>
      <w:r w:rsidRPr="00556A8B">
        <w:rPr>
          <w:rFonts w:cs="Times New Roman"/>
          <w:bCs/>
        </w:rPr>
        <w:t xml:space="preserve">Este desplazamiento permite abandonar la pregunta clásica por la esencia del yo para interrogar las condiciones que han hecho posible que </w:t>
      </w:r>
      <w:r w:rsidR="00ED1AD2" w:rsidRPr="00ED1AD2">
        <w:rPr>
          <w:rFonts w:cs="Times New Roman"/>
          <w:bCs/>
        </w:rPr>
        <w:t>los sujetos se experimenten</w:t>
      </w:r>
      <w:r w:rsidR="00ED1AD2">
        <w:rPr>
          <w:rFonts w:cs="Times New Roman"/>
          <w:bCs/>
        </w:rPr>
        <w:t xml:space="preserve"> así mismos </w:t>
      </w:r>
      <w:r w:rsidRPr="00556A8B">
        <w:rPr>
          <w:rFonts w:cs="Times New Roman"/>
          <w:bCs/>
        </w:rPr>
        <w:t xml:space="preserve">dotados de profundidad psicológica. Como sostiene Rose (2019), la subjetividad no es un dato antropológico universal, sino una producción histórica que emerge a través de tecnologías que enseñan a los </w:t>
      </w:r>
      <w:r w:rsidR="00ED1AD2">
        <w:rPr>
          <w:rFonts w:cs="Times New Roman"/>
          <w:bCs/>
        </w:rPr>
        <w:t>sujetos</w:t>
      </w:r>
      <w:r w:rsidR="00ED1AD2" w:rsidRPr="00556A8B">
        <w:rPr>
          <w:rFonts w:cs="Times New Roman"/>
          <w:bCs/>
        </w:rPr>
        <w:t xml:space="preserve"> </w:t>
      </w:r>
      <w:r w:rsidRPr="00556A8B">
        <w:rPr>
          <w:rFonts w:cs="Times New Roman"/>
          <w:bCs/>
        </w:rPr>
        <w:t>a observarse, interpretarse y narrarse bajo categorías psicológicas. De este modo, la subjetividad no constituye el punto de partida del análisis, sino su resultado: aquello que es producido cuando el sujeto se relaciona consigo mismo mediante marcos discursivos previamente establecidos.</w:t>
      </w:r>
    </w:p>
    <w:p w14:paraId="2CC74FC8" w14:textId="77777777" w:rsidR="00DE23BF" w:rsidRPr="00556A8B" w:rsidRDefault="00DE23BF" w:rsidP="00357B2F">
      <w:pPr>
        <w:rPr>
          <w:rFonts w:cs="Times New Roman"/>
          <w:bCs/>
        </w:rPr>
      </w:pPr>
      <w:r w:rsidRPr="00556A8B">
        <w:rPr>
          <w:rFonts w:cs="Times New Roman"/>
          <w:bCs/>
        </w:rPr>
        <w:t>La relación entre subjetivación y subjetividad es, por tanto, de implicación y no de oposición. La subjetivación nombra el proceso; la subjetividad, la forma de experiencia que ese proceso hace posible. Como plantea Arruda (2010), las prácticas de subjetivación dotan al sujeto de repertorios afectivos y cognitivos que organizan su modo de percibir, nombrar y actuar en el mundo, produciendo configuraciones específicas de subjetividad coherentes con un determinado régimen discursivo.</w:t>
      </w:r>
    </w:p>
    <w:p w14:paraId="754C70F6" w14:textId="77777777" w:rsidR="00DE23BF" w:rsidRPr="00556A8B" w:rsidRDefault="00DE23BF" w:rsidP="00357B2F">
      <w:pPr>
        <w:rPr>
          <w:rFonts w:cs="Times New Roman"/>
          <w:bCs/>
        </w:rPr>
      </w:pPr>
    </w:p>
    <w:p w14:paraId="7ADBCA8B" w14:textId="24E320EB" w:rsidR="00DE23BF" w:rsidRPr="00556A8B" w:rsidRDefault="00DE23BF" w:rsidP="00914F05">
      <w:pPr>
        <w:pStyle w:val="Ttulo3"/>
        <w:numPr>
          <w:ilvl w:val="2"/>
          <w:numId w:val="6"/>
        </w:numPr>
        <w:spacing w:line="360" w:lineRule="auto"/>
      </w:pPr>
      <w:bookmarkStart w:id="55" w:name="_Toc232580580"/>
      <w:r w:rsidRPr="00556A8B">
        <w:lastRenderedPageBreak/>
        <w:t>Subjetividad como posición simbólica y relacional</w:t>
      </w:r>
      <w:bookmarkEnd w:id="55"/>
    </w:p>
    <w:p w14:paraId="6CBCE16D" w14:textId="387298DC" w:rsidR="00DE23BF" w:rsidRPr="00556A8B" w:rsidRDefault="00DE23BF" w:rsidP="00357B2F">
      <w:pPr>
        <w:rPr>
          <w:rFonts w:cs="Times New Roman"/>
          <w:bCs/>
        </w:rPr>
      </w:pPr>
      <w:r w:rsidRPr="00556A8B">
        <w:rPr>
          <w:rFonts w:cs="Times New Roman"/>
          <w:bCs/>
        </w:rPr>
        <w:t>Comprendida como efecto del proceso de subjetivación, la subjetividad debe pensarse también como posición simbólica y relacional. No es algo que el sujeto “posea”, ni una sustancia localizada en su interioridad; es una posición dentro de un entramado normativo que hace posible su reconocimiento como sujeto. En esta línea, Butler (2004) sostiene que la subjetividad emerge en el lenguaje y a través de normas que regulan quién puede ser reconocido como sujeto inteligible.</w:t>
      </w:r>
    </w:p>
    <w:p w14:paraId="7C156B41" w14:textId="1F5F0052" w:rsidR="00DE23BF" w:rsidRPr="00556A8B" w:rsidRDefault="00DE23BF" w:rsidP="00357B2F">
      <w:pPr>
        <w:rPr>
          <w:rFonts w:cs="Times New Roman"/>
          <w:bCs/>
        </w:rPr>
      </w:pPr>
      <w:r w:rsidRPr="00556A8B">
        <w:rPr>
          <w:rFonts w:cs="Times New Roman"/>
          <w:bCs/>
        </w:rPr>
        <w:t>El sujeto deviene para sí mismo en la medida en que es interpelado, nombrado y reconocido en un campo de relaciones. La formación del sujeto implica necesariamente sujeción: para ser sujeto es preciso inscribirse en marcos normativos que permiten la inteligibilidad social (Butler, 1997). La subjetividad es, entonces, simultáneamente efecto y condición de esa sujeción: el individuo solo puede experimentarse como sujeto en tanto ocupa una posición dentro de un orden simbólico que lo precede.</w:t>
      </w:r>
    </w:p>
    <w:p w14:paraId="64556F5C" w14:textId="1A9C1FCF" w:rsidR="00DE23BF" w:rsidRPr="00556A8B" w:rsidRDefault="00DE23BF" w:rsidP="00357B2F">
      <w:pPr>
        <w:rPr>
          <w:rFonts w:cs="Times New Roman"/>
          <w:bCs/>
        </w:rPr>
      </w:pPr>
      <w:r w:rsidRPr="00556A8B">
        <w:rPr>
          <w:rFonts w:cs="Times New Roman"/>
          <w:bCs/>
        </w:rPr>
        <w:t>Desde esta perspectiva, la subjetividad no preexiste a las relaciones sociales, sino que emerge en ellas. Se estructura a través de códigos, significados y redes discursivas que organizan las formas posibles de vivenciar, interpretar y narrar la propia existencia (Foucault, 2002). El sujeto no es autor originario de sus categorías de experiencia; habita un espacio simbólico que delimita lo que puede ser sentido, dicho y reconocido como experiencia legítima.</w:t>
      </w:r>
    </w:p>
    <w:p w14:paraId="13285813" w14:textId="4C90F639" w:rsidR="00DE23BF" w:rsidRPr="00556A8B" w:rsidRDefault="00DE23BF" w:rsidP="00357B2F">
      <w:pPr>
        <w:rPr>
          <w:rFonts w:cs="Times New Roman"/>
          <w:bCs/>
        </w:rPr>
      </w:pPr>
      <w:r w:rsidRPr="00556A8B">
        <w:rPr>
          <w:rFonts w:cs="Times New Roman"/>
          <w:bCs/>
        </w:rPr>
        <w:t>La subjetividad se articula así con el reconocimiento. No hay experiencia de sí que no esté mediada por la validación</w:t>
      </w:r>
      <w:r w:rsidR="00144D13" w:rsidRPr="00556A8B">
        <w:rPr>
          <w:rFonts w:cs="Times New Roman"/>
          <w:bCs/>
        </w:rPr>
        <w:t xml:space="preserve">, </w:t>
      </w:r>
      <w:r w:rsidRPr="00556A8B">
        <w:rPr>
          <w:rFonts w:cs="Times New Roman"/>
          <w:bCs/>
        </w:rPr>
        <w:t>o descalificació</w:t>
      </w:r>
      <w:r w:rsidR="00144D13" w:rsidRPr="00556A8B">
        <w:rPr>
          <w:rFonts w:cs="Times New Roman"/>
          <w:bCs/>
        </w:rPr>
        <w:t>n,</w:t>
      </w:r>
      <w:r w:rsidRPr="00556A8B">
        <w:rPr>
          <w:rFonts w:cs="Times New Roman"/>
          <w:bCs/>
        </w:rPr>
        <w:t xml:space="preserve"> proveniente de otros y de las normas que regulan ese reconocimiento (Bedoya, 2016). El reconocimiento no es simplemente una interacción externa, sino una operación constitutiva: el sujeto se comprende a sí mismo mediante los marcos normativos que establecen qué formas de existencia son valoradas, aceptadas o patologizadas. En el campo de la salud mental, esta dinámica se vuelve especialmente visible cuando la experiencia de sí es organizada a través de categorías diagnósticas que clasifican y jerarquizan modos de ser como normales o desviados.</w:t>
      </w:r>
    </w:p>
    <w:p w14:paraId="0DC792D8" w14:textId="77777777" w:rsidR="00DE23BF" w:rsidRPr="00556A8B" w:rsidRDefault="00DE23BF" w:rsidP="00357B2F">
      <w:pPr>
        <w:rPr>
          <w:rFonts w:cs="Times New Roman"/>
          <w:bCs/>
        </w:rPr>
      </w:pPr>
      <w:r w:rsidRPr="00556A8B">
        <w:rPr>
          <w:rFonts w:cs="Times New Roman"/>
          <w:bCs/>
        </w:rPr>
        <w:t>En este sentido, la subjetividad no es una expresión libre de una identidad originaria, sino el efecto de un entramado discursivo que define cómo debe ser y actuar ese yo (Laclau y Mouffe, 1985). Lo personal aparece así atravesado por lo social, lo cultural y lo político: la experiencia íntima se encuentra estructurada por racionalidades históricamente situadas.</w:t>
      </w:r>
    </w:p>
    <w:p w14:paraId="3C5915F3" w14:textId="77777777" w:rsidR="00DE23BF" w:rsidRPr="00556A8B" w:rsidRDefault="00DE23BF" w:rsidP="00357B2F">
      <w:pPr>
        <w:rPr>
          <w:rFonts w:cs="Times New Roman"/>
          <w:bCs/>
        </w:rPr>
      </w:pPr>
    </w:p>
    <w:p w14:paraId="40ABEEEF" w14:textId="51E5DB64" w:rsidR="00DE23BF" w:rsidRPr="00556A8B" w:rsidRDefault="00DE23BF" w:rsidP="00914F05">
      <w:pPr>
        <w:pStyle w:val="Ttulo3"/>
        <w:numPr>
          <w:ilvl w:val="2"/>
          <w:numId w:val="6"/>
        </w:numPr>
        <w:spacing w:line="360" w:lineRule="auto"/>
      </w:pPr>
      <w:bookmarkStart w:id="56" w:name="_Toc232580581"/>
      <w:r w:rsidRPr="00556A8B">
        <w:lastRenderedPageBreak/>
        <w:t>Subjetividad y experiencia vivida</w:t>
      </w:r>
      <w:bookmarkEnd w:id="56"/>
    </w:p>
    <w:p w14:paraId="544F2FBF" w14:textId="7A1E69F6" w:rsidR="00DE23BF" w:rsidRPr="00556A8B" w:rsidRDefault="00DE23BF" w:rsidP="00357B2F">
      <w:pPr>
        <w:rPr>
          <w:rFonts w:cs="Times New Roman"/>
          <w:bCs/>
        </w:rPr>
      </w:pPr>
      <w:r w:rsidRPr="00556A8B">
        <w:rPr>
          <w:rFonts w:cs="Times New Roman"/>
          <w:bCs/>
        </w:rPr>
        <w:t>Si la subjetividad es una posición simbólica producida en relaciones de poder, es también el modo concreto en que los sujetos experimentan su existencia cotidiana. No se trata únicamente de un concepto analítico, sino del terreno donde se articulan afectos, percepciones y narrativas sobre sí mismo.</w:t>
      </w:r>
    </w:p>
    <w:p w14:paraId="5D7C3664" w14:textId="7BD3EC03" w:rsidR="00DE23BF" w:rsidRPr="00556A8B" w:rsidRDefault="00DE23BF" w:rsidP="00357B2F">
      <w:pPr>
        <w:rPr>
          <w:rFonts w:cs="Times New Roman"/>
          <w:bCs/>
        </w:rPr>
      </w:pPr>
      <w:r w:rsidRPr="00556A8B">
        <w:rPr>
          <w:rFonts w:cs="Times New Roman"/>
          <w:bCs/>
        </w:rPr>
        <w:t>Sin embargo, la experiencia subjetiva nunca es inmediata. El sujeto no accede a una interioridad pura anterior al lenguaje; experimenta su vida psíquica a través de categorías que estructuran esa experiencia. Cuando alguien afirma “me siento ansioso” o “tengo baja autoestima”, no simplemente describe un estado interno previamente dado; utiliza marcos interpretativos que organizan la forma misma en que esa experiencia se vuelve inteligible. Como señala Rose (2019), los lenguajes psicológicos no se limitan a describir una realidad psíquica, sino que constituyen las formas mediante las cuales esa realidad puede ser experimentada.</w:t>
      </w:r>
    </w:p>
    <w:p w14:paraId="013F8674" w14:textId="77777777" w:rsidR="00DE23BF" w:rsidRPr="00556A8B" w:rsidRDefault="00DE23BF" w:rsidP="00357B2F">
      <w:pPr>
        <w:rPr>
          <w:rFonts w:cs="Times New Roman"/>
          <w:bCs/>
        </w:rPr>
      </w:pPr>
      <w:r w:rsidRPr="00556A8B">
        <w:rPr>
          <w:rFonts w:cs="Times New Roman"/>
          <w:bCs/>
        </w:rPr>
        <w:t>Esto no significa que la experiencia subjetiva sea un efecto mecánico de los discursos. Existe siempre una dimensión de singularidad que no coincide plenamente con las normas que la constituyen. Butler (2004) advierte que el sujeto nunca se ajusta completamente a las categorías que lo nombran; siempre hay un resto, una opacidad que desborda los marcos de reconocimiento. Esta tensión entre normalización y singularidad es constitutiva de la experiencia subjetiva contemporánea.</w:t>
      </w:r>
    </w:p>
    <w:p w14:paraId="479C6EF5" w14:textId="77777777" w:rsidR="00DE23BF" w:rsidRPr="00556A8B" w:rsidRDefault="00DE23BF" w:rsidP="00357B2F">
      <w:pPr>
        <w:rPr>
          <w:rFonts w:cs="Times New Roman"/>
          <w:bCs/>
        </w:rPr>
      </w:pPr>
      <w:r w:rsidRPr="00556A8B">
        <w:rPr>
          <w:rFonts w:cs="Times New Roman"/>
          <w:bCs/>
        </w:rPr>
        <w:t>En el ámbito de la salud mental, esta tensión se manifiesta cuando el sufrimiento singular es traducido a clasificaciones diagnósticas estandarizadas. Las categorías técnicas buscan capturar la experiencia bajo criterios de inteligibilidad clínica; sin embargo, el malestar vivido siempre excede la taxonomía que pretende organizarlo. Como señala Caponi (2024), la experiencia del sufrimiento posee una irreductibilidad que ninguna categoría logra agotar por completo.</w:t>
      </w:r>
    </w:p>
    <w:p w14:paraId="27D82D37" w14:textId="22CA44CB" w:rsidR="000E5B14" w:rsidRPr="00556A8B" w:rsidRDefault="00DE23BF" w:rsidP="00357B2F">
      <w:pPr>
        <w:rPr>
          <w:rFonts w:cs="Times New Roman"/>
          <w:bCs/>
        </w:rPr>
      </w:pPr>
      <w:r w:rsidRPr="00556A8B">
        <w:rPr>
          <w:rFonts w:cs="Times New Roman"/>
          <w:bCs/>
        </w:rPr>
        <w:t>Esa irreductibilidad no sitúa la subjetividad fuera del poder, pero sí marca los puntos de fricción donde los marcos normativos encuentran sus límites. Es allí donde emergen posibilidades de reinterpretación, resignificación o resistencia. La subjetividad no es exterior a las tecnologías que la producen, pero tampoco coincide plenamente con ellas: en esa distancia se abren espacios de disputa por el sentido de la experiencia.</w:t>
      </w:r>
    </w:p>
    <w:p w14:paraId="46BB0590" w14:textId="77777777" w:rsidR="00DE23BF" w:rsidRPr="00556A8B" w:rsidRDefault="00DE23BF" w:rsidP="00357B2F">
      <w:pPr>
        <w:rPr>
          <w:rFonts w:cs="Times New Roman"/>
          <w:shd w:val="clear" w:color="auto" w:fill="FFFFFF"/>
        </w:rPr>
      </w:pPr>
    </w:p>
    <w:p w14:paraId="340B5A69" w14:textId="456A78CF" w:rsidR="00DE23BF" w:rsidRPr="00556A8B" w:rsidRDefault="00144D13" w:rsidP="00357B2F">
      <w:pPr>
        <w:pStyle w:val="Ttulo2"/>
      </w:pPr>
      <w:r w:rsidRPr="00556A8B">
        <w:lastRenderedPageBreak/>
        <w:t xml:space="preserve"> </w:t>
      </w:r>
      <w:bookmarkStart w:id="57" w:name="_Toc232580582"/>
      <w:r w:rsidRPr="00556A8B">
        <w:t>Psicociencias y saberes psi</w:t>
      </w:r>
      <w:bookmarkEnd w:id="57"/>
    </w:p>
    <w:p w14:paraId="32983D0C" w14:textId="6110CD73" w:rsidR="00DE23BF" w:rsidRPr="00556A8B" w:rsidRDefault="00DE23BF" w:rsidP="00357B2F">
      <w:pPr>
        <w:rPr>
          <w:rFonts w:cs="Times New Roman"/>
          <w:bCs/>
        </w:rPr>
      </w:pPr>
      <w:r w:rsidRPr="00556A8B">
        <w:rPr>
          <w:rFonts w:cs="Times New Roman"/>
          <w:bCs/>
        </w:rPr>
        <w:t xml:space="preserve">En el horizonte conceptual desarrollado hasta aquí, resulta imprescindible examinar el papel de las psicociencias en la configuración de formas contemporáneas de subjetivación. Si los regímenes de verdad delimitan qué puede ser dicho como verdadero y las tecnologías de gobierno orientan la conducta de los </w:t>
      </w:r>
      <w:r w:rsidR="00ED1AD2">
        <w:rPr>
          <w:rFonts w:cs="Times New Roman"/>
          <w:bCs/>
        </w:rPr>
        <w:t>sujet</w:t>
      </w:r>
      <w:r w:rsidR="00ED1AD2" w:rsidRPr="00556A8B">
        <w:rPr>
          <w:rFonts w:cs="Times New Roman"/>
          <w:bCs/>
        </w:rPr>
        <w:t>os</w:t>
      </w:r>
      <w:r w:rsidRPr="00556A8B">
        <w:rPr>
          <w:rFonts w:cs="Times New Roman"/>
          <w:bCs/>
        </w:rPr>
        <w:t>, los saberes psi ocupan un lugar estratégico en esa articulación, en tanto se han constituido como autoridades legítimas en la definición de lo que es la mente, el comportamiento y la vida psíquica.</w:t>
      </w:r>
    </w:p>
    <w:p w14:paraId="156AB31A" w14:textId="5CA69642" w:rsidR="00DE23BF" w:rsidRPr="00556A8B" w:rsidRDefault="00DE23BF" w:rsidP="00357B2F">
      <w:pPr>
        <w:rPr>
          <w:rFonts w:cs="Times New Roman"/>
          <w:bCs/>
        </w:rPr>
      </w:pPr>
      <w:r w:rsidRPr="00556A8B">
        <w:rPr>
          <w:rFonts w:cs="Times New Roman"/>
          <w:bCs/>
        </w:rPr>
        <w:t xml:space="preserve">Las psicociencias no solo estudian al sujeto; participan activamente en su producción como objeto de conocimiento y como entidad gobernable. En este sentido, emergen como un conjunto de disciplinas especializadas que han contribuido de manera decisiva a clasificar, homogenizar y regular al </w:t>
      </w:r>
      <w:r w:rsidR="00ED1AD2">
        <w:rPr>
          <w:rFonts w:cs="Times New Roman"/>
          <w:bCs/>
        </w:rPr>
        <w:t>sujeto</w:t>
      </w:r>
      <w:r w:rsidR="00ED1AD2" w:rsidRPr="00556A8B">
        <w:rPr>
          <w:rFonts w:cs="Times New Roman"/>
          <w:bCs/>
        </w:rPr>
        <w:t xml:space="preserve"> </w:t>
      </w:r>
      <w:r w:rsidRPr="00556A8B">
        <w:rPr>
          <w:rFonts w:cs="Times New Roman"/>
          <w:bCs/>
        </w:rPr>
        <w:t>contemporáneo, especialmente en el campo de la salud mental.</w:t>
      </w:r>
    </w:p>
    <w:p w14:paraId="3965B9B2" w14:textId="167F878A" w:rsidR="00DE23BF" w:rsidRPr="00556A8B" w:rsidRDefault="00DE23BF" w:rsidP="00357B2F">
      <w:pPr>
        <w:rPr>
          <w:rFonts w:cs="Times New Roman"/>
          <w:bCs/>
        </w:rPr>
      </w:pPr>
    </w:p>
    <w:p w14:paraId="0E91C5EC" w14:textId="57C5E77C" w:rsidR="00DE23BF" w:rsidRPr="00556A8B" w:rsidRDefault="00DE23BF" w:rsidP="00914F05">
      <w:pPr>
        <w:pStyle w:val="Ttulo3"/>
        <w:numPr>
          <w:ilvl w:val="2"/>
          <w:numId w:val="6"/>
        </w:numPr>
        <w:spacing w:line="360" w:lineRule="auto"/>
      </w:pPr>
      <w:bookmarkStart w:id="58" w:name="_Toc232580583"/>
      <w:r w:rsidRPr="00556A8B">
        <w:t>Concepto y naturaleza de las psicociencias</w:t>
      </w:r>
      <w:bookmarkEnd w:id="58"/>
    </w:p>
    <w:p w14:paraId="0962A390" w14:textId="1B14FD36" w:rsidR="00DE23BF" w:rsidRPr="00556A8B" w:rsidRDefault="00DE23BF" w:rsidP="00357B2F">
      <w:pPr>
        <w:rPr>
          <w:rFonts w:cs="Times New Roman"/>
          <w:bCs/>
        </w:rPr>
      </w:pPr>
      <w:r w:rsidRPr="00556A8B">
        <w:rPr>
          <w:rFonts w:cs="Times New Roman"/>
          <w:bCs/>
        </w:rPr>
        <w:t>Las psicociencias</w:t>
      </w:r>
      <w:r w:rsidR="00144D13" w:rsidRPr="00556A8B">
        <w:rPr>
          <w:rFonts w:cs="Times New Roman"/>
          <w:bCs/>
        </w:rPr>
        <w:t xml:space="preserve"> (</w:t>
      </w:r>
      <w:r w:rsidRPr="00556A8B">
        <w:rPr>
          <w:rFonts w:cs="Times New Roman"/>
          <w:bCs/>
        </w:rPr>
        <w:t>o saberes ps</w:t>
      </w:r>
      <w:r w:rsidR="00144D13" w:rsidRPr="00556A8B">
        <w:rPr>
          <w:rFonts w:cs="Times New Roman"/>
          <w:bCs/>
        </w:rPr>
        <w:t>i)</w:t>
      </w:r>
      <w:r w:rsidRPr="00556A8B">
        <w:rPr>
          <w:rFonts w:cs="Times New Roman"/>
          <w:bCs/>
        </w:rPr>
        <w:t xml:space="preserve"> comprenden un conjunto heterogéneo de disciplinas y prácticas orientadas al estudio, explicación e intervención sobre los procesos mentales, emocionales y conductuales. Bajo esta denominación convergen la psicología, la psiquiatría, el psicoanálisis y múltiples formas de intervención terapéutica que, aunque poseen desarrollos teóricos y metodológicos diferenciados, comparten un interés común: hacer inteligible la subjetividad y operar sobre ella.</w:t>
      </w:r>
    </w:p>
    <w:p w14:paraId="282980F7" w14:textId="77777777" w:rsidR="00DE23BF" w:rsidRPr="00556A8B" w:rsidRDefault="00DE23BF" w:rsidP="00357B2F">
      <w:pPr>
        <w:rPr>
          <w:rFonts w:cs="Times New Roman"/>
          <w:bCs/>
        </w:rPr>
      </w:pPr>
      <w:r w:rsidRPr="00556A8B">
        <w:rPr>
          <w:rFonts w:cs="Times New Roman"/>
          <w:bCs/>
        </w:rPr>
        <w:t>Sin embargo, reducir las psicociencias a disciplinas descriptivas que descubren verdades objetivas sobre el psiquismo implicaría desconocer su dimensión productiva. Como sostiene Rose (2019), los saberes psi constituyen una red de conocimientos y prácticas que no solo analizan la subjetividad, sino que la configuran como objeto de gestión. En esta línea, Arruda (2014) advierte que las psicociencias operan como dispositivos de saber que organizan, estructuran y legitiman formas específicas de comprender lo que es propio del sujeto.</w:t>
      </w:r>
    </w:p>
    <w:p w14:paraId="5B45394E" w14:textId="7DDF47E0" w:rsidR="00DE23BF" w:rsidRPr="00556A8B" w:rsidRDefault="00DE23BF" w:rsidP="00357B2F">
      <w:pPr>
        <w:rPr>
          <w:rFonts w:cs="Times New Roman"/>
          <w:bCs/>
        </w:rPr>
      </w:pPr>
      <w:r w:rsidRPr="00556A8B">
        <w:rPr>
          <w:rFonts w:cs="Times New Roman"/>
          <w:bCs/>
        </w:rPr>
        <w:t xml:space="preserve">Así, los saberes psi no se limitan a observar fenómenos psicológicos preexistentes. Participan en la producción de categorías, clasificaciones y lenguajes que permiten a los </w:t>
      </w:r>
      <w:r w:rsidR="00ED1AD2">
        <w:rPr>
          <w:rFonts w:cs="Times New Roman"/>
          <w:bCs/>
        </w:rPr>
        <w:t>sujetos</w:t>
      </w:r>
      <w:r w:rsidR="00ED1AD2" w:rsidRPr="00556A8B">
        <w:rPr>
          <w:rFonts w:cs="Times New Roman"/>
          <w:bCs/>
        </w:rPr>
        <w:t xml:space="preserve"> </w:t>
      </w:r>
      <w:r w:rsidRPr="00556A8B">
        <w:rPr>
          <w:rFonts w:cs="Times New Roman"/>
          <w:bCs/>
        </w:rPr>
        <w:t>comprenderse, evaluarse y gobernarse. Conceptos como personalidad, autoestima, trauma, resiliencia o trastorno no describen simplemente realidades naturales; delimitan campos de experiencia, establecen criterios de normalidad y orientan prácticas de intervención.</w:t>
      </w:r>
    </w:p>
    <w:p w14:paraId="0E489FC8" w14:textId="77777777" w:rsidR="00144D13" w:rsidRPr="00556A8B" w:rsidRDefault="00144D13" w:rsidP="00357B2F">
      <w:pPr>
        <w:rPr>
          <w:rFonts w:cs="Times New Roman"/>
          <w:bCs/>
        </w:rPr>
      </w:pPr>
    </w:p>
    <w:p w14:paraId="622D9B6D" w14:textId="4E91F045" w:rsidR="00DE23BF" w:rsidRPr="00556A8B" w:rsidRDefault="00DE23BF" w:rsidP="00914F05">
      <w:pPr>
        <w:pStyle w:val="Ttulo3"/>
        <w:numPr>
          <w:ilvl w:val="2"/>
          <w:numId w:val="6"/>
        </w:numPr>
        <w:spacing w:line="360" w:lineRule="auto"/>
      </w:pPr>
      <w:bookmarkStart w:id="59" w:name="_Toc232580584"/>
      <w:r w:rsidRPr="00556A8B">
        <w:t>Doble función de las psicociencias: conocimiento e intervención</w:t>
      </w:r>
      <w:bookmarkEnd w:id="59"/>
    </w:p>
    <w:p w14:paraId="0AB07D51" w14:textId="77777777" w:rsidR="00DE23BF" w:rsidRPr="00556A8B" w:rsidRDefault="00DE23BF" w:rsidP="00357B2F">
      <w:pPr>
        <w:rPr>
          <w:rFonts w:cs="Times New Roman"/>
          <w:bCs/>
        </w:rPr>
      </w:pPr>
      <w:r w:rsidRPr="00556A8B">
        <w:rPr>
          <w:rFonts w:cs="Times New Roman"/>
          <w:bCs/>
        </w:rPr>
        <w:t>Las psicociencias cumplen, en este sentido, una doble función. Por un lado, producen conocimiento sobre el comportamiento humano: teorías explicativas, modelos diagnósticos, instrumentos psicométricos y clasificaciones que organizan el campo de la salud mental. Por otro, despliegan prácticas de intervención que inciden directamente en la vida de los sujetos mediante terapias, evaluaciones, programas de prevención y estrategias de optimización del bienestar.</w:t>
      </w:r>
    </w:p>
    <w:p w14:paraId="2FC4424D" w14:textId="79D55DC6" w:rsidR="00DE23BF" w:rsidRPr="00556A8B" w:rsidRDefault="00DE23BF" w:rsidP="00357B2F">
      <w:pPr>
        <w:rPr>
          <w:rFonts w:cs="Times New Roman"/>
          <w:bCs/>
        </w:rPr>
      </w:pPr>
      <w:r w:rsidRPr="00556A8B">
        <w:rPr>
          <w:rFonts w:cs="Times New Roman"/>
          <w:bCs/>
        </w:rPr>
        <w:t>Esta doble dimensión</w:t>
      </w:r>
      <w:r w:rsidR="00144D13" w:rsidRPr="00556A8B">
        <w:rPr>
          <w:rFonts w:cs="Times New Roman"/>
          <w:bCs/>
        </w:rPr>
        <w:t xml:space="preserve">, </w:t>
      </w:r>
      <w:r w:rsidRPr="00556A8B">
        <w:rPr>
          <w:rFonts w:cs="Times New Roman"/>
          <w:bCs/>
        </w:rPr>
        <w:t>epistemológica y operativa</w:t>
      </w:r>
      <w:r w:rsidR="00144D13" w:rsidRPr="00556A8B">
        <w:rPr>
          <w:rFonts w:cs="Times New Roman"/>
          <w:bCs/>
        </w:rPr>
        <w:t>,</w:t>
      </w:r>
      <w:r w:rsidRPr="00556A8B">
        <w:rPr>
          <w:rFonts w:cs="Times New Roman"/>
          <w:bCs/>
        </w:rPr>
        <w:t xml:space="preserve"> revela que los saberes psi no solo describen al sujeto, sino que lo configuran. Al establecer categorías de inteligibilidad y prescribir modos de intervención, delimitan lo que cuenta como funcionamiento normal o patológico, saludable o disfuncional. Como señala Parker (1999), las psicociencias pueden comprenderse como “máquinas de producción de subjetividad” en la medida en que establecen los términos a través de los cuales los </w:t>
      </w:r>
      <w:r w:rsidR="00ED1AD2">
        <w:rPr>
          <w:rFonts w:cs="Times New Roman"/>
          <w:bCs/>
        </w:rPr>
        <w:t>sujetos</w:t>
      </w:r>
      <w:r w:rsidR="00ED1AD2" w:rsidRPr="00556A8B">
        <w:rPr>
          <w:rFonts w:cs="Times New Roman"/>
          <w:bCs/>
        </w:rPr>
        <w:t xml:space="preserve"> </w:t>
      </w:r>
      <w:r w:rsidRPr="00556A8B">
        <w:rPr>
          <w:rFonts w:cs="Times New Roman"/>
          <w:bCs/>
        </w:rPr>
        <w:t>deben comprenderse y transformarse.</w:t>
      </w:r>
    </w:p>
    <w:p w14:paraId="17304E74" w14:textId="77777777" w:rsidR="00DE23BF" w:rsidRPr="00556A8B" w:rsidRDefault="00DE23BF" w:rsidP="00357B2F">
      <w:pPr>
        <w:rPr>
          <w:rFonts w:cs="Times New Roman"/>
          <w:bCs/>
        </w:rPr>
      </w:pPr>
      <w:r w:rsidRPr="00556A8B">
        <w:rPr>
          <w:rFonts w:cs="Times New Roman"/>
          <w:bCs/>
        </w:rPr>
        <w:t>Desde esta perspectiva, la autoridad científica de las psicociencias les otorga un lugar privilegiado dentro de los regímenes contemporáneos de verdad. Sus enunciados no operan como opiniones, sino como verdades validadas institucionalmente que orientan políticas públicas, prácticas clínicas y formas cotidianas de autocomprensión.</w:t>
      </w:r>
    </w:p>
    <w:p w14:paraId="1E8E28B5" w14:textId="77777777" w:rsidR="00F874B8" w:rsidRPr="00556A8B" w:rsidRDefault="00F874B8" w:rsidP="00357B2F">
      <w:pPr>
        <w:ind w:firstLine="0"/>
        <w:rPr>
          <w:rFonts w:cs="Times New Roman"/>
          <w:bCs/>
        </w:rPr>
      </w:pPr>
    </w:p>
    <w:p w14:paraId="7FDDF999" w14:textId="22019C62" w:rsidR="00DE23BF" w:rsidRPr="00556A8B" w:rsidRDefault="00DE23BF" w:rsidP="00357B2F">
      <w:pPr>
        <w:pStyle w:val="Prrafodelista"/>
        <w:numPr>
          <w:ilvl w:val="2"/>
          <w:numId w:val="6"/>
        </w:numPr>
        <w:rPr>
          <w:rFonts w:cs="Times New Roman"/>
          <w:bCs/>
          <w:i/>
          <w:iCs/>
        </w:rPr>
      </w:pPr>
      <w:r w:rsidRPr="00556A8B">
        <w:rPr>
          <w:rFonts w:cs="Times New Roman"/>
          <w:bCs/>
          <w:i/>
          <w:iCs/>
        </w:rPr>
        <w:t>Las psicociencias como tecnologías de gobierno</w:t>
      </w:r>
    </w:p>
    <w:p w14:paraId="01BD571A" w14:textId="77777777" w:rsidR="00DE23BF" w:rsidRPr="00556A8B" w:rsidRDefault="00DE23BF" w:rsidP="00357B2F">
      <w:pPr>
        <w:rPr>
          <w:rFonts w:cs="Times New Roman"/>
          <w:bCs/>
        </w:rPr>
      </w:pPr>
      <w:r w:rsidRPr="00556A8B">
        <w:rPr>
          <w:rFonts w:cs="Times New Roman"/>
          <w:bCs/>
        </w:rPr>
        <w:t>Más allá de su estatuto disciplinar, los saberes psi pueden comprenderse como tecnologías de gobierno en el sentido foucaultiano del término. De acuerdo con Rose (2019), su eficacia política se despliega al menos en tres dimensiones articuladas.</w:t>
      </w:r>
    </w:p>
    <w:p w14:paraId="57C31EF1" w14:textId="097B6972" w:rsidR="00DE23BF" w:rsidRPr="00556A8B" w:rsidRDefault="00DE23BF" w:rsidP="00357B2F">
      <w:pPr>
        <w:rPr>
          <w:rFonts w:cs="Times New Roman"/>
          <w:bCs/>
        </w:rPr>
      </w:pPr>
      <w:r w:rsidRPr="00556A8B">
        <w:rPr>
          <w:rFonts w:cs="Times New Roman"/>
          <w:bCs/>
        </w:rPr>
        <w:t xml:space="preserve">En primer lugar, las psicociencias hacen que ciertos aspectos de la experiencia humana se vuelvan pensables. Producen vocabularios técnicos, taxonomías y esquemas conceptuales que estructuran la forma en que los problemas pueden ser identificados e intervenidos. Categorías como ansiedad, depresión, inteligencia emocional o trastorno de personalidad no son meras descripciones neutrales; son formas específicas de hacer inteligible la experiencia bajo un régimen de saber particular. Cuando estos lenguajes se difunden socialmente, operan como técnicas de pensamiento que moldean la manera en que los </w:t>
      </w:r>
      <w:r w:rsidR="00ED1AD2">
        <w:rPr>
          <w:rFonts w:cs="Times New Roman"/>
          <w:bCs/>
        </w:rPr>
        <w:t>sujetos</w:t>
      </w:r>
      <w:r w:rsidR="00ED1AD2" w:rsidRPr="00556A8B">
        <w:rPr>
          <w:rFonts w:cs="Times New Roman"/>
          <w:bCs/>
        </w:rPr>
        <w:t xml:space="preserve"> </w:t>
      </w:r>
      <w:r w:rsidRPr="00556A8B">
        <w:rPr>
          <w:rFonts w:cs="Times New Roman"/>
          <w:bCs/>
        </w:rPr>
        <w:t>interpretan su propia vida psíquica.</w:t>
      </w:r>
    </w:p>
    <w:p w14:paraId="7386DA9E" w14:textId="77777777" w:rsidR="00DE23BF" w:rsidRPr="00556A8B" w:rsidRDefault="00DE23BF" w:rsidP="00357B2F">
      <w:pPr>
        <w:rPr>
          <w:rFonts w:cs="Times New Roman"/>
          <w:bCs/>
        </w:rPr>
      </w:pPr>
      <w:r w:rsidRPr="00556A8B">
        <w:rPr>
          <w:rFonts w:cs="Times New Roman"/>
          <w:bCs/>
        </w:rPr>
        <w:lastRenderedPageBreak/>
        <w:t>En segundo lugar, las psicociencias permiten aprehender y gestionar esa realidad mediante instrumentos concretos. Test psicométricos, manuales diagnósticos, protocolos de evaluación y programas terapéuticos constituyen dispositivos que objetivan al sujeto como entidad medible, clasificable y comparable. Estos procedimientos no simplemente registran información sobre individuos ya constituidos; producen al sujeto como caso, perfil o diagnóstico susceptible de intervención. Como advierte Bedoya (2016), para que estas tecnologías funcionen es necesario traducir la experiencia singular a variables cuantificables y categorías estandarizadas que permitan su gestión técnica.</w:t>
      </w:r>
    </w:p>
    <w:p w14:paraId="177DD2CA" w14:textId="1457B0E5" w:rsidR="00DE23BF" w:rsidRPr="00556A8B" w:rsidRDefault="00DE23BF" w:rsidP="00357B2F">
      <w:pPr>
        <w:rPr>
          <w:rFonts w:cs="Times New Roman"/>
          <w:bCs/>
        </w:rPr>
      </w:pPr>
      <w:r w:rsidRPr="00556A8B">
        <w:rPr>
          <w:rFonts w:cs="Times New Roman"/>
          <w:bCs/>
        </w:rPr>
        <w:t>En tercer lugar, los saberes psi participan activamente en la formación de sujetos que se relacionan consigo mismos a través de esas categorías. Las personas aprenden a evaluarse en términos de autoestima, resiliencia, equilibrio emocional o productividad psíquica. De este modo, las psicociencias no solo intervienen desde el exterior; inducen formas de autogobierno que los individuos interiorizan como decisiones propias</w:t>
      </w:r>
      <w:r w:rsidR="000820E5" w:rsidRPr="00556A8B">
        <w:rPr>
          <w:rFonts w:cs="Times New Roman"/>
          <w:bCs/>
        </w:rPr>
        <w:t xml:space="preserve"> (Rose, 2012)</w:t>
      </w:r>
      <w:r w:rsidRPr="00556A8B">
        <w:rPr>
          <w:rFonts w:cs="Times New Roman"/>
          <w:bCs/>
        </w:rPr>
        <w:t>.</w:t>
      </w:r>
    </w:p>
    <w:p w14:paraId="09C0189B" w14:textId="78E18A31" w:rsidR="00380E34" w:rsidRPr="00556A8B" w:rsidRDefault="00DE23BF" w:rsidP="00357B2F">
      <w:pPr>
        <w:rPr>
          <w:rFonts w:cs="Times New Roman"/>
          <w:bCs/>
        </w:rPr>
      </w:pPr>
      <w:r w:rsidRPr="00556A8B">
        <w:rPr>
          <w:rFonts w:cs="Times New Roman"/>
          <w:bCs/>
        </w:rPr>
        <w:t>En esta triple dimensión</w:t>
      </w:r>
      <w:r w:rsidR="00144D13" w:rsidRPr="00556A8B">
        <w:rPr>
          <w:rFonts w:cs="Times New Roman"/>
          <w:bCs/>
        </w:rPr>
        <w:t xml:space="preserve">, </w:t>
      </w:r>
      <w:r w:rsidRPr="00556A8B">
        <w:rPr>
          <w:rFonts w:cs="Times New Roman"/>
          <w:bCs/>
        </w:rPr>
        <w:t>hacer pensable, hacer gestionable y hacer gobernable</w:t>
      </w:r>
      <w:r w:rsidR="00144D13" w:rsidRPr="00556A8B">
        <w:rPr>
          <w:rFonts w:cs="Times New Roman"/>
          <w:bCs/>
        </w:rPr>
        <w:t>,</w:t>
      </w:r>
      <w:r w:rsidRPr="00556A8B">
        <w:rPr>
          <w:rFonts w:cs="Times New Roman"/>
          <w:bCs/>
        </w:rPr>
        <w:t xml:space="preserve"> las psicociencias se articulan estrechamente con la racionalidad neoliberal, promoviendo sujetos que asumen la responsabilidad de optimizar su vida emocional y psicológica.</w:t>
      </w:r>
    </w:p>
    <w:p w14:paraId="5786D4F9" w14:textId="77777777" w:rsidR="00322F62" w:rsidRPr="00556A8B" w:rsidRDefault="00322F62" w:rsidP="00357B2F">
      <w:pPr>
        <w:rPr>
          <w:rFonts w:cs="Times New Roman"/>
          <w:bCs/>
        </w:rPr>
      </w:pPr>
    </w:p>
    <w:p w14:paraId="724756EF" w14:textId="510DE503" w:rsidR="00DE23BF" w:rsidRPr="00556A8B" w:rsidRDefault="00DE23BF" w:rsidP="00914F05">
      <w:pPr>
        <w:pStyle w:val="Ttulo3"/>
        <w:numPr>
          <w:ilvl w:val="2"/>
          <w:numId w:val="6"/>
        </w:numPr>
        <w:spacing w:line="360" w:lineRule="auto"/>
      </w:pPr>
      <w:bookmarkStart w:id="60" w:name="_Toc232580585"/>
      <w:r w:rsidRPr="00556A8B">
        <w:t>Psicociencias como tekné: práctica, técnica y dispositivo</w:t>
      </w:r>
      <w:bookmarkEnd w:id="60"/>
    </w:p>
    <w:p w14:paraId="35DEF554" w14:textId="77777777" w:rsidR="00DE23BF" w:rsidRPr="00556A8B" w:rsidRDefault="00DE23BF" w:rsidP="00357B2F">
      <w:pPr>
        <w:rPr>
          <w:rFonts w:cs="Times New Roman"/>
          <w:bCs/>
        </w:rPr>
      </w:pPr>
      <w:r w:rsidRPr="00556A8B">
        <w:rPr>
          <w:rFonts w:cs="Times New Roman"/>
          <w:bCs/>
        </w:rPr>
        <w:t xml:space="preserve">En esta línea, Bedoya y Castillón (2018) sostienen que las psicociencias deben comprenderse como </w:t>
      </w:r>
      <w:r w:rsidRPr="00556A8B">
        <w:rPr>
          <w:rFonts w:cs="Times New Roman"/>
          <w:bCs/>
          <w:i/>
          <w:iCs/>
        </w:rPr>
        <w:t>tekné</w:t>
      </w:r>
      <w:r w:rsidRPr="00556A8B">
        <w:rPr>
          <w:rFonts w:cs="Times New Roman"/>
          <w:bCs/>
        </w:rPr>
        <w:t>: no solo como cuerpos teóricos, sino como prácticas, técnicas y dispositivos orientados a producir formas específicas de vida. Esta caracterización desplaza el análisis del plano puramente epistemológico hacia el político: no se trata únicamente de qué conocimiento producen, sino de qué modos de existencia hacen posibles, valorados o excluidos.</w:t>
      </w:r>
    </w:p>
    <w:p w14:paraId="45765D93" w14:textId="77777777" w:rsidR="00DE23BF" w:rsidRPr="00556A8B" w:rsidRDefault="00DE23BF" w:rsidP="00357B2F">
      <w:pPr>
        <w:rPr>
          <w:rFonts w:cs="Times New Roman"/>
          <w:bCs/>
        </w:rPr>
      </w:pPr>
      <w:r w:rsidRPr="00556A8B">
        <w:rPr>
          <w:rFonts w:cs="Times New Roman"/>
          <w:bCs/>
        </w:rPr>
        <w:t xml:space="preserve">En clave foucaultiana, la </w:t>
      </w:r>
      <w:r w:rsidRPr="00556A8B">
        <w:rPr>
          <w:rFonts w:cs="Times New Roman"/>
          <w:bCs/>
          <w:i/>
          <w:iCs/>
        </w:rPr>
        <w:t>tekné</w:t>
      </w:r>
      <w:r w:rsidRPr="00556A8B">
        <w:rPr>
          <w:rFonts w:cs="Times New Roman"/>
          <w:bCs/>
        </w:rPr>
        <w:t xml:space="preserve"> remite a un saber práctico históricamente situado que articula reglas, procedimientos y ejercicios destinados a producir efectos sobre los cuerpos y las conductas (Foucault, 2008a). Las psicociencias operan como práctica cuando instauran modos habituales de intervención sobre los sujetos; como técnica cuando desarrollan instrumentos específicos de evaluación y tratamiento; y como dispositivo cuando se insertan en configuraciones más amplias de poder que orientan las conductas según racionalidades determinadas.</w:t>
      </w:r>
    </w:p>
    <w:p w14:paraId="68F0A3DF" w14:textId="77777777" w:rsidR="00DE23BF" w:rsidRPr="00556A8B" w:rsidRDefault="00DE23BF" w:rsidP="00357B2F">
      <w:pPr>
        <w:rPr>
          <w:rFonts w:cs="Times New Roman"/>
          <w:b/>
        </w:rPr>
      </w:pPr>
      <w:r w:rsidRPr="00556A8B">
        <w:rPr>
          <w:rFonts w:cs="Times New Roman"/>
          <w:bCs/>
        </w:rPr>
        <w:lastRenderedPageBreak/>
        <w:t>En el contexto contemporáneo, esta articulación se vincula estrechamente con dinámicas de consumo y con el ideal de la salud mental como proyecto individual. Como advierte Rose (2012), los saberes psi contribuyen a la producción de sujetos que se comprenden como gestores de su propio bienestar, consumidores de servicios terapéuticos y capital humano susceptible de optimización constante. De este modo, las psicociencias no solo describen la subjetividad; participan en la producción de sujetos que se gobiernan a sí mismos conforme a los imperativos de rendimiento, equilibrio y autorrealización característicos de la gubernamentalidad neoliberal.</w:t>
      </w:r>
    </w:p>
    <w:p w14:paraId="22362B4F" w14:textId="77777777" w:rsidR="000E5B14" w:rsidRPr="00556A8B" w:rsidRDefault="000E5B14" w:rsidP="00357B2F">
      <w:pPr>
        <w:rPr>
          <w:rFonts w:cs="Times New Roman"/>
        </w:rPr>
      </w:pPr>
    </w:p>
    <w:p w14:paraId="4A89317E" w14:textId="0169352C" w:rsidR="00DE23BF" w:rsidRPr="00556A8B" w:rsidRDefault="00DE23BF" w:rsidP="00914F05">
      <w:pPr>
        <w:pStyle w:val="Ttulo3"/>
        <w:numPr>
          <w:ilvl w:val="2"/>
          <w:numId w:val="6"/>
        </w:numPr>
        <w:spacing w:line="360" w:lineRule="auto"/>
      </w:pPr>
      <w:bookmarkStart w:id="61" w:name="_Toc232580586"/>
      <w:r w:rsidRPr="00556A8B">
        <w:t>Carácter productivo y normalizador de las psicociencias</w:t>
      </w:r>
      <w:bookmarkEnd w:id="61"/>
    </w:p>
    <w:p w14:paraId="0C3C8612" w14:textId="386917A0" w:rsidR="00DE23BF" w:rsidRPr="00556A8B" w:rsidRDefault="00DE23BF" w:rsidP="00357B2F">
      <w:pPr>
        <w:rPr>
          <w:rFonts w:cs="Times New Roman"/>
          <w:bCs/>
        </w:rPr>
      </w:pPr>
      <w:r w:rsidRPr="00556A8B">
        <w:rPr>
          <w:rFonts w:cs="Times New Roman"/>
          <w:bCs/>
        </w:rPr>
        <w:t xml:space="preserve">En el contexto contemporáneo, los saberes psi no solo ofrecen marcos conceptuales para comprender el comportamiento humano, sino que participan activamente en la producción de la realidad psíquica que dicen describir. Lejos de reflejar una interioridad previamente constituida, las psicociencias intervienen en su configuración al proporcionar categorías diagnósticas, modelos explicativos y lenguajes especializados que organizan la experiencia subjetiva (Rose, </w:t>
      </w:r>
      <w:r w:rsidR="00757531" w:rsidRPr="00556A8B">
        <w:rPr>
          <w:rFonts w:cs="Times New Roman"/>
          <w:bCs/>
        </w:rPr>
        <w:t>2019</w:t>
      </w:r>
      <w:r w:rsidRPr="00556A8B">
        <w:rPr>
          <w:rFonts w:cs="Times New Roman"/>
          <w:bCs/>
        </w:rPr>
        <w:t>).</w:t>
      </w:r>
    </w:p>
    <w:p w14:paraId="08F0051C" w14:textId="5E88FF46" w:rsidR="00DE23BF" w:rsidRPr="00556A8B" w:rsidRDefault="00DE23BF" w:rsidP="00357B2F">
      <w:pPr>
        <w:rPr>
          <w:rFonts w:cs="Times New Roman"/>
          <w:bCs/>
        </w:rPr>
      </w:pPr>
      <w:r w:rsidRPr="00556A8B">
        <w:rPr>
          <w:rFonts w:cs="Times New Roman"/>
          <w:bCs/>
        </w:rPr>
        <w:t xml:space="preserve">Así, al establecer conceptos como autoestima, motivación, trastorno, resiliencia o inteligencia emocional, los saberes psi no simplemente nombran propiedades naturales del psiquismo; producen lentes interpretativos a través de los cuales los </w:t>
      </w:r>
      <w:r w:rsidR="00ED1AD2">
        <w:rPr>
          <w:rFonts w:cs="Times New Roman"/>
          <w:bCs/>
        </w:rPr>
        <w:t>sujet</w:t>
      </w:r>
      <w:r w:rsidR="00ED1AD2" w:rsidRPr="00556A8B">
        <w:rPr>
          <w:rFonts w:cs="Times New Roman"/>
          <w:bCs/>
        </w:rPr>
        <w:t xml:space="preserve">os </w:t>
      </w:r>
      <w:r w:rsidRPr="00556A8B">
        <w:rPr>
          <w:rFonts w:cs="Times New Roman"/>
          <w:bCs/>
        </w:rPr>
        <w:t>leen su experiencia. En este sentido, su carácter productivo radica en que configuran tanto los objetos de conocimiento como los modos de relación que los sujetos establecen consigo mismos.</w:t>
      </w:r>
    </w:p>
    <w:p w14:paraId="7B00A8DC" w14:textId="77777777" w:rsidR="00DE23BF" w:rsidRPr="00556A8B" w:rsidRDefault="00DE23BF" w:rsidP="00357B2F">
      <w:pPr>
        <w:rPr>
          <w:rFonts w:cs="Times New Roman"/>
          <w:bCs/>
        </w:rPr>
      </w:pPr>
      <w:r w:rsidRPr="00556A8B">
        <w:rPr>
          <w:rFonts w:cs="Times New Roman"/>
          <w:bCs/>
        </w:rPr>
        <w:t>Producción de objetos y sujetos</w:t>
      </w:r>
    </w:p>
    <w:p w14:paraId="635AE7C5" w14:textId="5538C674" w:rsidR="00DE23BF" w:rsidRPr="00556A8B" w:rsidRDefault="00757531" w:rsidP="00357B2F">
      <w:pPr>
        <w:rPr>
          <w:rFonts w:cs="Times New Roman"/>
          <w:bCs/>
        </w:rPr>
      </w:pPr>
      <w:r w:rsidRPr="00556A8B">
        <w:rPr>
          <w:rFonts w:cs="Times New Roman"/>
          <w:bCs/>
        </w:rPr>
        <w:t>Rose (2019)</w:t>
      </w:r>
      <w:r w:rsidR="00DE23BF" w:rsidRPr="00556A8B">
        <w:rPr>
          <w:rFonts w:cs="Times New Roman"/>
          <w:bCs/>
        </w:rPr>
        <w:t xml:space="preserve"> ha mostrado cómo, a lo largo de su historia, las psicociencias han inventado sucesivamente distintos objetos de conocimiento y tipos de sujeto. La inteligencia, la personalidad, las actitudes o el yo no emergen como descubrimientos neutros, sino como construcciones históricas articuladas a problemas específicos de gobierno. Cada uno de estos objetos aparece acompañado de tecnologías que permiten su medición, clasificación y modificación: tests de inteligencia que producen coeficientes y jerarquías de capacidad; inventarios de personalidad que generan tipologías; escalas clínicas que cuantifican niveles de malestar.</w:t>
      </w:r>
    </w:p>
    <w:p w14:paraId="317A677B" w14:textId="48B5F77F" w:rsidR="00DE23BF" w:rsidRPr="00556A8B" w:rsidRDefault="00DE23BF" w:rsidP="00357B2F">
      <w:pPr>
        <w:rPr>
          <w:rFonts w:cs="Times New Roman"/>
          <w:bCs/>
        </w:rPr>
      </w:pPr>
      <w:r w:rsidRPr="00556A8B">
        <w:rPr>
          <w:rFonts w:cs="Times New Roman"/>
          <w:bCs/>
        </w:rPr>
        <w:t xml:space="preserve">Estas tecnologías no se limitan a registrar diferencias; las instituyen. Como señala </w:t>
      </w:r>
      <w:r w:rsidR="00757531" w:rsidRPr="00556A8B">
        <w:rPr>
          <w:rFonts w:cs="Times New Roman"/>
          <w:bCs/>
        </w:rPr>
        <w:t>Rose (2019)</w:t>
      </w:r>
      <w:r w:rsidRPr="00556A8B">
        <w:rPr>
          <w:rFonts w:cs="Times New Roman"/>
          <w:bCs/>
        </w:rPr>
        <w:t xml:space="preserve">, cada dispositivo psi produce simultáneamente un objeto de saber y un sujeto susceptible </w:t>
      </w:r>
      <w:r w:rsidRPr="00556A8B">
        <w:rPr>
          <w:rFonts w:cs="Times New Roman"/>
          <w:bCs/>
        </w:rPr>
        <w:lastRenderedPageBreak/>
        <w:t xml:space="preserve">de ser conocido y gobernado mediante ese saber. El </w:t>
      </w:r>
      <w:r w:rsidR="00ED1AD2">
        <w:rPr>
          <w:rFonts w:cs="Times New Roman"/>
          <w:bCs/>
        </w:rPr>
        <w:t xml:space="preserve">sujeto </w:t>
      </w:r>
      <w:r w:rsidRPr="00556A8B">
        <w:rPr>
          <w:rFonts w:cs="Times New Roman"/>
          <w:bCs/>
        </w:rPr>
        <w:t>deviene caso, perfil o diagnóstico, es decir, entidad evaluable dentro de un régimen técnico de clasificación.</w:t>
      </w:r>
    </w:p>
    <w:p w14:paraId="3FE09746" w14:textId="77777777" w:rsidR="00DE23BF" w:rsidRPr="00556A8B" w:rsidRDefault="00DE23BF" w:rsidP="00357B2F">
      <w:pPr>
        <w:rPr>
          <w:rFonts w:cs="Times New Roman"/>
          <w:bCs/>
        </w:rPr>
      </w:pPr>
      <w:r w:rsidRPr="00556A8B">
        <w:rPr>
          <w:rFonts w:cs="Times New Roman"/>
          <w:bCs/>
        </w:rPr>
        <w:t>Establecimiento de normas y criterios de normalidad</w:t>
      </w:r>
    </w:p>
    <w:p w14:paraId="26183E1C" w14:textId="77777777" w:rsidR="00DE23BF" w:rsidRPr="00556A8B" w:rsidRDefault="00DE23BF" w:rsidP="00357B2F">
      <w:pPr>
        <w:rPr>
          <w:rFonts w:cs="Times New Roman"/>
          <w:bCs/>
        </w:rPr>
      </w:pPr>
      <w:r w:rsidRPr="00556A8B">
        <w:rPr>
          <w:rFonts w:cs="Times New Roman"/>
          <w:bCs/>
        </w:rPr>
        <w:t>El carácter productivo de las psicociencias se articula con su función normalizadora. Al definir parámetros de funcionamiento óptimo y criterios de salud mental, establecen estándares que luego utilizan para clasificar e intervenir sobre los sujetos. La normalidad no opera aquí como simple promedio estadístico, sino como criterio valorativo que delimita formas legítimas de existencia.</w:t>
      </w:r>
    </w:p>
    <w:p w14:paraId="0B137E4F" w14:textId="68C8B018" w:rsidR="00DE23BF" w:rsidRPr="00556A8B" w:rsidRDefault="00DE23BF" w:rsidP="00357B2F">
      <w:pPr>
        <w:rPr>
          <w:rFonts w:cs="Times New Roman"/>
          <w:bCs/>
        </w:rPr>
      </w:pPr>
      <w:r w:rsidRPr="00556A8B">
        <w:rPr>
          <w:rFonts w:cs="Times New Roman"/>
          <w:bCs/>
        </w:rPr>
        <w:t>Cuando un comportamiento es designado como “disfuncional” o un nivel de ansiedad como “clínicamente significativo”, no se trata únicamente de describir una desviación cuantitativa, sino de aplicar un juicio normativo sobre cómo debe ser el sujeto. En términos foucaultianos, el poder no actúa principalmente prohibiendo, sino normalizando (Foucault, 1975)</w:t>
      </w:r>
      <w:r w:rsidR="000820E5" w:rsidRPr="00556A8B">
        <w:rPr>
          <w:rFonts w:cs="Times New Roman"/>
          <w:bCs/>
        </w:rPr>
        <w:t xml:space="preserve"> </w:t>
      </w:r>
      <w:r w:rsidRPr="00556A8B">
        <w:rPr>
          <w:rFonts w:cs="Times New Roman"/>
          <w:bCs/>
        </w:rPr>
        <w:t xml:space="preserve">produce un modelo óptimo y </w:t>
      </w:r>
      <w:r w:rsidR="00E6303F">
        <w:rPr>
          <w:rFonts w:cs="Times New Roman"/>
          <w:bCs/>
        </w:rPr>
        <w:t xml:space="preserve">tienden a distribuir </w:t>
      </w:r>
      <w:r w:rsidRPr="00556A8B">
        <w:rPr>
          <w:rFonts w:cs="Times New Roman"/>
          <w:bCs/>
        </w:rPr>
        <w:t xml:space="preserve">a los </w:t>
      </w:r>
      <w:r w:rsidR="00ED1AD2">
        <w:rPr>
          <w:rFonts w:cs="Times New Roman"/>
          <w:bCs/>
        </w:rPr>
        <w:t>sujet</w:t>
      </w:r>
      <w:r w:rsidR="00ED1AD2" w:rsidRPr="00556A8B">
        <w:rPr>
          <w:rFonts w:cs="Times New Roman"/>
          <w:bCs/>
        </w:rPr>
        <w:t xml:space="preserve">os </w:t>
      </w:r>
      <w:r w:rsidRPr="00556A8B">
        <w:rPr>
          <w:rFonts w:cs="Times New Roman"/>
          <w:bCs/>
        </w:rPr>
        <w:t>en un continuo de adecuación respecto a ese modelo.</w:t>
      </w:r>
    </w:p>
    <w:p w14:paraId="2FE49EFC" w14:textId="25D38E1F" w:rsidR="00DE23BF" w:rsidRPr="00556A8B" w:rsidRDefault="00DE23BF" w:rsidP="00357B2F">
      <w:pPr>
        <w:rPr>
          <w:rFonts w:cs="Times New Roman"/>
          <w:bCs/>
        </w:rPr>
      </w:pPr>
      <w:r w:rsidRPr="00556A8B">
        <w:rPr>
          <w:rFonts w:cs="Times New Roman"/>
          <w:bCs/>
        </w:rPr>
        <w:t>Las psicociencias participan activamente en este mecanismo. Generan normas de funcionamiento emocional y conductual, clasifican a los sujetos según su grado de conformidad y habilitan intervenciones destinadas a corregir las desviaciones. De este modo, operan como dispositivos que articulan saber y poder en la producción de subjetividades ajustadas a criterios de funcionalidad, adaptación y rendimiento.</w:t>
      </w:r>
    </w:p>
    <w:p w14:paraId="5DE2FBDE" w14:textId="77777777" w:rsidR="00380E34" w:rsidRPr="00556A8B" w:rsidRDefault="00380E34" w:rsidP="00357B2F">
      <w:pPr>
        <w:rPr>
          <w:rFonts w:cs="Times New Roman"/>
          <w:bCs/>
        </w:rPr>
      </w:pPr>
    </w:p>
    <w:p w14:paraId="70B40854" w14:textId="1609551F" w:rsidR="00DE23BF" w:rsidRPr="00556A8B" w:rsidRDefault="00380E34" w:rsidP="00357B2F">
      <w:pPr>
        <w:pStyle w:val="Ttulo2"/>
      </w:pPr>
      <w:bookmarkStart w:id="62" w:name="_Toc232580587"/>
      <w:r w:rsidRPr="00556A8B">
        <w:t>La psicología como saber-poder</w:t>
      </w:r>
      <w:bookmarkEnd w:id="62"/>
    </w:p>
    <w:p w14:paraId="151F7F45" w14:textId="77777777" w:rsidR="00E2629B" w:rsidRPr="00556A8B" w:rsidRDefault="00DE23BF" w:rsidP="00357B2F">
      <w:pPr>
        <w:rPr>
          <w:rFonts w:cs="Times New Roman"/>
          <w:bCs/>
        </w:rPr>
      </w:pPr>
      <w:r w:rsidRPr="00556A8B">
        <w:rPr>
          <w:rFonts w:cs="Times New Roman"/>
          <w:bCs/>
        </w:rPr>
        <w:t>En este marco, la psicología ocupa un lugar privilegiado dentro del campo de los saberes psi. No solo ofrece explicaciones disciplinares sobre la mente y el comportamiento, sino que delimita activamente lo que cuenta como normal, saludable o patológico. Su autoridad científica le permite intervenir en la experiencia subjetiva mediante categorías diagnósticas, modelos explicativos y técnicas de intervención que configuran modos específicos de comprenderse a sí mismo.</w:t>
      </w:r>
      <w:r w:rsidR="00380E34" w:rsidRPr="00556A8B">
        <w:rPr>
          <w:rFonts w:cs="Times New Roman"/>
          <w:bCs/>
        </w:rPr>
        <w:t xml:space="preserve"> </w:t>
      </w:r>
      <w:r w:rsidRPr="00556A8B">
        <w:rPr>
          <w:rFonts w:cs="Times New Roman"/>
          <w:bCs/>
        </w:rPr>
        <w:t>La psicología no solo interpreta la subjetividad; participa en su construcción.</w:t>
      </w:r>
    </w:p>
    <w:p w14:paraId="01270B90" w14:textId="76186F71" w:rsidR="00DE23BF" w:rsidRPr="00556A8B" w:rsidRDefault="00DE23BF" w:rsidP="00357B2F">
      <w:pPr>
        <w:rPr>
          <w:rFonts w:cs="Times New Roman"/>
          <w:bCs/>
        </w:rPr>
      </w:pPr>
      <w:r w:rsidRPr="00556A8B">
        <w:rPr>
          <w:rFonts w:cs="Times New Roman"/>
          <w:bCs/>
        </w:rPr>
        <w:t xml:space="preserve">Como disciplina moderna, la psicología se ha constituido en torno al estudio sistemático de la mente y el comportamiento, adoptando métodos experimentales y modelos teóricos que aspiran a producir conocimiento científico. Sin embargo, su contribución no se limita al plano </w:t>
      </w:r>
      <w:r w:rsidRPr="00556A8B">
        <w:rPr>
          <w:rFonts w:cs="Times New Roman"/>
          <w:bCs/>
        </w:rPr>
        <w:lastRenderedPageBreak/>
        <w:t xml:space="preserve">explicativo. Al desarrollar teorías, clasificaciones y técnicas de intervención, configura prácticas que orientan la manera en que </w:t>
      </w:r>
      <w:r w:rsidR="00ED1AD2">
        <w:rPr>
          <w:rFonts w:cs="Times New Roman"/>
          <w:bCs/>
        </w:rPr>
        <w:t>los sujetos</w:t>
      </w:r>
      <w:r w:rsidRPr="00556A8B">
        <w:rPr>
          <w:rFonts w:cs="Times New Roman"/>
          <w:bCs/>
        </w:rPr>
        <w:t xml:space="preserve"> enfrentan el malestar y buscan el bienestar.</w:t>
      </w:r>
    </w:p>
    <w:p w14:paraId="51F336FA" w14:textId="22784361" w:rsidR="00DE23BF" w:rsidRPr="00556A8B" w:rsidRDefault="00757531" w:rsidP="00357B2F">
      <w:pPr>
        <w:rPr>
          <w:rFonts w:cs="Times New Roman"/>
          <w:bCs/>
        </w:rPr>
      </w:pPr>
      <w:r w:rsidRPr="00556A8B">
        <w:rPr>
          <w:rFonts w:cs="Times New Roman"/>
          <w:bCs/>
        </w:rPr>
        <w:t>Rose (2019)</w:t>
      </w:r>
      <w:r w:rsidR="00DE23BF" w:rsidRPr="00556A8B">
        <w:rPr>
          <w:rFonts w:cs="Times New Roman"/>
          <w:bCs/>
        </w:rPr>
        <w:t xml:space="preserve"> señala que la psicología se ha convertido en una tecnología central de autogobierno, en la medida en que proporciona herramientas para trabajar sobre el yo. Los sujetos </w:t>
      </w:r>
      <w:r w:rsidR="00E6303F">
        <w:rPr>
          <w:rFonts w:cs="Times New Roman"/>
          <w:bCs/>
        </w:rPr>
        <w:t>son conducidos</w:t>
      </w:r>
      <w:r w:rsidR="00E6303F" w:rsidRPr="00556A8B">
        <w:rPr>
          <w:rFonts w:cs="Times New Roman"/>
          <w:bCs/>
        </w:rPr>
        <w:t xml:space="preserve"> </w:t>
      </w:r>
      <w:r w:rsidR="00DE23BF" w:rsidRPr="00556A8B">
        <w:rPr>
          <w:rFonts w:cs="Times New Roman"/>
          <w:bCs/>
        </w:rPr>
        <w:t>a observarse, evaluarse y transformarse mediante categorías psicológicas, asumiendo la gestión de su desarrollo personal y de su salud mental como responsabilidad propia.</w:t>
      </w:r>
    </w:p>
    <w:p w14:paraId="75D5FB07" w14:textId="77777777" w:rsidR="00E2629B" w:rsidRPr="00556A8B" w:rsidRDefault="00E2629B" w:rsidP="00357B2F">
      <w:pPr>
        <w:rPr>
          <w:rFonts w:cs="Times New Roman"/>
          <w:bCs/>
        </w:rPr>
      </w:pPr>
    </w:p>
    <w:p w14:paraId="46A4659B" w14:textId="6C9E7A12" w:rsidR="00E2629B" w:rsidRPr="00556A8B" w:rsidRDefault="00DE23BF" w:rsidP="00914F05">
      <w:pPr>
        <w:pStyle w:val="Ttulo3"/>
        <w:numPr>
          <w:ilvl w:val="2"/>
          <w:numId w:val="6"/>
        </w:numPr>
        <w:spacing w:line="360" w:lineRule="auto"/>
      </w:pPr>
      <w:bookmarkStart w:id="63" w:name="_Toc232580588"/>
      <w:r w:rsidRPr="00556A8B">
        <w:t>Dimensiones constitutivas de la psicología</w:t>
      </w:r>
      <w:bookmarkEnd w:id="63"/>
    </w:p>
    <w:p w14:paraId="198B1F0D" w14:textId="7ABDA77E" w:rsidR="00DE23BF" w:rsidRPr="00556A8B" w:rsidRDefault="00DE23BF" w:rsidP="00357B2F">
      <w:pPr>
        <w:ind w:firstLine="708"/>
        <w:rPr>
          <w:rFonts w:cs="Times New Roman"/>
          <w:bCs/>
        </w:rPr>
      </w:pPr>
      <w:r w:rsidRPr="00556A8B">
        <w:rPr>
          <w:rFonts w:cs="Times New Roman"/>
          <w:bCs/>
        </w:rPr>
        <w:t>La constitución de la psicología puede analizarse en tres dimensiones interrelacionadas:</w:t>
      </w:r>
      <w:r w:rsidR="00E2629B" w:rsidRPr="00556A8B">
        <w:rPr>
          <w:rFonts w:cs="Times New Roman"/>
          <w:bCs/>
        </w:rPr>
        <w:t xml:space="preserve"> d</w:t>
      </w:r>
      <w:r w:rsidRPr="00556A8B">
        <w:rPr>
          <w:rFonts w:cs="Times New Roman"/>
          <w:bCs/>
        </w:rPr>
        <w:t>imensión histórica</w:t>
      </w:r>
      <w:r w:rsidR="00E2629B" w:rsidRPr="00556A8B">
        <w:rPr>
          <w:rFonts w:cs="Times New Roman"/>
          <w:bCs/>
        </w:rPr>
        <w:t xml:space="preserve">, dimensión política, dimensión epistemológica.  </w:t>
      </w:r>
      <w:r w:rsidRPr="00556A8B">
        <w:rPr>
          <w:rFonts w:cs="Times New Roman"/>
          <w:bCs/>
        </w:rPr>
        <w:t>Como muestra Danziger (1990), los objetos de la psicología</w:t>
      </w:r>
      <w:r w:rsidR="00E2629B" w:rsidRPr="00556A8B">
        <w:rPr>
          <w:rFonts w:cs="Times New Roman"/>
          <w:bCs/>
        </w:rPr>
        <w:t>, i</w:t>
      </w:r>
      <w:r w:rsidRPr="00556A8B">
        <w:rPr>
          <w:rFonts w:cs="Times New Roman"/>
          <w:bCs/>
        </w:rPr>
        <w:t>nteligencia, personalidad, motivación</w:t>
      </w:r>
      <w:r w:rsidR="00E2629B" w:rsidRPr="00556A8B">
        <w:rPr>
          <w:rFonts w:cs="Times New Roman"/>
          <w:bCs/>
        </w:rPr>
        <w:t>,</w:t>
      </w:r>
      <w:r w:rsidRPr="00556A8B">
        <w:rPr>
          <w:rFonts w:cs="Times New Roman"/>
          <w:bCs/>
        </w:rPr>
        <w:t xml:space="preserve"> no son descubrimientos naturales, sino construcciones históricas vinculadas a procesos de modernización, industrialización y organización institucional. La psicología emerge como respuesta a necesidades de clasificación, selección y gestión de </w:t>
      </w:r>
      <w:r w:rsidR="00ED1AD2">
        <w:rPr>
          <w:rFonts w:cs="Times New Roman"/>
          <w:bCs/>
        </w:rPr>
        <w:t>sujetos</w:t>
      </w:r>
      <w:r w:rsidRPr="00556A8B">
        <w:rPr>
          <w:rFonts w:cs="Times New Roman"/>
          <w:bCs/>
        </w:rPr>
        <w:t xml:space="preserve"> en contextos escolares, laborales y clínicos.</w:t>
      </w:r>
    </w:p>
    <w:p w14:paraId="3DED61CA" w14:textId="77777777" w:rsidR="00E2629B" w:rsidRPr="00556A8B" w:rsidRDefault="00DE23BF" w:rsidP="00357B2F">
      <w:pPr>
        <w:rPr>
          <w:rFonts w:cs="Times New Roman"/>
          <w:bCs/>
        </w:rPr>
      </w:pPr>
      <w:r w:rsidRPr="00556A8B">
        <w:rPr>
          <w:rFonts w:cs="Times New Roman"/>
          <w:bCs/>
        </w:rPr>
        <w:t>La psicología ha operado como instrumento de normalización y control social, pero también como recurso en procesos de intervención pública. Tests, diagnósticos y técnicas de modificación de conducta han servido para adaptar sujetos a exigencias institucionales. Como advierten Fox y Prilleltensky (1997), gran parte de la psicología dominante ha tendido a individualizar problemas estructurales, promoviendo la adaptación antes que la transformación de condiciones sociales.</w:t>
      </w:r>
      <w:r w:rsidR="00E2629B" w:rsidRPr="00556A8B">
        <w:rPr>
          <w:rFonts w:cs="Times New Roman"/>
          <w:bCs/>
        </w:rPr>
        <w:t xml:space="preserve"> </w:t>
      </w:r>
    </w:p>
    <w:p w14:paraId="057609AC" w14:textId="381CA4DC" w:rsidR="00DE23BF" w:rsidRPr="00556A8B" w:rsidRDefault="00DE23BF" w:rsidP="00357B2F">
      <w:pPr>
        <w:rPr>
          <w:rFonts w:cs="Times New Roman"/>
          <w:bCs/>
        </w:rPr>
      </w:pPr>
      <w:r w:rsidRPr="00556A8B">
        <w:rPr>
          <w:rFonts w:cs="Times New Roman"/>
          <w:bCs/>
        </w:rPr>
        <w:t>La psicología se ha legitimado bajo la pretensión de objetividad científica, adoptando metodologías experimentales y cuantitativas. No obstante, como señala Parker (1999), esta aspiración invisibiliza que todo conocimiento psicológico está históricamente situado y atravesado por relaciones de poder que determinan qué aspectos del psiquismo son considerados relevantes y cómo deben ser abordados.</w:t>
      </w:r>
    </w:p>
    <w:p w14:paraId="1C5DB90B" w14:textId="06DD8F5E" w:rsidR="00DE23BF" w:rsidRPr="00556A8B" w:rsidRDefault="00DE23BF" w:rsidP="00357B2F">
      <w:pPr>
        <w:rPr>
          <w:rFonts w:cs="Times New Roman"/>
          <w:bCs/>
        </w:rPr>
      </w:pPr>
    </w:p>
    <w:p w14:paraId="52909F41" w14:textId="07448313" w:rsidR="00DE23BF" w:rsidRPr="00556A8B" w:rsidRDefault="00DE23BF" w:rsidP="00914F05">
      <w:pPr>
        <w:pStyle w:val="Ttulo3"/>
        <w:numPr>
          <w:ilvl w:val="2"/>
          <w:numId w:val="6"/>
        </w:numPr>
        <w:spacing w:line="360" w:lineRule="auto"/>
      </w:pPr>
      <w:bookmarkStart w:id="64" w:name="_Toc232580589"/>
      <w:r w:rsidRPr="00556A8B">
        <w:t>La psicología como dispositivo de normalización</w:t>
      </w:r>
      <w:bookmarkEnd w:id="64"/>
    </w:p>
    <w:p w14:paraId="113A6CAA" w14:textId="2BE1D5D8" w:rsidR="00DE23BF" w:rsidRPr="00556A8B" w:rsidRDefault="00DE23BF" w:rsidP="00357B2F">
      <w:pPr>
        <w:rPr>
          <w:rFonts w:cs="Times New Roman"/>
          <w:bCs/>
        </w:rPr>
      </w:pPr>
      <w:r w:rsidRPr="00556A8B">
        <w:rPr>
          <w:rFonts w:cs="Times New Roman"/>
          <w:bCs/>
        </w:rPr>
        <w:t xml:space="preserve">Más allá de su estatuto científico, la psicología opera como dispositivo de normalización. Produce y consolida parámetros desde los cuales se define al sujeto sano, racional, competente y </w:t>
      </w:r>
      <w:r w:rsidRPr="00556A8B">
        <w:rPr>
          <w:rFonts w:cs="Times New Roman"/>
          <w:bCs/>
        </w:rPr>
        <w:lastRenderedPageBreak/>
        <w:t xml:space="preserve">adaptado. En este sentido, funciona como maquinaria discursiva </w:t>
      </w:r>
      <w:r w:rsidR="00E6303F" w:rsidRPr="00E6303F">
        <w:rPr>
          <w:rFonts w:cs="Times New Roman"/>
          <w:bCs/>
        </w:rPr>
        <w:t>participa en la modelación de</w:t>
      </w:r>
      <w:r w:rsidR="00E6303F">
        <w:rPr>
          <w:rFonts w:cs="Times New Roman"/>
          <w:bCs/>
        </w:rPr>
        <w:t xml:space="preserve"> </w:t>
      </w:r>
      <w:r w:rsidRPr="00556A8B">
        <w:rPr>
          <w:rFonts w:cs="Times New Roman"/>
          <w:bCs/>
        </w:rPr>
        <w:t xml:space="preserve">la experiencia humana mediante diagnósticos, evaluaciones e intervenciones que establecen expectativas sobre cómo debe sentirse, pensar y actuar el </w:t>
      </w:r>
      <w:r w:rsidR="00C60240">
        <w:rPr>
          <w:rFonts w:cs="Times New Roman"/>
          <w:bCs/>
        </w:rPr>
        <w:t>sujet</w:t>
      </w:r>
      <w:r w:rsidR="00C60240" w:rsidRPr="00556A8B">
        <w:rPr>
          <w:rFonts w:cs="Times New Roman"/>
          <w:bCs/>
        </w:rPr>
        <w:t>o</w:t>
      </w:r>
      <w:r w:rsidRPr="00556A8B">
        <w:rPr>
          <w:rFonts w:cs="Times New Roman"/>
          <w:bCs/>
        </w:rPr>
        <w:t>.</w:t>
      </w:r>
    </w:p>
    <w:p w14:paraId="09676664" w14:textId="77777777" w:rsidR="00DE23BF" w:rsidRPr="00556A8B" w:rsidRDefault="00DE23BF" w:rsidP="00357B2F">
      <w:pPr>
        <w:rPr>
          <w:rFonts w:cs="Times New Roman"/>
          <w:bCs/>
        </w:rPr>
      </w:pPr>
      <w:r w:rsidRPr="00556A8B">
        <w:rPr>
          <w:rFonts w:cs="Times New Roman"/>
          <w:bCs/>
        </w:rPr>
        <w:t>Arruda (2011) sostiene que la psicología participa en la fabricación de un “modelo de humanidad” regulado por ideales de salud y funcionalidad. Dicho modelo no es descriptivo sino normativo: prescribe estándares que los sujetos deben alcanzar para ser reconocidos como normales. Aquellos que no se ajustan son clasificados como desviados y sometidos a procesos de corrección orientados a su reintegración dentro del marco normativo.</w:t>
      </w:r>
    </w:p>
    <w:p w14:paraId="5ECFB962" w14:textId="77777777" w:rsidR="00DE23BF" w:rsidRPr="00556A8B" w:rsidRDefault="00DE23BF" w:rsidP="00357B2F">
      <w:pPr>
        <w:rPr>
          <w:rFonts w:cs="Times New Roman"/>
          <w:bCs/>
        </w:rPr>
      </w:pPr>
      <w:r w:rsidRPr="00556A8B">
        <w:rPr>
          <w:rFonts w:cs="Times New Roman"/>
          <w:bCs/>
        </w:rPr>
        <w:t>En este punto, la psicología se articula con formas contemporáneas de gubernamentalidad, operando no solo desde instituciones cerradas sino también en espacios cotidianos, laborales y educativos, donde promueve prácticas de autoevaluación y mejora continua.</w:t>
      </w:r>
    </w:p>
    <w:p w14:paraId="6207C123" w14:textId="2CBDC28E" w:rsidR="00DE23BF" w:rsidRPr="00556A8B" w:rsidRDefault="00DE23BF" w:rsidP="00357B2F">
      <w:pPr>
        <w:rPr>
          <w:rFonts w:cs="Times New Roman"/>
          <w:bCs/>
        </w:rPr>
      </w:pPr>
    </w:p>
    <w:p w14:paraId="5E894211" w14:textId="60539E4F" w:rsidR="00DE23BF" w:rsidRPr="00556A8B" w:rsidRDefault="00DE23BF" w:rsidP="000162FA">
      <w:pPr>
        <w:pStyle w:val="Ttulo3"/>
        <w:numPr>
          <w:ilvl w:val="2"/>
          <w:numId w:val="6"/>
        </w:numPr>
        <w:spacing w:line="360" w:lineRule="auto"/>
      </w:pPr>
      <w:bookmarkStart w:id="65" w:name="_Toc232580590"/>
      <w:r w:rsidRPr="00556A8B">
        <w:t>La psicología como tecnología del yo</w:t>
      </w:r>
      <w:bookmarkEnd w:id="65"/>
    </w:p>
    <w:p w14:paraId="52B864A9" w14:textId="11D58B73" w:rsidR="00DE23BF" w:rsidRPr="00556A8B" w:rsidRDefault="00DE23BF" w:rsidP="00357B2F">
      <w:pPr>
        <w:rPr>
          <w:rFonts w:cs="Times New Roman"/>
          <w:bCs/>
        </w:rPr>
      </w:pPr>
      <w:r w:rsidRPr="00556A8B">
        <w:rPr>
          <w:rFonts w:cs="Times New Roman"/>
          <w:bCs/>
        </w:rPr>
        <w:t xml:space="preserve">En estrecha relación con lo anterior, Foucault (1990) ubica a la psicología dentro de las </w:t>
      </w:r>
      <w:r w:rsidR="009A7B04">
        <w:rPr>
          <w:rFonts w:cs="Times New Roman"/>
          <w:bCs/>
        </w:rPr>
        <w:t>Técnicas de sí</w:t>
      </w:r>
      <w:r w:rsidR="00D5744D">
        <w:rPr>
          <w:rFonts w:cs="Times New Roman"/>
          <w:bCs/>
        </w:rPr>
        <w:t xml:space="preserve">; </w:t>
      </w:r>
      <w:r w:rsidRPr="00556A8B">
        <w:rPr>
          <w:rFonts w:cs="Times New Roman"/>
          <w:bCs/>
        </w:rPr>
        <w:t xml:space="preserve"> prácticas mediante las cuales los individuos actúan sobre sí mismos para transformarse conforme a ciertos ideales. Estas tecnologías permiten efectuar operaciones sobre pensamientos, emociones y conductas con el fin de alcanzar estados considerados deseables</w:t>
      </w:r>
      <w:r w:rsidR="004F3849" w:rsidRPr="00556A8B">
        <w:rPr>
          <w:rFonts w:cs="Times New Roman"/>
          <w:bCs/>
        </w:rPr>
        <w:t xml:space="preserve">, </w:t>
      </w:r>
      <w:r w:rsidRPr="00556A8B">
        <w:rPr>
          <w:rFonts w:cs="Times New Roman"/>
          <w:bCs/>
        </w:rPr>
        <w:t>felicidad, equilibrio, autorrealización.</w:t>
      </w:r>
    </w:p>
    <w:p w14:paraId="06FA831C" w14:textId="77777777" w:rsidR="00DE23BF" w:rsidRPr="00556A8B" w:rsidRDefault="00DE23BF" w:rsidP="00357B2F">
      <w:pPr>
        <w:rPr>
          <w:rFonts w:cs="Times New Roman"/>
          <w:bCs/>
        </w:rPr>
      </w:pPr>
      <w:r w:rsidRPr="00556A8B">
        <w:rPr>
          <w:rFonts w:cs="Times New Roman"/>
          <w:bCs/>
        </w:rPr>
        <w:t>Bajo esta perspectiva, la psicología no aparece como ciencia neutral, sino como tecnología activa en la regulación de la subjetividad. Al ofrecer categorías y técnicas de intervención, induce a los sujetos a gobernarse a sí mismos según estándares de bienestar, adaptación y productividad. El ideal contemporáneo de salud mental se articula así con imperativos de rendimiento y responsabilidad individual.</w:t>
      </w:r>
    </w:p>
    <w:p w14:paraId="5384893C" w14:textId="4853754C" w:rsidR="00DE23BF" w:rsidRPr="00556A8B" w:rsidRDefault="00DE23BF" w:rsidP="00357B2F">
      <w:pPr>
        <w:rPr>
          <w:rFonts w:cs="Times New Roman"/>
          <w:bCs/>
        </w:rPr>
      </w:pPr>
      <w:r w:rsidRPr="00556A8B">
        <w:rPr>
          <w:rFonts w:cs="Times New Roman"/>
          <w:bCs/>
        </w:rPr>
        <w:t xml:space="preserve">El sujeto </w:t>
      </w:r>
      <w:r w:rsidR="00E6303F">
        <w:rPr>
          <w:rFonts w:cs="Times New Roman"/>
          <w:bCs/>
        </w:rPr>
        <w:t xml:space="preserve">es inducido a </w:t>
      </w:r>
      <w:r w:rsidRPr="00556A8B">
        <w:rPr>
          <w:rFonts w:cs="Times New Roman"/>
          <w:bCs/>
        </w:rPr>
        <w:t>aprende</w:t>
      </w:r>
      <w:r w:rsidR="00E6303F">
        <w:rPr>
          <w:rFonts w:cs="Times New Roman"/>
          <w:bCs/>
        </w:rPr>
        <w:t>r</w:t>
      </w:r>
      <w:r w:rsidRPr="00556A8B">
        <w:rPr>
          <w:rFonts w:cs="Times New Roman"/>
          <w:bCs/>
        </w:rPr>
        <w:t xml:space="preserve"> que su malestar debe ser gestionado mediante prácticas de autorregulación; que su bienestar depende de su capacidad de aplicar técnicas psicológicas; que su éxito vital está vinculado a su resiliencia, su inteligencia emocional o su fortaleza psíquica. De este modo, la psicología se integra en una racionalidad de gobierno que desplaza la regulación hacia el interior del </w:t>
      </w:r>
      <w:r w:rsidR="00C60240">
        <w:rPr>
          <w:rFonts w:cs="Times New Roman"/>
          <w:bCs/>
        </w:rPr>
        <w:t>sujet</w:t>
      </w:r>
      <w:r w:rsidR="00C60240" w:rsidRPr="00556A8B">
        <w:rPr>
          <w:rFonts w:cs="Times New Roman"/>
          <w:bCs/>
        </w:rPr>
        <w:t>o</w:t>
      </w:r>
      <w:r w:rsidRPr="00556A8B">
        <w:rPr>
          <w:rFonts w:cs="Times New Roman"/>
          <w:bCs/>
        </w:rPr>
        <w:t>, convirtiéndolo en agente activo de su propia normalización.</w:t>
      </w:r>
    </w:p>
    <w:p w14:paraId="5F7D5BA9" w14:textId="77777777" w:rsidR="00E2629B" w:rsidRPr="00556A8B" w:rsidRDefault="00E2629B" w:rsidP="00357B2F">
      <w:pPr>
        <w:rPr>
          <w:rFonts w:cs="Times New Roman"/>
          <w:bCs/>
        </w:rPr>
      </w:pPr>
    </w:p>
    <w:p w14:paraId="4D9779EB" w14:textId="64C68ED5" w:rsidR="00DE23BF" w:rsidRPr="00556A8B" w:rsidRDefault="00DE23BF" w:rsidP="00357B2F">
      <w:pPr>
        <w:pStyle w:val="Ttulo2"/>
        <w:rPr>
          <w:shd w:val="clear" w:color="auto" w:fill="FFFFFF"/>
        </w:rPr>
      </w:pPr>
      <w:bookmarkStart w:id="66" w:name="_Toc232580591"/>
      <w:r w:rsidRPr="00556A8B">
        <w:rPr>
          <w:shd w:val="clear" w:color="auto" w:fill="FFFFFF"/>
        </w:rPr>
        <w:lastRenderedPageBreak/>
        <w:t>Poder, saber y gobierno de la vida</w:t>
      </w:r>
      <w:bookmarkEnd w:id="66"/>
    </w:p>
    <w:p w14:paraId="472D04F0" w14:textId="6DFCB327" w:rsidR="00DE23BF" w:rsidRPr="00556A8B" w:rsidRDefault="00DE23BF" w:rsidP="00357B2F">
      <w:pPr>
        <w:rPr>
          <w:shd w:val="clear" w:color="auto" w:fill="FFFFFF"/>
        </w:rPr>
      </w:pPr>
      <w:r w:rsidRPr="00556A8B">
        <w:rPr>
          <w:shd w:val="clear" w:color="auto" w:fill="FFFFFF"/>
        </w:rPr>
        <w:t>Para comprender cómo las prácticas discursivas en salud mental participan en la constitución de subjetividades saludables, resulta indispensable analizar la articulación entre saber y poder en las sociedades contemporáneas. En el horizonte foucaultiano, estas categorías no designan esferas separadas</w:t>
      </w:r>
      <w:r w:rsidR="00E2629B" w:rsidRPr="00556A8B">
        <w:rPr>
          <w:shd w:val="clear" w:color="auto" w:fill="FFFFFF"/>
        </w:rPr>
        <w:t xml:space="preserve">, </w:t>
      </w:r>
      <w:r w:rsidRPr="00556A8B">
        <w:rPr>
          <w:shd w:val="clear" w:color="auto" w:fill="FFFFFF"/>
        </w:rPr>
        <w:t>una cognitiva y otra política</w:t>
      </w:r>
      <w:r w:rsidR="00E2629B" w:rsidRPr="00556A8B">
        <w:rPr>
          <w:shd w:val="clear" w:color="auto" w:fill="FFFFFF"/>
        </w:rPr>
        <w:t>,</w:t>
      </w:r>
      <w:r w:rsidRPr="00556A8B">
        <w:rPr>
          <w:shd w:val="clear" w:color="auto" w:fill="FFFFFF"/>
        </w:rPr>
        <w:t xml:space="preserve"> sino una relación constitutiva mediante la cual se producen verdades, se organizan prácticas y se gobierna la vida.</w:t>
      </w:r>
    </w:p>
    <w:p w14:paraId="2523397D" w14:textId="31B63DBF" w:rsidR="00DE23BF" w:rsidRPr="00556A8B" w:rsidRDefault="00DE23BF" w:rsidP="00357B2F">
      <w:pPr>
        <w:rPr>
          <w:shd w:val="clear" w:color="auto" w:fill="FFFFFF"/>
        </w:rPr>
      </w:pPr>
      <w:r w:rsidRPr="00556A8B">
        <w:rPr>
          <w:shd w:val="clear" w:color="auto" w:fill="FFFFFF"/>
        </w:rPr>
        <w:t>El saber no puede entenderse como acumulación neutral de conocimientos objetivos sobre una realidad preexistente. Foucault (1980) advierte que toda sociedad produce su propio “régimen de verdad”, es decir, un conjunto de procedimientos que determinan qué discursos son aceptados como verdaderos, qué instituciones los legitiman y qué efectos producen sobre los sujetos.</w:t>
      </w:r>
    </w:p>
    <w:p w14:paraId="53614321" w14:textId="30DE89C1" w:rsidR="00DE23BF" w:rsidRPr="00556A8B" w:rsidRDefault="00DE23BF" w:rsidP="00357B2F">
      <w:pPr>
        <w:rPr>
          <w:shd w:val="clear" w:color="auto" w:fill="FFFFFF"/>
        </w:rPr>
      </w:pPr>
      <w:r w:rsidRPr="00556A8B">
        <w:rPr>
          <w:shd w:val="clear" w:color="auto" w:fill="FFFFFF"/>
        </w:rPr>
        <w:t>Así, el saber funciona como tecnología práctica</w:t>
      </w:r>
      <w:r w:rsidR="00E2629B" w:rsidRPr="00556A8B">
        <w:rPr>
          <w:shd w:val="clear" w:color="auto" w:fill="FFFFFF"/>
        </w:rPr>
        <w:t xml:space="preserve"> n</w:t>
      </w:r>
      <w:r w:rsidRPr="00556A8B">
        <w:rPr>
          <w:shd w:val="clear" w:color="auto" w:fill="FFFFFF"/>
        </w:rPr>
        <w:t>o se limita a describir el mundo, sino que produce objetos de conocimiento al tiempo que habilita intervenciones específicas sobre ellos. En el campo de la salud mental, esto se evidencia en la creación de categorías diagnósticas, escalas de medición, criterios de normalidad e instrumentos terapéuticos que no solo nombran fenómenos, sino que los organizan, clasifican y hacen gobernables. Como plantea Rose (1999), los saberes psi deben comprenderse como tecnologías que materializan formas específicas de intervención sobre la conducta, la emoción y la interioridad.</w:t>
      </w:r>
    </w:p>
    <w:p w14:paraId="55593735" w14:textId="44C7B921" w:rsidR="00DE23BF" w:rsidRPr="00556A8B" w:rsidRDefault="00DE23BF" w:rsidP="00357B2F">
      <w:pPr>
        <w:rPr>
          <w:shd w:val="clear" w:color="auto" w:fill="FFFFFF"/>
        </w:rPr>
      </w:pPr>
      <w:r w:rsidRPr="00556A8B">
        <w:rPr>
          <w:shd w:val="clear" w:color="auto" w:fill="FFFFFF"/>
        </w:rPr>
        <w:t xml:space="preserve">De este modo, el saber opera como tecnología de subjetivación: al definir qué es salud, qué es trastorno, qué es funcionamiento adecuado o disfuncional, también delimita quién puede ser el sujeto y bajo qué condiciones. Los </w:t>
      </w:r>
      <w:r w:rsidR="00C60240">
        <w:rPr>
          <w:shd w:val="clear" w:color="auto" w:fill="FFFFFF"/>
        </w:rPr>
        <w:t>sujeto</w:t>
      </w:r>
      <w:r w:rsidR="00C60240" w:rsidRPr="00556A8B">
        <w:rPr>
          <w:shd w:val="clear" w:color="auto" w:fill="FFFFFF"/>
        </w:rPr>
        <w:t xml:space="preserve">s </w:t>
      </w:r>
      <w:r w:rsidRPr="00556A8B">
        <w:rPr>
          <w:shd w:val="clear" w:color="auto" w:fill="FFFFFF"/>
        </w:rPr>
        <w:t>no se constituyen por fuera de estos marcos, sino en relación con ellos. El conocimiento psicológico, por tanto, no solo informa sobre la psique humana, sino que contribuye a producir modos legítimos de comprenderse y conducirse.</w:t>
      </w:r>
    </w:p>
    <w:p w14:paraId="5AA7CD82" w14:textId="77777777" w:rsidR="00DE23BF" w:rsidRPr="00556A8B" w:rsidRDefault="00DE23BF" w:rsidP="00357B2F">
      <w:pPr>
        <w:rPr>
          <w:shd w:val="clear" w:color="auto" w:fill="FFFFFF"/>
        </w:rPr>
      </w:pPr>
      <w:r w:rsidRPr="00556A8B">
        <w:rPr>
          <w:shd w:val="clear" w:color="auto" w:fill="FFFFFF"/>
        </w:rPr>
        <w:t>Esta dimensión del saber solo puede entenderse plenamente si se examina su articulación con el poder. Foucault (1975) sostiene que no existe relación de poder sin constitución correlativa de un campo de saber, ni saber que no suponga relaciones de poder. Esta afirmación desplaza la concepción clásica del poder como autoridad centralizada o fuerza meramente represiva. El poder no se posee ni se localiza exclusivamente en el Estado o en una institución determinada; circula en redes, se ejerce en prácticas cotidianas y opera de manera capilar.</w:t>
      </w:r>
    </w:p>
    <w:p w14:paraId="7283EB96" w14:textId="3B29A71D" w:rsidR="00DE23BF" w:rsidRPr="00556A8B" w:rsidRDefault="00DE23BF" w:rsidP="00357B2F">
      <w:pPr>
        <w:rPr>
          <w:shd w:val="clear" w:color="auto" w:fill="FFFFFF"/>
        </w:rPr>
      </w:pPr>
      <w:r w:rsidRPr="00556A8B">
        <w:rPr>
          <w:shd w:val="clear" w:color="auto" w:fill="FFFFFF"/>
        </w:rPr>
        <w:t xml:space="preserve">En lugar de concebirlo como una instancia negativa que prohíbe o limita, Foucault </w:t>
      </w:r>
      <w:r w:rsidR="00424FFC" w:rsidRPr="00556A8B">
        <w:rPr>
          <w:shd w:val="clear" w:color="auto" w:fill="FFFFFF"/>
        </w:rPr>
        <w:t xml:space="preserve">(1975) </w:t>
      </w:r>
      <w:r w:rsidRPr="00556A8B">
        <w:rPr>
          <w:shd w:val="clear" w:color="auto" w:fill="FFFFFF"/>
        </w:rPr>
        <w:t xml:space="preserve">propone entenderlo como fuerza productiva: el poder produce realidad, produce objetos de </w:t>
      </w:r>
      <w:r w:rsidRPr="00556A8B">
        <w:rPr>
          <w:shd w:val="clear" w:color="auto" w:fill="FFFFFF"/>
        </w:rPr>
        <w:lastRenderedPageBreak/>
        <w:t>conocimiento y produce sujetos</w:t>
      </w:r>
      <w:r w:rsidR="00424FFC" w:rsidRPr="00556A8B">
        <w:rPr>
          <w:shd w:val="clear" w:color="auto" w:fill="FFFFFF"/>
        </w:rPr>
        <w:t xml:space="preserve">, pues "no hay relación de poder sin constitución correlativa de un campo de saber, ni de saber que no suponga y no constituya al mismo tiempo relaciones de poder" (p. 34), resaltando que el poder, en su forma sutil de control, implica la producción de saberes que legitiman su aplicación y, simultáneamente, que todo saber opera en el marco de relaciones de poder específicas que lo hacen posible. </w:t>
      </w:r>
      <w:r w:rsidRPr="00556A8B">
        <w:rPr>
          <w:shd w:val="clear" w:color="auto" w:fill="FFFFFF"/>
        </w:rPr>
        <w:t>Esta productividad resulta clave para analizar las prácticas en salud mental, pues ellas no se limitan a controlar desviaciones, sino que generan activamente criterios de normalidad, ideales de bienestar y modelos de funcionamiento psíquico deseable. El poder contemporáneo actúa menos mediante la coerción visible y más mediante la conducción de conductas, incentivando formas de autogestión y autorregulación que los sujetos experimentan como ejercicio de libertad.</w:t>
      </w:r>
    </w:p>
    <w:p w14:paraId="49F1C0E5" w14:textId="3D15FCA2" w:rsidR="00DE23BF" w:rsidRPr="00556A8B" w:rsidRDefault="00DE23BF" w:rsidP="00357B2F">
      <w:pPr>
        <w:rPr>
          <w:shd w:val="clear" w:color="auto" w:fill="FFFFFF"/>
        </w:rPr>
      </w:pPr>
      <w:r w:rsidRPr="00556A8B">
        <w:rPr>
          <w:shd w:val="clear" w:color="auto" w:fill="FFFFFF"/>
        </w:rPr>
        <w:t xml:space="preserve">Desde esta perspectiva, la eficacia del poder radica precisamente en su internalización. Los </w:t>
      </w:r>
      <w:r w:rsidR="00C60240">
        <w:rPr>
          <w:shd w:val="clear" w:color="auto" w:fill="FFFFFF"/>
        </w:rPr>
        <w:t>sujeto</w:t>
      </w:r>
      <w:r w:rsidR="00C60240" w:rsidRPr="00556A8B">
        <w:rPr>
          <w:shd w:val="clear" w:color="auto" w:fill="FFFFFF"/>
        </w:rPr>
        <w:t xml:space="preserve">s </w:t>
      </w:r>
      <w:r w:rsidRPr="00556A8B">
        <w:rPr>
          <w:shd w:val="clear" w:color="auto" w:fill="FFFFFF"/>
        </w:rPr>
        <w:t>aprenden a evaluarse, medirse y transformarse según estándares que han asumido como propios. La autorregulación emocional, la gestión del riesgo, el desarrollo de la resiliencia o la optimización del rendimiento no aparecen como imposiciones externas, sino como decisiones responsables orientadas al bienestar. Sin embargo, estas prácticas se inscriben en marcos normativos que delimitan qué formas de vida son valoradas y cuáles requieren corrección.</w:t>
      </w:r>
    </w:p>
    <w:p w14:paraId="5A81DE24" w14:textId="3FE53775" w:rsidR="00DE23BF" w:rsidRPr="00556A8B" w:rsidRDefault="00DE23BF" w:rsidP="00357B2F">
      <w:pPr>
        <w:rPr>
          <w:shd w:val="clear" w:color="auto" w:fill="FFFFFF"/>
        </w:rPr>
      </w:pPr>
      <w:r w:rsidRPr="00556A8B">
        <w:rPr>
          <w:shd w:val="clear" w:color="auto" w:fill="FFFFFF"/>
        </w:rPr>
        <w:t>Esta lógica se profundiza en el concepto de biopoder. Foucault (1976) identifica en la modernidad una transformación fundamental: el paso de un poder soberano centrado en el derecho de hacer morir hacia un poder orientado a “hacer vivir”. La vida</w:t>
      </w:r>
      <w:r w:rsidR="00E2629B" w:rsidRPr="00556A8B">
        <w:rPr>
          <w:shd w:val="clear" w:color="auto" w:fill="FFFFFF"/>
        </w:rPr>
        <w:t xml:space="preserve">, </w:t>
      </w:r>
      <w:r w:rsidRPr="00556A8B">
        <w:rPr>
          <w:shd w:val="clear" w:color="auto" w:fill="FFFFFF"/>
        </w:rPr>
        <w:t>en su dimensión biológica, corporal y poblacional</w:t>
      </w:r>
      <w:r w:rsidR="00E2629B" w:rsidRPr="00556A8B">
        <w:rPr>
          <w:shd w:val="clear" w:color="auto" w:fill="FFFFFF"/>
        </w:rPr>
        <w:t>,</w:t>
      </w:r>
      <w:r w:rsidRPr="00556A8B">
        <w:rPr>
          <w:shd w:val="clear" w:color="auto" w:fill="FFFFFF"/>
        </w:rPr>
        <w:t xml:space="preserve"> se convierte en objeto de gestión, cálculo e intervención sistemática. El poder ya no se ejerce principalmente mediante la amenaza de muerte, sino mediante la administración y optimización de los procesos vitales.</w:t>
      </w:r>
    </w:p>
    <w:p w14:paraId="1426B014" w14:textId="65084E65" w:rsidR="00CD0F96" w:rsidRPr="00556A8B" w:rsidRDefault="00DE23BF" w:rsidP="00CD0F96">
      <w:pPr>
        <w:rPr>
          <w:shd w:val="clear" w:color="auto" w:fill="FFFFFF"/>
        </w:rPr>
      </w:pPr>
      <w:r w:rsidRPr="00556A8B">
        <w:rPr>
          <w:shd w:val="clear" w:color="auto" w:fill="FFFFFF"/>
        </w:rPr>
        <w:t xml:space="preserve">El biopoder opera en una doble dimensión. </w:t>
      </w:r>
      <w:r w:rsidR="00CD0F96" w:rsidRPr="00556A8B">
        <w:rPr>
          <w:rFonts w:cs="Times New Roman"/>
        </w:rPr>
        <w:t xml:space="preserve">Para Foucault (1976), el biopoder implica una internalización de las normas que no funcionan desde el disciplinamiento externo exclusivamente, sino desde formas de control que buscan que el sujeto sea él mismo quien se vigile, regule y optimice según criterios de funcionalidad y rendimiento. </w:t>
      </w:r>
      <w:r w:rsidRPr="00556A8B">
        <w:rPr>
          <w:shd w:val="clear" w:color="auto" w:fill="FFFFFF"/>
        </w:rPr>
        <w:t>Por un lado, mediante técnicas disciplinarias dirigidas al cuerpo individual</w:t>
      </w:r>
      <w:r w:rsidR="00E2629B" w:rsidRPr="00556A8B">
        <w:rPr>
          <w:shd w:val="clear" w:color="auto" w:fill="FFFFFF"/>
        </w:rPr>
        <w:t xml:space="preserve">, </w:t>
      </w:r>
      <w:r w:rsidRPr="00556A8B">
        <w:rPr>
          <w:shd w:val="clear" w:color="auto" w:fill="FFFFFF"/>
        </w:rPr>
        <w:t>lo que Foucault</w:t>
      </w:r>
      <w:r w:rsidR="00CD0F96" w:rsidRPr="00556A8B">
        <w:rPr>
          <w:shd w:val="clear" w:color="auto" w:fill="FFFFFF"/>
        </w:rPr>
        <w:t xml:space="preserve"> (1975) </w:t>
      </w:r>
      <w:r w:rsidRPr="00556A8B">
        <w:rPr>
          <w:shd w:val="clear" w:color="auto" w:fill="FFFFFF"/>
        </w:rPr>
        <w:t>denomina anatomopolítica</w:t>
      </w:r>
      <w:r w:rsidR="00E2629B" w:rsidRPr="00556A8B">
        <w:rPr>
          <w:shd w:val="clear" w:color="auto" w:fill="FFFFFF"/>
        </w:rPr>
        <w:t>,</w:t>
      </w:r>
      <w:r w:rsidRPr="00556A8B">
        <w:rPr>
          <w:shd w:val="clear" w:color="auto" w:fill="FFFFFF"/>
        </w:rPr>
        <w:t xml:space="preserve"> que buscan producir cuerpos útiles, funcionales y dóciles. Estas técnicas actúan sobre los detalles: el uso del tiempo, el control de los movimientos, la regulación de hábitos, la vigilancia constante. Por otro lado, mediante la biopolítica, orientada a la regulación de las poblaciones a través de estadísticas, políticas de salud pública, programas de prevención y </w:t>
      </w:r>
      <w:r w:rsidRPr="00556A8B">
        <w:rPr>
          <w:shd w:val="clear" w:color="auto" w:fill="FFFFFF"/>
        </w:rPr>
        <w:lastRenderedPageBreak/>
        <w:t>gestión del riesgo. Aquí la población se convierte en objeto de cálculo, intervención y optimización.</w:t>
      </w:r>
    </w:p>
    <w:p w14:paraId="6C49A80C" w14:textId="510340AA" w:rsidR="00CD0F96" w:rsidRPr="00556A8B" w:rsidRDefault="00CD0F96" w:rsidP="00CD0F96">
      <w:pPr>
        <w:rPr>
          <w:shd w:val="clear" w:color="auto" w:fill="FFFFFF"/>
        </w:rPr>
      </w:pPr>
      <w:r w:rsidRPr="00556A8B">
        <w:rPr>
          <w:shd w:val="clear" w:color="auto" w:fill="FFFFFF"/>
        </w:rPr>
        <w:t>Para Foucault (1875), la anatomopolítica es una tecnología de poder responsable de la individualización de los cuerpos mediante métodos específicos que los ubican en espacios arquitectónicos preparados para la vigilancia, regidos por reglamentos y programas que modifican técnicamente a las personas. En otras palabras, su interés radica en el cuerpo individual como objeto de control, docilización y optimización productiva.</w:t>
      </w:r>
    </w:p>
    <w:p w14:paraId="11EE3057" w14:textId="77777777" w:rsidR="00CD0F96" w:rsidRPr="00556A8B" w:rsidRDefault="00CD0F96" w:rsidP="00CD0F96">
      <w:pPr>
        <w:rPr>
          <w:shd w:val="clear" w:color="auto" w:fill="FFFFFF"/>
        </w:rPr>
      </w:pPr>
      <w:r w:rsidRPr="00556A8B">
        <w:rPr>
          <w:shd w:val="clear" w:color="auto" w:fill="FFFFFF"/>
        </w:rPr>
        <w:t>Bajo esta conceptualización, la anatomopolítica busca producir cuerpos útiles y dóciles que respondan a las demandas disciplinares mediante técnicas que operan sobre el cuerpo en sus detalles: cómo se mueve, cómo se posiciona en el espacio, cómo utiliza el tiempo, cómo ejecuta operaciones específicas. Como señala Foucault (1975)</w:t>
      </w:r>
    </w:p>
    <w:p w14:paraId="191148DE" w14:textId="52C88FDA" w:rsidR="00CD0F96" w:rsidRPr="00556A8B" w:rsidRDefault="00CD0F96" w:rsidP="00CD0F96">
      <w:pPr>
        <w:ind w:left="709" w:firstLine="0"/>
        <w:rPr>
          <w:shd w:val="clear" w:color="auto" w:fill="FFFFFF"/>
        </w:rPr>
      </w:pPr>
      <w:r w:rsidRPr="00556A8B">
        <w:rPr>
          <w:shd w:val="clear" w:color="auto" w:fill="FFFFFF"/>
        </w:rPr>
        <w:t>el cuerpo humano entra en un mecanismo de poder que lo explora, lo desarticula y lo recompone. Una 'anatomía política', que es también igualmente una 'mecánica del poder', está naciendo; define cómo se puede tener dominio sobre el cuerpo de los demás, no simplemente para que hagan lo que se quiere, sino para que operen como se quiere, con las técnicas, según la rapidez y la eficacia que se determina. (p. 166)</w:t>
      </w:r>
    </w:p>
    <w:p w14:paraId="3C03D8F6" w14:textId="77777777" w:rsidR="00DE23BF" w:rsidRPr="00556A8B" w:rsidRDefault="00DE23BF" w:rsidP="00357B2F">
      <w:pPr>
        <w:rPr>
          <w:shd w:val="clear" w:color="auto" w:fill="FFFFFF"/>
        </w:rPr>
      </w:pPr>
      <w:r w:rsidRPr="00556A8B">
        <w:rPr>
          <w:shd w:val="clear" w:color="auto" w:fill="FFFFFF"/>
        </w:rPr>
        <w:t>Ambas dimensiones no son independientes, sino complementarias. Las técnicas que actúan sobre los cuerpos individuales se articulan con políticas que regulan procesos colectivos, produciendo un campo integrado de gobierno de la vida. En este entramado, la salud mental ocupa un lugar estratégico: no solo como asunto clínico individual, sino como problema poblacional vinculado a productividad, adaptación y estabilidad social.</w:t>
      </w:r>
    </w:p>
    <w:p w14:paraId="7AA72FE1" w14:textId="77777777" w:rsidR="00DE23BF" w:rsidRPr="00556A8B" w:rsidRDefault="00DE23BF" w:rsidP="00357B2F">
      <w:pPr>
        <w:rPr>
          <w:shd w:val="clear" w:color="auto" w:fill="FFFFFF"/>
        </w:rPr>
      </w:pPr>
      <w:r w:rsidRPr="00556A8B">
        <w:rPr>
          <w:shd w:val="clear" w:color="auto" w:fill="FFFFFF"/>
        </w:rPr>
        <w:t>En este marco, la microfísica del poder permite comprender cómo estas dinámicas se inscriben en lo cotidiano. El poder no actúa únicamente a través de grandes instituciones, sino mediante prácticas aparentemente menores: evaluaciones, diagnósticos, orientaciones terapéuticas, discursos sobre bienestar, recomendaciones de autocuidado. Estas prácticas configuran gradualmente modos de sentir, pensar y actuar que se alinean con criterios de normalidad y funcionalidad.</w:t>
      </w:r>
    </w:p>
    <w:p w14:paraId="7AE4B4C2" w14:textId="77777777" w:rsidR="00DE23BF" w:rsidRPr="00556A8B" w:rsidRDefault="00DE23BF" w:rsidP="00357B2F">
      <w:pPr>
        <w:rPr>
          <w:shd w:val="clear" w:color="auto" w:fill="FFFFFF"/>
        </w:rPr>
      </w:pPr>
      <w:r w:rsidRPr="00556A8B">
        <w:rPr>
          <w:shd w:val="clear" w:color="auto" w:fill="FFFFFF"/>
        </w:rPr>
        <w:t xml:space="preserve">Así, el gobierno de la vida no se reduce al ámbito biológico, sino que se extiende a la interioridad psicológica. La gestión de emociones, la regulación del deseo, la optimización del rendimiento mental y la búsqueda permanente de bienestar forman parte de una racionalidad que </w:t>
      </w:r>
      <w:r w:rsidRPr="00556A8B">
        <w:rPr>
          <w:shd w:val="clear" w:color="auto" w:fill="FFFFFF"/>
        </w:rPr>
        <w:lastRenderedPageBreak/>
        <w:t>convierte la vida misma en objeto de intervención. El sujeto es llamado a convertirse en gestor activo de su propia salud, responsable de maximizar su potencial y minimizar sus riesgos.</w:t>
      </w:r>
    </w:p>
    <w:p w14:paraId="32F77794" w14:textId="77777777" w:rsidR="00DE23BF" w:rsidRPr="00556A8B" w:rsidRDefault="00DE23BF" w:rsidP="00357B2F">
      <w:pPr>
        <w:rPr>
          <w:shd w:val="clear" w:color="auto" w:fill="FFFFFF"/>
        </w:rPr>
      </w:pPr>
      <w:r w:rsidRPr="00556A8B">
        <w:rPr>
          <w:shd w:val="clear" w:color="auto" w:fill="FFFFFF"/>
        </w:rPr>
        <w:t>En consecuencia, el biopoder no debe entenderse como mecanismo homogéneo o totalmente cerrado. Se trata de un campo de fuerzas históricamente situado, en permanente transformación, que produce formas específicas de subjetividad al tiempo que delimita los márgenes de lo posible. Analizar las prácticas discursivas en salud mental desde esta perspectiva permite comprender que la producción de “subjetividades saludables” no es un fenómeno meramente descriptivo, sino un efecto de relaciones entre saber, poder y gobierno de la vida que configuran lo que, en un momento histórico determinado, puede ser considerado normal, funcional y deseable.</w:t>
      </w:r>
    </w:p>
    <w:p w14:paraId="1ECCC53A" w14:textId="77777777" w:rsidR="000E5B14" w:rsidRPr="00556A8B" w:rsidRDefault="000E5B14" w:rsidP="00357B2F">
      <w:pPr>
        <w:rPr>
          <w:rFonts w:cs="Times New Roman"/>
          <w:shd w:val="clear" w:color="auto" w:fill="FFFFFF"/>
        </w:rPr>
      </w:pPr>
    </w:p>
    <w:p w14:paraId="0380743B" w14:textId="6C30A5CB" w:rsidR="00DE23BF" w:rsidRPr="00556A8B" w:rsidRDefault="00DE23BF" w:rsidP="00CD0F96">
      <w:pPr>
        <w:pStyle w:val="Ttulo3"/>
        <w:numPr>
          <w:ilvl w:val="2"/>
          <w:numId w:val="6"/>
        </w:numPr>
        <w:spacing w:line="360" w:lineRule="auto"/>
      </w:pPr>
      <w:bookmarkStart w:id="67" w:name="_Toc232580592"/>
      <w:r w:rsidRPr="00556A8B">
        <w:t>Gubernamentalidad</w:t>
      </w:r>
      <w:bookmarkEnd w:id="67"/>
    </w:p>
    <w:p w14:paraId="71F7BF17" w14:textId="77777777" w:rsidR="00DE23BF" w:rsidRPr="00556A8B" w:rsidRDefault="00DE23BF" w:rsidP="00357B2F">
      <w:pPr>
        <w:rPr>
          <w:rFonts w:cs="Times New Roman"/>
          <w:bCs/>
        </w:rPr>
      </w:pPr>
      <w:r w:rsidRPr="00556A8B">
        <w:rPr>
          <w:rFonts w:cs="Times New Roman"/>
          <w:bCs/>
        </w:rPr>
        <w:t>Tras examinar el biopoder y sus modalidades de operación, resulta necesario analizar la racionalidad política que articula las distintas tecnologías de poder que atraviesan la vida contemporánea. El concepto de gubernamentalidad, desarrollado por Foucault en sus cursos del Collège de France, permite comprender cómo se integran saber, poder y subjetividad en una lógica específica de conducción de conductas.</w:t>
      </w:r>
    </w:p>
    <w:p w14:paraId="486AD662" w14:textId="0F899DEF" w:rsidR="00DE23BF" w:rsidRPr="00556A8B" w:rsidRDefault="00DE23BF" w:rsidP="00357B2F">
      <w:pPr>
        <w:rPr>
          <w:rFonts w:cs="Times New Roman"/>
          <w:bCs/>
        </w:rPr>
      </w:pPr>
      <w:r w:rsidRPr="00556A8B">
        <w:rPr>
          <w:rFonts w:cs="Times New Roman"/>
          <w:bCs/>
        </w:rPr>
        <w:t xml:space="preserve">Foucault (2006) define la gubernamentalidad como el conjunto de instituciones, procedimientos, análisis, cálculos y tácticas que hacen posible ejercer una forma particular de poder orientada al gobierno de los hombres. Este concepto desplaza la idea de gobierno como simple administración estatal o ejercicio soberano, para situarlo como una racionalidad política que organiza el campo de acción de los sujetos. Gobernar, en este sentido, no significa únicamente mandar o prohibir, sino estructurar las posibilidades dentro de las cuales los </w:t>
      </w:r>
      <w:r w:rsidR="00C60240">
        <w:rPr>
          <w:rFonts w:cs="Times New Roman"/>
          <w:bCs/>
        </w:rPr>
        <w:t>sujet</w:t>
      </w:r>
      <w:r w:rsidR="00C60240" w:rsidRPr="00556A8B">
        <w:rPr>
          <w:rFonts w:cs="Times New Roman"/>
          <w:bCs/>
        </w:rPr>
        <w:t xml:space="preserve">os </w:t>
      </w:r>
      <w:r w:rsidRPr="00556A8B">
        <w:rPr>
          <w:rFonts w:cs="Times New Roman"/>
          <w:bCs/>
        </w:rPr>
        <w:t>actúan.</w:t>
      </w:r>
    </w:p>
    <w:p w14:paraId="45AF3F59" w14:textId="31B69307" w:rsidR="00DE23BF" w:rsidRPr="00556A8B" w:rsidRDefault="00DE23BF" w:rsidP="00357B2F">
      <w:pPr>
        <w:rPr>
          <w:rFonts w:cs="Times New Roman"/>
          <w:bCs/>
        </w:rPr>
      </w:pPr>
      <w:r w:rsidRPr="00556A8B">
        <w:rPr>
          <w:rFonts w:cs="Times New Roman"/>
          <w:bCs/>
        </w:rPr>
        <w:t xml:space="preserve">La gubernamentalidad designa, entonces, una forma de poder que opera a través de la libertad. No se trata de suprimir la autonomía del sujeto, sino de producirla bajo determinadas condiciones. </w:t>
      </w:r>
      <w:r w:rsidR="00C83126" w:rsidRPr="00556A8B">
        <w:rPr>
          <w:rFonts w:cs="Times New Roman"/>
          <w:bCs/>
        </w:rPr>
        <w:t xml:space="preserve">Esta producción tiene consecuencias subjetivas que Illouz (2007) describe con precisión: cuando el malestar es traducido al lenguaje de la gestión individual, el sufrimiento pierde su dimensión política y se reinscribe como déficit personal. El sujeto que no logra regularse emocionalmente o que no sostiene su rendimiento no lee su experiencia como efecto de condiciones estructurales, sino como evidencia de su propia insuficiencia. La culpa y la </w:t>
      </w:r>
      <w:r w:rsidR="00C83126" w:rsidRPr="00556A8B">
        <w:rPr>
          <w:rFonts w:cs="Times New Roman"/>
          <w:bCs/>
        </w:rPr>
        <w:lastRenderedPageBreak/>
        <w:t>autoexigencia emergen así no como fallas del mecanismo del autogobierno, sino como sus productos más consistentes.</w:t>
      </w:r>
    </w:p>
    <w:p w14:paraId="6F1E19B0" w14:textId="77777777" w:rsidR="00DE23BF" w:rsidRPr="00556A8B" w:rsidRDefault="00DE23BF" w:rsidP="00357B2F">
      <w:pPr>
        <w:rPr>
          <w:rFonts w:cs="Times New Roman"/>
          <w:bCs/>
        </w:rPr>
      </w:pPr>
      <w:r w:rsidRPr="00556A8B">
        <w:rPr>
          <w:rFonts w:cs="Times New Roman"/>
          <w:bCs/>
        </w:rPr>
        <w:t>Desde esta perspectiva, la gubernamentalidad puede entenderse como racionalidad estratégica que articula saberes, prácticas e instituciones con el fin de conducir conductas. Dean (2010) la define como el modo en que la conducta de los seres humanos es dirigida tanto por otros como por ellos mismos, subrayando que el gobierno no se limita al ámbito estatal, sino que atraviesa múltiples esferas: la familia, la escuela, la clínica, el trabajo, los discursos expertos y las prácticas cotidianas. La gubernamentalidad no impone directamente; configura el horizonte de lo posible, orientando a los sujetos a elegir aquello que aparece como razonable, saludable o responsable.</w:t>
      </w:r>
    </w:p>
    <w:p w14:paraId="70CC6567" w14:textId="20001B44" w:rsidR="00DE23BF" w:rsidRPr="00556A8B" w:rsidRDefault="00DE23BF" w:rsidP="00357B2F">
      <w:pPr>
        <w:rPr>
          <w:rFonts w:cs="Times New Roman"/>
          <w:bCs/>
        </w:rPr>
      </w:pPr>
      <w:r w:rsidRPr="00556A8B">
        <w:rPr>
          <w:rFonts w:cs="Times New Roman"/>
          <w:bCs/>
        </w:rPr>
        <w:t>En este marco, los saberes científicos</w:t>
      </w:r>
      <w:r w:rsidR="00E2629B" w:rsidRPr="00556A8B">
        <w:rPr>
          <w:rFonts w:cs="Times New Roman"/>
          <w:bCs/>
        </w:rPr>
        <w:t xml:space="preserve">, </w:t>
      </w:r>
      <w:r w:rsidRPr="00556A8B">
        <w:rPr>
          <w:rFonts w:cs="Times New Roman"/>
          <w:bCs/>
        </w:rPr>
        <w:t>y particularmente las psicociencias</w:t>
      </w:r>
      <w:r w:rsidR="00E2629B" w:rsidRPr="00556A8B">
        <w:rPr>
          <w:rFonts w:cs="Times New Roman"/>
          <w:bCs/>
        </w:rPr>
        <w:t xml:space="preserve">, </w:t>
      </w:r>
      <w:r w:rsidRPr="00556A8B">
        <w:rPr>
          <w:rFonts w:cs="Times New Roman"/>
          <w:bCs/>
        </w:rPr>
        <w:t>desempeñan un papel central. Como advierte Castel (1997), la producción de categorías diagnósticas y marcos normativos no solo delimita lo patológico y lo saludable, sino que instala criterios de intervención que invitan al sujeto a corregir, prevenir o gestionar sus propios desajustes. El discurso psicológico no actúa únicamente desde la autoridad externa del experto; se infiltra en la vida cotidiana mediante prácticas de autoevaluación, técnicas de optimización personal, discursos de bienestar y dispositivos de autorregulación. De este modo, la gubernamentalidad se materializa en formas de subjetividad que internalizan la norma y la convierten en proyecto personal.</w:t>
      </w:r>
    </w:p>
    <w:p w14:paraId="6C5B12FB" w14:textId="77777777" w:rsidR="00DE23BF" w:rsidRPr="00556A8B" w:rsidRDefault="00DE23BF" w:rsidP="00357B2F">
      <w:pPr>
        <w:rPr>
          <w:rFonts w:cs="Times New Roman"/>
          <w:bCs/>
        </w:rPr>
      </w:pPr>
      <w:r w:rsidRPr="00556A8B">
        <w:rPr>
          <w:rFonts w:cs="Times New Roman"/>
          <w:bCs/>
        </w:rPr>
        <w:t>Lemke (2017) subraya que la gubernamentalidad no debe entenderse como estructura cerrada, sino como perspectiva analítica que permite examinar la multiplicidad y contingencia de las estrategias de poder. Esto implica reconocer que no se trata de un sistema total que determina absolutamente a los sujetos, sino de un campo dinámico donde se articulan tecnologías de gobierno y posibilidades de resistencia. Sin embargo, en el contexto contemporáneo, estas tecnologías adquieren una configuración particular asociada a las racionalidades neoliberales.</w:t>
      </w:r>
    </w:p>
    <w:p w14:paraId="7CF41D0B" w14:textId="2D7C8D74" w:rsidR="00DE23BF" w:rsidRPr="00556A8B" w:rsidRDefault="00DE23BF" w:rsidP="00357B2F">
      <w:pPr>
        <w:rPr>
          <w:rFonts w:cs="Times New Roman"/>
          <w:bCs/>
        </w:rPr>
      </w:pPr>
      <w:r w:rsidRPr="00556A8B">
        <w:rPr>
          <w:rFonts w:cs="Times New Roman"/>
          <w:bCs/>
        </w:rPr>
        <w:t xml:space="preserve">En las sociedades neoliberales, la gubernamentalidad opera mediante la producción de sujetos que se comprenden a sí mismos como capital humano. El </w:t>
      </w:r>
      <w:r w:rsidR="00C60240">
        <w:rPr>
          <w:rFonts w:cs="Times New Roman"/>
          <w:bCs/>
        </w:rPr>
        <w:t>sujet</w:t>
      </w:r>
      <w:r w:rsidR="00C60240" w:rsidRPr="00556A8B">
        <w:rPr>
          <w:rFonts w:cs="Times New Roman"/>
          <w:bCs/>
        </w:rPr>
        <w:t xml:space="preserve">o </w:t>
      </w:r>
      <w:r w:rsidRPr="00556A8B">
        <w:rPr>
          <w:rFonts w:cs="Times New Roman"/>
          <w:bCs/>
        </w:rPr>
        <w:t xml:space="preserve">es interpelado como empresario de sí, responsable de invertir en su formación, gestionar sus emociones, optimizar su rendimiento y maximizar su bienestar. La libertad no desaparece; se convierte en obligación. La autonomía se transforma en exigencia permanente de automejoramiento. Como plantea Rose </w:t>
      </w:r>
      <w:r w:rsidRPr="00556A8B">
        <w:rPr>
          <w:rFonts w:cs="Times New Roman"/>
          <w:bCs/>
        </w:rPr>
        <w:lastRenderedPageBreak/>
        <w:t>(1999), el gobierno neoliberal actúa configurando sujetos activos y responsables que asumen como tarea propia la gestión de su salud mental, su estabilidad emocional y su productividad.</w:t>
      </w:r>
    </w:p>
    <w:p w14:paraId="3C0B248F" w14:textId="77777777" w:rsidR="00DE23BF" w:rsidRPr="00556A8B" w:rsidRDefault="00DE23BF" w:rsidP="00357B2F">
      <w:pPr>
        <w:rPr>
          <w:rFonts w:cs="Times New Roman"/>
          <w:bCs/>
        </w:rPr>
      </w:pPr>
      <w:r w:rsidRPr="00556A8B">
        <w:rPr>
          <w:rFonts w:cs="Times New Roman"/>
          <w:bCs/>
        </w:rPr>
        <w:t>En este contexto, la salud mental deja de ser únicamente un asunto clínico para convertirse en dimensión estratégica del gobierno de la vida. Las prácticas discursivas que promueven el autocuidado, la resiliencia, la inteligencia emocional o la autorregulación no solo ofrecen herramientas terapéuticas, sino que configuran un ideal de sujeto saludable: autónomo, adaptable, funcional y capaz de gestionar sus propios riesgos. Así, la gubernamentalidad contemporánea articula biopoder, saber psicológico y racionalidad neoliberal en una lógica que convierte la subjetividad en espacio privilegiado de intervención.</w:t>
      </w:r>
    </w:p>
    <w:p w14:paraId="12865BA4" w14:textId="77777777" w:rsidR="00DE23BF" w:rsidRPr="00556A8B" w:rsidRDefault="00DE23BF" w:rsidP="00357B2F">
      <w:pPr>
        <w:rPr>
          <w:rFonts w:cs="Times New Roman"/>
          <w:bCs/>
        </w:rPr>
      </w:pPr>
      <w:r w:rsidRPr="00556A8B">
        <w:rPr>
          <w:rFonts w:cs="Times New Roman"/>
          <w:bCs/>
        </w:rPr>
        <w:t>Analizar la salud mental desde esta perspectiva permite comprender que la producción de subjetividades saludables no es un fenómeno espontáneo ni exclusivamente clínico, sino el efecto de una racionalidad de gobierno que organiza la vida a través de la libertad regulada. La gubernamentalidad muestra cómo los sujetos son conducidos a desear su propia normalización, a asumir como proyecto personal aquello que responde a exigencias históricas específicas de funcionalidad, adaptación y rendimiento.</w:t>
      </w:r>
    </w:p>
    <w:p w14:paraId="3ECB316D" w14:textId="77777777" w:rsidR="000E5B14" w:rsidRPr="00556A8B" w:rsidRDefault="000E5B14" w:rsidP="00CD0F96">
      <w:pPr>
        <w:pStyle w:val="Ttulo3"/>
        <w:spacing w:line="360" w:lineRule="auto"/>
      </w:pPr>
    </w:p>
    <w:p w14:paraId="71B23927" w14:textId="4AF12B1D" w:rsidR="00DE23BF" w:rsidRPr="00556A8B" w:rsidRDefault="009A7B04" w:rsidP="00CD0F96">
      <w:pPr>
        <w:pStyle w:val="Ttulo3"/>
        <w:numPr>
          <w:ilvl w:val="2"/>
          <w:numId w:val="6"/>
        </w:numPr>
        <w:spacing w:line="360" w:lineRule="auto"/>
      </w:pPr>
      <w:bookmarkStart w:id="68" w:name="_Toc232580593"/>
      <w:r>
        <w:t>Técnicas de sí</w:t>
      </w:r>
      <w:bookmarkEnd w:id="68"/>
    </w:p>
    <w:p w14:paraId="5D47711F" w14:textId="753F544C" w:rsidR="00DE23BF" w:rsidRPr="00556A8B" w:rsidRDefault="00DE23BF" w:rsidP="00357B2F">
      <w:pPr>
        <w:rPr>
          <w:rFonts w:cs="Times New Roman"/>
          <w:bCs/>
        </w:rPr>
      </w:pPr>
      <w:r w:rsidRPr="00556A8B">
        <w:rPr>
          <w:rFonts w:cs="Times New Roman"/>
          <w:bCs/>
        </w:rPr>
        <w:t>Tras haber analizado las formas en que el poder se articula con el saber para gobernar la vida, resulta necesario examinar las prácticas específicas mediante las cuales los sujetos participan activamente en su propia constitución. El concepto de t</w:t>
      </w:r>
      <w:r w:rsidR="00D5744D">
        <w:rPr>
          <w:rFonts w:cs="Times New Roman"/>
          <w:bCs/>
        </w:rPr>
        <w:t>énicas de si</w:t>
      </w:r>
      <w:r w:rsidRPr="00556A8B">
        <w:rPr>
          <w:rFonts w:cs="Times New Roman"/>
          <w:bCs/>
        </w:rPr>
        <w:t xml:space="preserve">, desarrollado por Foucault, permite comprender cómo el ejercicio del poder no solo opera desde instancias externas, sino también a través del trabajo que los </w:t>
      </w:r>
      <w:r w:rsidR="00B6329F">
        <w:rPr>
          <w:rFonts w:cs="Times New Roman"/>
          <w:bCs/>
        </w:rPr>
        <w:t>sujet</w:t>
      </w:r>
      <w:r w:rsidR="00B6329F" w:rsidRPr="00556A8B">
        <w:rPr>
          <w:rFonts w:cs="Times New Roman"/>
          <w:bCs/>
        </w:rPr>
        <w:t xml:space="preserve">os </w:t>
      </w:r>
      <w:r w:rsidRPr="00556A8B">
        <w:rPr>
          <w:rFonts w:cs="Times New Roman"/>
          <w:bCs/>
        </w:rPr>
        <w:t>realizan sobre sí mismos.</w:t>
      </w:r>
    </w:p>
    <w:p w14:paraId="18CB9818" w14:textId="1991D71B" w:rsidR="00DE23BF" w:rsidRPr="00556A8B" w:rsidRDefault="00DE23BF" w:rsidP="00357B2F">
      <w:pPr>
        <w:rPr>
          <w:rFonts w:cs="Times New Roman"/>
          <w:bCs/>
        </w:rPr>
      </w:pPr>
      <w:r w:rsidRPr="00556A8B">
        <w:rPr>
          <w:rFonts w:cs="Times New Roman"/>
          <w:bCs/>
        </w:rPr>
        <w:t xml:space="preserve">Foucault (1990) define las </w:t>
      </w:r>
      <w:r w:rsidR="009A7B04">
        <w:rPr>
          <w:rFonts w:cs="Times New Roman"/>
          <w:bCs/>
        </w:rPr>
        <w:t>prácticas de sí</w:t>
      </w:r>
      <w:r w:rsidRPr="00556A8B">
        <w:rPr>
          <w:rFonts w:cs="Times New Roman"/>
          <w:bCs/>
        </w:rPr>
        <w:t xml:space="preserve"> como aquellos procedimientos que permiten a los individuos efectuar, por cuenta propia o con ayuda de otros, operaciones sobre su cuerpo, su alma, sus pensamientos y su conducta, con el fin de transformarse y alcanzar estados considerados deseables. Esta definición muestra que no se trata de prácticas puramente íntimas o espontáneas, sino de técnicas históricamente situadas que se inscriben en marcos normativos específicos. El trabajo sobre sí mismo siempre está orientado por ideales de vida buena, normal, saludable o funcional que emergen en determinados regímenes de verdad.</w:t>
      </w:r>
    </w:p>
    <w:p w14:paraId="55967E6D" w14:textId="63DAFBA3" w:rsidR="00DE23BF" w:rsidRPr="00556A8B" w:rsidRDefault="00DE23BF" w:rsidP="00357B2F">
      <w:pPr>
        <w:rPr>
          <w:rFonts w:cs="Times New Roman"/>
          <w:bCs/>
        </w:rPr>
      </w:pPr>
      <w:r w:rsidRPr="00556A8B">
        <w:rPr>
          <w:rFonts w:cs="Times New Roman"/>
          <w:bCs/>
        </w:rPr>
        <w:t xml:space="preserve">En este sentido, el autoconocimiento y el autogobierno no pueden entenderse como expresiones naturales de una interioridad autónoma, sino como efectos de racionalidades políticas </w:t>
      </w:r>
      <w:r w:rsidRPr="00556A8B">
        <w:rPr>
          <w:rFonts w:cs="Times New Roman"/>
          <w:bCs/>
        </w:rPr>
        <w:lastRenderedPageBreak/>
        <w:t>que estructuran la manera en que el sujeto debe comprenderse. El imperativo de “conocerse a sí mismo” implica adoptar lenguajes, categorías y esquemas interpretativos que provienen de discursos expertos</w:t>
      </w:r>
      <w:r w:rsidR="004F3849" w:rsidRPr="00556A8B">
        <w:rPr>
          <w:rFonts w:cs="Times New Roman"/>
          <w:bCs/>
        </w:rPr>
        <w:t xml:space="preserve">, </w:t>
      </w:r>
      <w:r w:rsidRPr="00556A8B">
        <w:rPr>
          <w:rFonts w:cs="Times New Roman"/>
          <w:bCs/>
        </w:rPr>
        <w:t>psicológicos, terapéuticos, educativos</w:t>
      </w:r>
      <w:r w:rsidR="004F3849" w:rsidRPr="00556A8B">
        <w:rPr>
          <w:rFonts w:cs="Times New Roman"/>
          <w:bCs/>
        </w:rPr>
        <w:t>,</w:t>
      </w:r>
      <w:r w:rsidRPr="00556A8B">
        <w:rPr>
          <w:rFonts w:cs="Times New Roman"/>
          <w:bCs/>
        </w:rPr>
        <w:t xml:space="preserve"> y que delimitan qué experiencias son legítimas y cómo deben ser gestionadas. El autogobierno, por su parte, supone conducirse conforme a principios que no son dados por naturaleza, sino construidos históricamente y experimentados como elecciones propias (Foucault, 2008).</w:t>
      </w:r>
    </w:p>
    <w:p w14:paraId="097CEDCC" w14:textId="44176572" w:rsidR="00DE23BF" w:rsidRPr="00556A8B" w:rsidRDefault="00DE23BF" w:rsidP="00357B2F">
      <w:pPr>
        <w:rPr>
          <w:rFonts w:cs="Times New Roman"/>
          <w:bCs/>
        </w:rPr>
      </w:pPr>
      <w:r w:rsidRPr="00556A8B">
        <w:rPr>
          <w:rFonts w:cs="Times New Roman"/>
          <w:bCs/>
        </w:rPr>
        <w:t xml:space="preserve">De este modo, las </w:t>
      </w:r>
      <w:r w:rsidR="009A7B04">
        <w:rPr>
          <w:rFonts w:cs="Times New Roman"/>
          <w:bCs/>
        </w:rPr>
        <w:t>Técnicas de sí</w:t>
      </w:r>
      <w:r w:rsidRPr="00556A8B">
        <w:rPr>
          <w:rFonts w:cs="Times New Roman"/>
          <w:bCs/>
        </w:rPr>
        <w:t xml:space="preserve"> operan como mecanismos de interiorización normativa. No imponen de manera coercitiva un modelo de subjetividad; más bien, ofrecen herramientas de transformación personal que prometen bienestar, felicidad o realización. Como señala Rose (1999), las sociedades contemporáneas han desarrollado un vasto repertorio de técnicas psicológicas</w:t>
      </w:r>
      <w:r w:rsidR="00E2629B" w:rsidRPr="00556A8B">
        <w:rPr>
          <w:rFonts w:cs="Times New Roman"/>
          <w:bCs/>
        </w:rPr>
        <w:t xml:space="preserve">, </w:t>
      </w:r>
      <w:r w:rsidRPr="00556A8B">
        <w:rPr>
          <w:rFonts w:cs="Times New Roman"/>
          <w:bCs/>
        </w:rPr>
        <w:t>psicoterapia, coaching, programas de autoayuda, dispositivos de evaluación emocional</w:t>
      </w:r>
      <w:r w:rsidR="00E2629B" w:rsidRPr="00556A8B">
        <w:rPr>
          <w:rFonts w:cs="Times New Roman"/>
          <w:bCs/>
        </w:rPr>
        <w:t>,</w:t>
      </w:r>
      <w:r w:rsidRPr="00556A8B">
        <w:rPr>
          <w:rFonts w:cs="Times New Roman"/>
          <w:bCs/>
        </w:rPr>
        <w:t xml:space="preserve"> que invitan al individuo a trabajarse a sí mismo de forma permanente. Estas prácticas configuran una ética de la autonomía en la que el sujeto es responsable de gestionar sus emociones, optimizar su rendimiento y mantener su equilibrio psíquico.</w:t>
      </w:r>
    </w:p>
    <w:p w14:paraId="18BB688E" w14:textId="5DBBD0C9" w:rsidR="00DE23BF" w:rsidRPr="00556A8B" w:rsidRDefault="00DE23BF" w:rsidP="00357B2F">
      <w:pPr>
        <w:rPr>
          <w:rFonts w:cs="Times New Roman"/>
          <w:bCs/>
        </w:rPr>
      </w:pPr>
      <w:r w:rsidRPr="00556A8B">
        <w:rPr>
          <w:rFonts w:cs="Times New Roman"/>
          <w:bCs/>
        </w:rPr>
        <w:t>Si bien el trabajo sobre sí tiene una larga genealogía</w:t>
      </w:r>
      <w:r w:rsidR="00E2629B" w:rsidRPr="00556A8B">
        <w:rPr>
          <w:rFonts w:cs="Times New Roman"/>
          <w:bCs/>
        </w:rPr>
        <w:t xml:space="preserve">, </w:t>
      </w:r>
      <w:r w:rsidRPr="00556A8B">
        <w:rPr>
          <w:rFonts w:cs="Times New Roman"/>
          <w:bCs/>
        </w:rPr>
        <w:t>desde los ejercicios espirituales de la Antigüedad grecorromana hasta las prácticas contemporáneas de desarrollo personal (Hadot, 1995), en la actualidad estas tecnologías se inscriben en marcos gubernamentales distintos. Ya no se orientan prioritariamente hacia la sabiduría o la virtud ética, sino hacia la adaptabilidad, la eficiencia y la optimización del yo como capital humano. El cuidado de sí se transforma progresivamente en gestión estratégica de la propia vida.</w:t>
      </w:r>
    </w:p>
    <w:p w14:paraId="68A6C0F6" w14:textId="7DF8086D" w:rsidR="00DE23BF" w:rsidRPr="00556A8B" w:rsidRDefault="00DE23BF" w:rsidP="00357B2F">
      <w:pPr>
        <w:rPr>
          <w:rFonts w:cs="Times New Roman"/>
          <w:bCs/>
        </w:rPr>
      </w:pPr>
      <w:r w:rsidRPr="00556A8B">
        <w:rPr>
          <w:rFonts w:cs="Times New Roman"/>
          <w:bCs/>
        </w:rPr>
        <w:t xml:space="preserve">Aquí emerge la dimensión paradójica de las </w:t>
      </w:r>
      <w:r w:rsidR="009A7B04">
        <w:rPr>
          <w:rFonts w:cs="Times New Roman"/>
          <w:bCs/>
        </w:rPr>
        <w:t>Técnicas de sí</w:t>
      </w:r>
      <w:r w:rsidRPr="00556A8B">
        <w:rPr>
          <w:rFonts w:cs="Times New Roman"/>
          <w:bCs/>
        </w:rPr>
        <w:t xml:space="preserve">. Por un lado, habilitan espacios de reflexión, decisión y transformación; por otro, reproducen criterios de normalidad que delimitan qué formas de subjetividad son consideradas legítimas. Como advierte Deleuze (1987), la subjetivación no es el despliegue espontáneo de una interioridad, sino la producción de una posición del sujeto en un campo social. Las prácticas sobre sí no liberan al </w:t>
      </w:r>
      <w:r w:rsidR="00B6329F">
        <w:rPr>
          <w:rFonts w:cs="Times New Roman"/>
          <w:bCs/>
        </w:rPr>
        <w:t>sujet</w:t>
      </w:r>
      <w:r w:rsidR="00B6329F" w:rsidRPr="00556A8B">
        <w:rPr>
          <w:rFonts w:cs="Times New Roman"/>
          <w:bCs/>
        </w:rPr>
        <w:t xml:space="preserve">o </w:t>
      </w:r>
      <w:r w:rsidRPr="00556A8B">
        <w:rPr>
          <w:rFonts w:cs="Times New Roman"/>
          <w:bCs/>
        </w:rPr>
        <w:t>del poder, sino que constituyen una de las modalidades más eficaces mediante las cuales el poder opera a través de la libertad.</w:t>
      </w:r>
    </w:p>
    <w:p w14:paraId="6045921B" w14:textId="79C07252" w:rsidR="00DE23BF" w:rsidRPr="00556A8B" w:rsidRDefault="00DE23BF" w:rsidP="00357B2F">
      <w:pPr>
        <w:rPr>
          <w:rFonts w:cs="Times New Roman"/>
          <w:b/>
        </w:rPr>
      </w:pPr>
    </w:p>
    <w:p w14:paraId="6802EF7F" w14:textId="4BEA9855" w:rsidR="00DE23BF" w:rsidRPr="00556A8B" w:rsidRDefault="00DE23BF" w:rsidP="00CD0F96">
      <w:pPr>
        <w:pStyle w:val="Ttulo3"/>
        <w:numPr>
          <w:ilvl w:val="2"/>
          <w:numId w:val="6"/>
        </w:numPr>
        <w:spacing w:line="360" w:lineRule="auto"/>
      </w:pPr>
      <w:bookmarkStart w:id="69" w:name="_Toc232580594"/>
      <w:r w:rsidRPr="00556A8B">
        <w:t>Psicopolítica y gobierno neoliberal de la subjetividad</w:t>
      </w:r>
      <w:bookmarkEnd w:id="69"/>
    </w:p>
    <w:p w14:paraId="53AAC53C" w14:textId="2F68491E" w:rsidR="00DE23BF" w:rsidRPr="00556A8B" w:rsidRDefault="00DE23BF" w:rsidP="00357B2F">
      <w:pPr>
        <w:rPr>
          <w:rFonts w:cs="Times New Roman"/>
          <w:bCs/>
        </w:rPr>
      </w:pPr>
      <w:r w:rsidRPr="00556A8B">
        <w:rPr>
          <w:rFonts w:cs="Times New Roman"/>
          <w:bCs/>
        </w:rPr>
        <w:t xml:space="preserve">Las categorías de poder, biopoder, gubernamentalidad y </w:t>
      </w:r>
      <w:r w:rsidR="009A7B04">
        <w:rPr>
          <w:rFonts w:cs="Times New Roman"/>
          <w:bCs/>
        </w:rPr>
        <w:t>prácticas de sí</w:t>
      </w:r>
      <w:r w:rsidRPr="00556A8B">
        <w:rPr>
          <w:rFonts w:cs="Times New Roman"/>
          <w:bCs/>
        </w:rPr>
        <w:t xml:space="preserve"> permiten comprender las formas modernas de gobierno de la vida. Sin embargo, en el contexto neoliberal </w:t>
      </w:r>
      <w:r w:rsidRPr="00556A8B">
        <w:rPr>
          <w:rFonts w:cs="Times New Roman"/>
          <w:bCs/>
        </w:rPr>
        <w:lastRenderedPageBreak/>
        <w:t>contemporáneo, estas dinámicas adquieren una intensificación particular que Byung-Chul Han denomina psicopolítica.</w:t>
      </w:r>
    </w:p>
    <w:p w14:paraId="595D706D" w14:textId="4EC9BFC4" w:rsidR="00DE23BF" w:rsidRPr="00556A8B" w:rsidRDefault="00DE23BF" w:rsidP="00357B2F">
      <w:pPr>
        <w:rPr>
          <w:rFonts w:cs="Times New Roman"/>
          <w:bCs/>
        </w:rPr>
      </w:pPr>
      <w:r w:rsidRPr="00556A8B">
        <w:rPr>
          <w:rFonts w:cs="Times New Roman"/>
          <w:bCs/>
        </w:rPr>
        <w:t xml:space="preserve">Según Han (2014), la psicopolítica designa una modalidad de poder que ya no se ejerce principalmente sobre los cuerpos mediante disciplina visible, sino sobre la psique a través de técnicas de motivación, optimización y gestión emocional. A diferencia del poder disciplinario, que operaba mediante la vigilancia y la corrección externa, la psicopolítica actúa desde el interior del sujeto, promoviendo formas de autoexplotación que son experimentadas como libertad y autorrealización. El </w:t>
      </w:r>
      <w:r w:rsidR="00B6329F">
        <w:rPr>
          <w:rFonts w:cs="Times New Roman"/>
          <w:bCs/>
        </w:rPr>
        <w:t>sujeto</w:t>
      </w:r>
      <w:r w:rsidRPr="00556A8B">
        <w:rPr>
          <w:rFonts w:cs="Times New Roman"/>
          <w:bCs/>
        </w:rPr>
        <w:t xml:space="preserve"> ya no se percibe como sujeto sometido, sino como proyecto que debe realizarse a sí mismo.</w:t>
      </w:r>
    </w:p>
    <w:p w14:paraId="70AEF96F" w14:textId="4EBC7767" w:rsidR="00DE23BF" w:rsidRPr="00556A8B" w:rsidRDefault="00DE23BF" w:rsidP="00357B2F">
      <w:pPr>
        <w:rPr>
          <w:rFonts w:cs="Times New Roman"/>
          <w:bCs/>
        </w:rPr>
      </w:pPr>
      <w:r w:rsidRPr="00556A8B">
        <w:rPr>
          <w:rFonts w:cs="Times New Roman"/>
          <w:bCs/>
        </w:rPr>
        <w:t>En este marco, la lógica neoliberal radicaliza la figura del sujeto como empresario de sí. Cada dimensión de la existencia</w:t>
      </w:r>
      <w:r w:rsidR="00E2629B" w:rsidRPr="00556A8B">
        <w:rPr>
          <w:rFonts w:cs="Times New Roman"/>
          <w:bCs/>
        </w:rPr>
        <w:t>, e</w:t>
      </w:r>
      <w:r w:rsidRPr="00556A8B">
        <w:rPr>
          <w:rFonts w:cs="Times New Roman"/>
          <w:bCs/>
        </w:rPr>
        <w:t>mociones, relaciones, bienestar, creatividad</w:t>
      </w:r>
      <w:r w:rsidR="00E2629B" w:rsidRPr="00556A8B">
        <w:rPr>
          <w:rFonts w:cs="Times New Roman"/>
          <w:bCs/>
        </w:rPr>
        <w:t>,</w:t>
      </w:r>
      <w:r w:rsidRPr="00556A8B">
        <w:rPr>
          <w:rFonts w:cs="Times New Roman"/>
          <w:bCs/>
        </w:rPr>
        <w:t xml:space="preserve"> es reinterpretada como capital que debe ser gestionado y rentabilizado. La optimización no se limita al ámbito laboral; invade la vida afectiva, la salud mental y el desarrollo personal. El sujeto es libre de elegir, pero no puede sustraerse a la exigencia de rendir, mejorar y superarse sin quedar marcado como improductivo o fracasado.</w:t>
      </w:r>
    </w:p>
    <w:p w14:paraId="03A4107D" w14:textId="2CCEA110" w:rsidR="00DE23BF" w:rsidRPr="00556A8B" w:rsidRDefault="00DE23BF" w:rsidP="00357B2F">
      <w:pPr>
        <w:rPr>
          <w:rFonts w:cs="Times New Roman"/>
          <w:bCs/>
        </w:rPr>
      </w:pPr>
      <w:r w:rsidRPr="00556A8B">
        <w:rPr>
          <w:rFonts w:cs="Times New Roman"/>
          <w:bCs/>
        </w:rPr>
        <w:t xml:space="preserve">La eficacia de la psicopolítica radica en que el poder se ejerce mediante la producción de deseo. No se prohíbe, se incentiva; no se reprime, se motiva; no se castiga, se optimiza. El sujeto se vigila, se evalúa y se corrige a sí mismo, incorporando técnicas de autorregulación que ha asumido como expresión de su autonomía. En palabras de Han (2014), cada </w:t>
      </w:r>
      <w:r w:rsidR="00B6329F">
        <w:rPr>
          <w:rFonts w:cs="Times New Roman"/>
          <w:bCs/>
        </w:rPr>
        <w:t>sujeto</w:t>
      </w:r>
      <w:r w:rsidR="00B6329F" w:rsidRPr="00556A8B">
        <w:rPr>
          <w:rFonts w:cs="Times New Roman"/>
          <w:bCs/>
        </w:rPr>
        <w:t xml:space="preserve"> </w:t>
      </w:r>
      <w:r w:rsidRPr="00556A8B">
        <w:rPr>
          <w:rFonts w:cs="Times New Roman"/>
          <w:bCs/>
        </w:rPr>
        <w:t>deviene simultáneamente amo y esclavo de sí mismo.</w:t>
      </w:r>
    </w:p>
    <w:p w14:paraId="481933F2" w14:textId="1E28DD67" w:rsidR="00DE23BF" w:rsidRPr="00556A8B" w:rsidRDefault="00DE23BF" w:rsidP="00357B2F">
      <w:pPr>
        <w:rPr>
          <w:rFonts w:cs="Times New Roman"/>
          <w:bCs/>
        </w:rPr>
      </w:pPr>
      <w:r w:rsidRPr="00556A8B">
        <w:rPr>
          <w:rFonts w:cs="Times New Roman"/>
          <w:bCs/>
        </w:rPr>
        <w:t>En el campo de la salud mental, esta lógica resulta especialmente visible. Los discursos contemporáneos sobre bienestar psicológico, resiliencia, inteligencia emocional o mindfulness no solo ofrecen herramientas terapéuticas, sino que configuran un ideal de subjetividad permanentemente autorregulada. El cuidado de sí s</w:t>
      </w:r>
      <w:r w:rsidR="00E6303F">
        <w:rPr>
          <w:rFonts w:cs="Times New Roman"/>
          <w:bCs/>
        </w:rPr>
        <w:t>uele convertirse como un</w:t>
      </w:r>
      <w:r w:rsidRPr="00556A8B">
        <w:rPr>
          <w:rFonts w:cs="Times New Roman"/>
          <w:bCs/>
        </w:rPr>
        <w:t xml:space="preserve"> imperativo</w:t>
      </w:r>
      <w:r w:rsidR="00E6303F">
        <w:rPr>
          <w:rFonts w:cs="Times New Roman"/>
          <w:bCs/>
        </w:rPr>
        <w:t xml:space="preserve">; </w:t>
      </w:r>
      <w:r w:rsidRPr="00556A8B">
        <w:rPr>
          <w:rFonts w:cs="Times New Roman"/>
          <w:bCs/>
        </w:rPr>
        <w:t>el sujeto debe gestionar sus emociones, adaptarse a la adversidad, maximizar su equilibrio interno y responsabilizarse individualmente de su malestar. Lo que aparece como invitación a la autonomía puede funcionar, simultáneamente, como mecanismo de normalización y rendimiento.</w:t>
      </w:r>
    </w:p>
    <w:p w14:paraId="5426BCD4" w14:textId="30CD519B" w:rsidR="007D34CE" w:rsidRPr="007D34CE" w:rsidRDefault="007D34CE" w:rsidP="007D34CE">
      <w:pPr>
        <w:rPr>
          <w:rFonts w:cs="Times New Roman"/>
          <w:bCs/>
        </w:rPr>
      </w:pPr>
      <w:r w:rsidRPr="007D34CE">
        <w:rPr>
          <w:rFonts w:cs="Times New Roman"/>
          <w:bCs/>
        </w:rPr>
        <w:t xml:space="preserve">Así, la psicopolítica no sustituye las formas anteriores de poder, sino que las rearticula en una lógica más sutil y eficaz. El gobierno de la vida ya no se limita al cuerpo o a la población; penetra la interioridad psíquica y convierte la subjetividad misma en espacio estratégico de intervención. La salud mental se inscribe entonces en una racionalidad que promueve sujetos </w:t>
      </w:r>
      <w:r w:rsidRPr="007D34CE">
        <w:rPr>
          <w:rFonts w:cs="Times New Roman"/>
          <w:bCs/>
        </w:rPr>
        <w:lastRenderedPageBreak/>
        <w:t xml:space="preserve">autónomos, resilientes y funcionales, pero que al mismo tiempo delimita los márgenes de lo pensable y lo vivible como saludable. Esta operación es posible porque el poder neoliberal no actúa desde afuera, sino que se interioriza como proyecto de sí mismo. Al respecto, Han </w:t>
      </w:r>
      <w:r>
        <w:rPr>
          <w:rFonts w:cs="Times New Roman"/>
          <w:bCs/>
        </w:rPr>
        <w:t xml:space="preserve">(2014) </w:t>
      </w:r>
      <w:r w:rsidRPr="007D34CE">
        <w:rPr>
          <w:rFonts w:cs="Times New Roman"/>
          <w:bCs/>
        </w:rPr>
        <w:t>señala:</w:t>
      </w:r>
    </w:p>
    <w:p w14:paraId="4AD687F7" w14:textId="77777777" w:rsidR="007D34CE" w:rsidRDefault="007D34CE" w:rsidP="007D34CE">
      <w:pPr>
        <w:ind w:left="708" w:firstLine="1"/>
        <w:rPr>
          <w:rFonts w:cs="Times New Roman"/>
          <w:bCs/>
        </w:rPr>
      </w:pPr>
    </w:p>
    <w:p w14:paraId="6D27041A" w14:textId="317E82B8" w:rsidR="007D34CE" w:rsidRPr="007D34CE" w:rsidRDefault="007D34CE" w:rsidP="007D34CE">
      <w:pPr>
        <w:ind w:left="708" w:firstLine="1"/>
        <w:rPr>
          <w:rFonts w:cs="Times New Roman"/>
          <w:bCs/>
        </w:rPr>
      </w:pPr>
      <w:r>
        <w:rPr>
          <w:rFonts w:cs="Times New Roman"/>
          <w:bCs/>
        </w:rPr>
        <w:t>h</w:t>
      </w:r>
      <w:r w:rsidRPr="007D34CE">
        <w:rPr>
          <w:rFonts w:cs="Times New Roman"/>
          <w:bCs/>
        </w:rPr>
        <w:t>oy creemos que no somos un sujeto sometido, sino un proyecto libre que constantemente se replantea y se reinventa. Este tránsito del sujeto al proyecto va acompañado de la sensación de libertad. Pues bien, el propio proyecto se muestra como una figura de coacción, incluso como una forma eficiente de subjetivación y de sometimiento.</w:t>
      </w:r>
      <w:r>
        <w:rPr>
          <w:rFonts w:cs="Times New Roman"/>
          <w:bCs/>
        </w:rPr>
        <w:t xml:space="preserve"> (</w:t>
      </w:r>
      <w:r w:rsidRPr="007D34CE">
        <w:rPr>
          <w:rFonts w:cs="Times New Roman"/>
          <w:bCs/>
        </w:rPr>
        <w:t>p. 11)</w:t>
      </w:r>
    </w:p>
    <w:p w14:paraId="3E518FEC" w14:textId="77777777" w:rsidR="007D34CE" w:rsidRDefault="007D34CE" w:rsidP="00357B2F">
      <w:pPr>
        <w:rPr>
          <w:rFonts w:cs="Times New Roman"/>
          <w:bCs/>
        </w:rPr>
      </w:pPr>
    </w:p>
    <w:p w14:paraId="61634FEC" w14:textId="20C27E67" w:rsidR="007D34CE" w:rsidRDefault="007D34CE" w:rsidP="00357B2F">
      <w:pPr>
        <w:rPr>
          <w:rFonts w:cs="Times New Roman"/>
          <w:bCs/>
        </w:rPr>
      </w:pPr>
      <w:r w:rsidRPr="007D34CE">
        <w:rPr>
          <w:rFonts w:cs="Times New Roman"/>
          <w:bCs/>
        </w:rPr>
        <w:t xml:space="preserve">El sujeto saludable, en este marco, no es aquel que escapa al poder, sino aquel que lo ha incorporado tan profundamente que lo ejerce sobre sí mismo en nombre de su propio bienestar. Esta incorporación no es un efecto secundario del poder, sino su operación más eficaz, la producción de subjetividades que se reconocen en los criterios que las gobiernan. Ahora bien, el recorrido teórico desarrollado a lo largo de este capítulo permite comprender que la salud mental no puede abordarse como un campo neutral de conocimientos orientado exclusivamente a describir y tratar fenómenos psicológicos. Por el contrario, las prácticas discursivas de la psicología se inscriben en entramados históricos de saber y poder que producen objetos, categorías y criterios de normalidad a partir de los cuales se definen formas legítimas de subjetividad (Foucault, 1975). En este marco, la salud mental no remite únicamente a un estado interno del </w:t>
      </w:r>
      <w:r w:rsidR="00B6329F">
        <w:rPr>
          <w:rFonts w:cs="Times New Roman"/>
          <w:bCs/>
        </w:rPr>
        <w:t>sujet</w:t>
      </w:r>
      <w:r w:rsidRPr="007D34CE">
        <w:rPr>
          <w:rFonts w:cs="Times New Roman"/>
          <w:bCs/>
        </w:rPr>
        <w:t>o, sino a una construcción situada que delimita qué modos de sentir, pensar y actuar son considerados saludables, funcionales y deseables en un momento histórico determinado.</w:t>
      </w:r>
    </w:p>
    <w:p w14:paraId="5FBD7CCF" w14:textId="77777777" w:rsidR="007D34CE" w:rsidRDefault="007D34CE" w:rsidP="00357B2F">
      <w:pPr>
        <w:rPr>
          <w:rFonts w:cs="Times New Roman"/>
          <w:bCs/>
        </w:rPr>
      </w:pPr>
    </w:p>
    <w:p w14:paraId="7F112FB7" w14:textId="607801EB" w:rsidR="00DE23BF" w:rsidRPr="00556A8B" w:rsidRDefault="00DE23BF" w:rsidP="00357B2F">
      <w:pPr>
        <w:rPr>
          <w:rFonts w:cs="Times New Roman"/>
          <w:bCs/>
        </w:rPr>
      </w:pPr>
      <w:r w:rsidRPr="00556A8B">
        <w:rPr>
          <w:rFonts w:cs="Times New Roman"/>
          <w:bCs/>
        </w:rPr>
        <w:t xml:space="preserve">La articulación entre saber, poder y biopoder permite reconocer que las psicociencias participan activamente en el gobierno de la vida, no solo mediante la clasificación y el diagnóstico, sino también a través de la producción de tecnologías orientadas a la optimización del sujeto. La gubernamentalidad contemporánea, especialmente en su configuración neoliberal, desplaza el énfasis desde la coerción externa hacia la conducción de conductas a través de la libertad, promoviendo sujetos que se comprenden como responsables de su propio bienestar y gestores de su salud mental. En este contexto, las </w:t>
      </w:r>
      <w:r w:rsidR="009A7B04">
        <w:rPr>
          <w:rFonts w:cs="Times New Roman"/>
          <w:bCs/>
        </w:rPr>
        <w:t>prácticas de sí</w:t>
      </w:r>
      <w:r w:rsidRPr="00556A8B">
        <w:rPr>
          <w:rFonts w:cs="Times New Roman"/>
          <w:bCs/>
        </w:rPr>
        <w:t xml:space="preserve"> y las dinámicas psicopolíticas </w:t>
      </w:r>
      <w:r w:rsidRPr="00556A8B">
        <w:rPr>
          <w:rFonts w:cs="Times New Roman"/>
          <w:bCs/>
        </w:rPr>
        <w:lastRenderedPageBreak/>
        <w:t>intensifican el trabajo sobre la interioridad, invitando a los individuos a autorregularse, evaluarse y transformarse conforme a ideales de autonomía, resiliencia, adaptabilidad y rendimiento.</w:t>
      </w:r>
    </w:p>
    <w:p w14:paraId="505BD4A4" w14:textId="657AE282" w:rsidR="00322F62" w:rsidRPr="00556A8B" w:rsidRDefault="00DE23BF" w:rsidP="00B10ABB">
      <w:pPr>
        <w:rPr>
          <w:rFonts w:cs="Times New Roman"/>
          <w:bCs/>
        </w:rPr>
      </w:pPr>
      <w:r w:rsidRPr="00556A8B">
        <w:rPr>
          <w:rFonts w:cs="Times New Roman"/>
          <w:bCs/>
        </w:rPr>
        <w:t>Desde esta perspectiva, las “formas de subjetividad saludables” no emergen espontáneamente, sino que son producidas en el cruce entre discursos expertos, dispositivos institucionales y prácticas de autoconducción. Analizar estas formas implica interrogar los regímenes de verdad que las sostienen, las normas que las delimitan y las racionalidades políticas que las hacen posibles. Así, el presente marco teórico establece las coordenadas conceptuales necesarias para examinar cómo, en el presente histórico, las prácticas discursivas de la psicología no solo describen la salud mental, sino que contribuyen a configurar los modos en que los sujetos se comprenden, se gobiernan y se constituyen como sujetos saludables.</w:t>
      </w:r>
    </w:p>
    <w:p w14:paraId="252C63FE" w14:textId="4944C5FC" w:rsidR="00B10ABB" w:rsidRPr="00556A8B" w:rsidRDefault="00B10ABB">
      <w:pPr>
        <w:spacing w:after="160" w:line="278" w:lineRule="auto"/>
        <w:ind w:firstLine="0"/>
        <w:contextualSpacing w:val="0"/>
        <w:rPr>
          <w:rFonts w:cs="Times New Roman"/>
          <w:b/>
        </w:rPr>
      </w:pPr>
      <w:r w:rsidRPr="00556A8B">
        <w:rPr>
          <w:rFonts w:cs="Times New Roman"/>
          <w:b/>
        </w:rPr>
        <w:br w:type="page"/>
      </w:r>
    </w:p>
    <w:p w14:paraId="08D276BC" w14:textId="2A63932E" w:rsidR="000E5B14" w:rsidRPr="00556A8B" w:rsidRDefault="000E5B14" w:rsidP="00CD0F96">
      <w:pPr>
        <w:pStyle w:val="Ttulo1"/>
        <w:numPr>
          <w:ilvl w:val="0"/>
          <w:numId w:val="6"/>
        </w:numPr>
        <w:spacing w:line="360" w:lineRule="auto"/>
        <w:ind w:left="426"/>
      </w:pPr>
      <w:bookmarkStart w:id="70" w:name="_Toc232580595"/>
      <w:r w:rsidRPr="00556A8B">
        <w:lastRenderedPageBreak/>
        <w:t>Metodología</w:t>
      </w:r>
      <w:bookmarkEnd w:id="70"/>
    </w:p>
    <w:p w14:paraId="4E9533EE" w14:textId="77777777" w:rsidR="00DE23BF" w:rsidRPr="00556A8B" w:rsidRDefault="00DE23BF" w:rsidP="00CD0F96">
      <w:pPr>
        <w:rPr>
          <w:rFonts w:cs="Times New Roman"/>
          <w:b/>
          <w:bCs/>
          <w:noProof/>
        </w:rPr>
      </w:pPr>
    </w:p>
    <w:p w14:paraId="102BF621" w14:textId="77777777" w:rsidR="00DE23BF" w:rsidRPr="00556A8B" w:rsidRDefault="00DE23BF" w:rsidP="00357B2F">
      <w:pPr>
        <w:rPr>
          <w:noProof/>
        </w:rPr>
      </w:pPr>
      <w:r w:rsidRPr="00556A8B">
        <w:rPr>
          <w:noProof/>
        </w:rPr>
        <w:t>Entre espejos, fragmentos y giros: dispositivo de interpretación y análisis</w:t>
      </w:r>
    </w:p>
    <w:p w14:paraId="018DFC46" w14:textId="3846D48F" w:rsidR="00DE23BF" w:rsidRPr="00556A8B" w:rsidRDefault="00234A51" w:rsidP="00357B2F">
      <w:pPr>
        <w:rPr>
          <w:noProof/>
        </w:rPr>
      </w:pPr>
      <w:r w:rsidRPr="00556A8B">
        <w:rPr>
          <w:noProof/>
        </w:rPr>
        <w:t xml:space="preserve">El método de la presente tesis </w:t>
      </w:r>
      <w:r w:rsidR="00DE23BF" w:rsidRPr="00556A8B">
        <w:rPr>
          <w:noProof/>
        </w:rPr>
        <w:t xml:space="preserve"> se inscribe en el horizonte de los estudios críticos en salud mental, asumiendo que dicha categoría no constituye un objeto técnico neutral ni una entidad ontológicamente dada, sino una construcción histórico-discursiva cuya emergencia, consolidación y naturalización responden a entramados específicos de saber, poder y gubernamentalidad. Desde esta perspectiva, la salud mental no se aborda como variable medible ni como estado psicológico verificable, sino como régimen discursivo que organiza modos de clasificación, intervención y autocomprensión subjetiva en el presente.</w:t>
      </w:r>
    </w:p>
    <w:p w14:paraId="3F13CA51" w14:textId="77777777" w:rsidR="00DE23BF" w:rsidRPr="00556A8B" w:rsidRDefault="00DE23BF" w:rsidP="00357B2F">
      <w:pPr>
        <w:rPr>
          <w:noProof/>
        </w:rPr>
      </w:pPr>
      <w:r w:rsidRPr="00556A8B">
        <w:rPr>
          <w:noProof/>
        </w:rPr>
        <w:t>En consecuencia, el desafío metodológico no consiste en describir prácticas o registrar opiniones, sino en problematizar las condiciones históricas que hacen posible que determinadas formas de subjetividad sean reconocidas como saludables, funcionales o deseables. Ello exige un enfoque que exceda la lógica descriptiva y se oriente hacia la interrogación crítica de los regímenes de verdad que sostienen dichas prácticas, atendiendo a sus reglas de formación, a sus efectos de normalización y a sus implicaciones en la producción de modos de vida específicos.</w:t>
      </w:r>
    </w:p>
    <w:p w14:paraId="75456ACD" w14:textId="77777777" w:rsidR="00DE23BF" w:rsidRPr="00556A8B" w:rsidRDefault="00DE23BF" w:rsidP="00357B2F">
      <w:pPr>
        <w:rPr>
          <w:noProof/>
        </w:rPr>
      </w:pPr>
      <w:r w:rsidRPr="00556A8B">
        <w:rPr>
          <w:noProof/>
        </w:rPr>
        <w:t>Bajo esta premisa, la investigación no adopta un método foucaultiano en sentido ortodoxo ni pretende replicar una arqueología o genealogía en términos estrictos. Más bien, construye un dispositivo metodológico propio, inspirado en la teoría de los dispositivos y en la ontología crítica del presente. Este dispositivo opera como una “caja de herramientas” conceptual y analítica que permite leer las prácticas discursivas como composiciones móviles en las que se articulan saber, poder y subjetivación.</w:t>
      </w:r>
    </w:p>
    <w:p w14:paraId="031F3CED" w14:textId="0B015BA3" w:rsidR="00DE23BF" w:rsidRPr="00556A8B" w:rsidRDefault="00DE23BF" w:rsidP="00357B2F">
      <w:pPr>
        <w:rPr>
          <w:noProof/>
        </w:rPr>
      </w:pPr>
      <w:r w:rsidRPr="00556A8B">
        <w:rPr>
          <w:noProof/>
        </w:rPr>
        <w:t>La metáfora del caleidoscopio discursivo resulta particularmente fecunda para comprender esta propuesta. Al igual que el artefacto óptico, el dispositivo no busca fijar una imagen definitiva ni estabilizar un significado último, sino mostrar cómo los mismos fragmentos</w:t>
      </w:r>
      <w:r w:rsidR="00F874B8" w:rsidRPr="00556A8B">
        <w:rPr>
          <w:noProof/>
        </w:rPr>
        <w:t xml:space="preserve">, </w:t>
      </w:r>
      <w:r w:rsidRPr="00556A8B">
        <w:rPr>
          <w:noProof/>
        </w:rPr>
        <w:t>conceptos, categorías, enunciados, prácticas</w:t>
      </w:r>
      <w:r w:rsidR="00F874B8" w:rsidRPr="00556A8B">
        <w:rPr>
          <w:noProof/>
        </w:rPr>
        <w:t>,</w:t>
      </w:r>
      <w:r w:rsidRPr="00556A8B">
        <w:rPr>
          <w:noProof/>
        </w:rPr>
        <w:t xml:space="preserve"> se reorganizan según el ángulo de observación, produciendo configuraciones cambiantes que revelan la contingencia de aquello que se presenta como natural o evidente. Cada giro no produce un nuevo objeto, sino una nueva disposición de los elementos ya existentes, haciendo visible la trama relacional que los sostiene.</w:t>
      </w:r>
    </w:p>
    <w:p w14:paraId="60710CB7" w14:textId="77777777" w:rsidR="00DE23BF" w:rsidRPr="00556A8B" w:rsidRDefault="00DE23BF" w:rsidP="00357B2F">
      <w:pPr>
        <w:rPr>
          <w:noProof/>
        </w:rPr>
      </w:pPr>
      <w:r w:rsidRPr="00556A8B">
        <w:rPr>
          <w:noProof/>
        </w:rPr>
        <w:t xml:space="preserve">Desde esta lógica, el análisis no pretende descubrir una verdad oculta detrás de los discursos, sino interrogar las condiciones que permiten que ciertos enunciados circulen como </w:t>
      </w:r>
      <w:r w:rsidRPr="00556A8B">
        <w:rPr>
          <w:noProof/>
        </w:rPr>
        <w:lastRenderedPageBreak/>
        <w:t>verdaderos, legítimos y deseables. El interés no radica en determinar si la salud mental “es” o “no es” algo específico, sino en comprender cómo se configura como problema, como ideal normativo y como horizonte ético de autogobierno en el presente histórico.</w:t>
      </w:r>
    </w:p>
    <w:p w14:paraId="6C01A04C" w14:textId="77777777" w:rsidR="00DE23BF" w:rsidRPr="00556A8B" w:rsidRDefault="00DE23BF" w:rsidP="00357B2F">
      <w:pPr>
        <w:rPr>
          <w:noProof/>
        </w:rPr>
      </w:pPr>
      <w:r w:rsidRPr="00556A8B">
        <w:rPr>
          <w:noProof/>
        </w:rPr>
        <w:t>En términos operativos, el dispositivo metodológico se articula con herramientas cualitativas que privilegian la profundidad interpretativa sobre la cuantificación. Sin embargo, estas herramientas no son utilizadas con fines meramente descriptivos, sino como mecanismos de problematización. El análisis se apoya en una matriz estructural de contenido que permite identificar regularidades discursivas, desplazamientos semánticos, oposiciones normativas y operaciones de normalización presentes en los discursos examinados. Dicha matriz no funciona como esquema rígido de codificación, sino como arquitectura analítica flexible que posibilita reorganizar los fragmentos discursivos en configuraciones interpretativas múltiples.</w:t>
      </w:r>
    </w:p>
    <w:p w14:paraId="4956D31A" w14:textId="77777777" w:rsidR="00B10ABB" w:rsidRPr="00556A8B" w:rsidRDefault="00B10ABB" w:rsidP="00357B2F">
      <w:pPr>
        <w:rPr>
          <w:noProof/>
        </w:rPr>
      </w:pPr>
    </w:p>
    <w:p w14:paraId="7C333C58" w14:textId="77777777" w:rsidR="000E5B14" w:rsidRPr="00556A8B" w:rsidRDefault="000E5B14" w:rsidP="00357B2F">
      <w:pPr>
        <w:pStyle w:val="Ttulo2"/>
      </w:pPr>
      <w:bookmarkStart w:id="71" w:name="_Toc232580596"/>
      <w:r w:rsidRPr="00556A8B">
        <w:t>Conceptualización ontología crítica: máquina analítica y metáfora del caleidoscopio</w:t>
      </w:r>
      <w:bookmarkEnd w:id="71"/>
    </w:p>
    <w:p w14:paraId="30CE4D42" w14:textId="6E68430E" w:rsidR="00DE23BF" w:rsidRPr="00556A8B" w:rsidRDefault="00DE23BF" w:rsidP="00357B2F">
      <w:r w:rsidRPr="00556A8B">
        <w:t xml:space="preserve">La construcción metodológica de esta </w:t>
      </w:r>
      <w:r w:rsidR="00777BFD" w:rsidRPr="00556A8B">
        <w:t xml:space="preserve">tesis doctoral </w:t>
      </w:r>
      <w:r w:rsidRPr="00556A8B">
        <w:t xml:space="preserve">se inscribe en lo que Foucault (2008) denomina una </w:t>
      </w:r>
      <w:r w:rsidRPr="00556A8B">
        <w:rPr>
          <w:i/>
          <w:iCs/>
        </w:rPr>
        <w:t>ontología crítica del presente</w:t>
      </w:r>
      <w:r w:rsidRPr="00556A8B">
        <w:t>: una práctica reflexiva que no busca fundamentos universales ni esencias transhistóricas, sino que interroga las condiciones bajo las cuales llegamos a ser lo que somos en un momento determinado. Esta ontología no pretende establecer verdades definitivas sobre la salud mental, sino problematizar los límites que configuran su inteligibilidad contemporánea, mostrando su carácter contingente y políticamente situado.</w:t>
      </w:r>
    </w:p>
    <w:p w14:paraId="7576976B" w14:textId="42C10277" w:rsidR="00DE23BF" w:rsidRPr="00556A8B" w:rsidRDefault="00DE23BF" w:rsidP="00357B2F">
      <w:r w:rsidRPr="00556A8B">
        <w:t xml:space="preserve">Desde esta perspectiva, la metodología no puede concebirse como un protocolo previo, cerrado y aplicable de manera mecánica al objeto de estudio. Por el contrario, se configura como un ensamblaje estratégico que se construye en diálogo con </w:t>
      </w:r>
      <w:r w:rsidR="00C44790" w:rsidRPr="00556A8B">
        <w:t>las condiciones discursivas e históricas del problema</w:t>
      </w:r>
      <w:r w:rsidRPr="00556A8B">
        <w:t>, ajustándose a las particularidades del fenómeno investigado. Siguiendo a Trombadori (2010), cada indagación debe edificar su propio camino analítico en función de la singularidad de su objeto. De ahí que este estudio no adopte un método universal, sino que elabora una lógica analítica situada.</w:t>
      </w:r>
    </w:p>
    <w:p w14:paraId="619BD7C9" w14:textId="74CF8E86" w:rsidR="00DE23BF" w:rsidRPr="00556A8B" w:rsidRDefault="00DE23BF" w:rsidP="00357B2F">
      <w:r w:rsidRPr="00556A8B">
        <w:t xml:space="preserve">En este marco, se retoma la noción deleuziana de </w:t>
      </w:r>
      <w:r w:rsidRPr="00556A8B">
        <w:rPr>
          <w:i/>
          <w:iCs/>
        </w:rPr>
        <w:t>máquina analítica</w:t>
      </w:r>
      <w:r w:rsidRPr="00556A8B">
        <w:t xml:space="preserve"> (Deleuze, 200</w:t>
      </w:r>
      <w:r w:rsidR="00792085" w:rsidRPr="00556A8B">
        <w:t>4</w:t>
      </w:r>
      <w:r w:rsidRPr="00556A8B">
        <w:t>) para designar el carácter productivo y relacional del dispositivo metodológico. La máquina no se entiende aquí como estructura rígida ni como mecanismo determinista, sino como disposición abierta que conecta elementos heterogéneos</w:t>
      </w:r>
      <w:r w:rsidR="00F874B8" w:rsidRPr="00556A8B">
        <w:t xml:space="preserve">, </w:t>
      </w:r>
      <w:r w:rsidRPr="00556A8B">
        <w:t xml:space="preserve">categorías teóricas, fragmentos discursivos, </w:t>
      </w:r>
      <w:r w:rsidRPr="00556A8B">
        <w:lastRenderedPageBreak/>
        <w:t>posiciones enunciativas, racionalidades políticas</w:t>
      </w:r>
      <w:r w:rsidR="00F874B8" w:rsidRPr="00556A8B">
        <w:t>,</w:t>
      </w:r>
      <w:r w:rsidRPr="00556A8B">
        <w:t xml:space="preserve"> produciendo efectos de inteligibilidad. Su funcionamiento no es lineal, sino ensamblador: articula, desarticula y reconfigura componentes en función de los movimientos del análisis.</w:t>
      </w:r>
    </w:p>
    <w:p w14:paraId="32B213DC" w14:textId="504958A9" w:rsidR="00DE23BF" w:rsidRPr="00556A8B" w:rsidRDefault="003863B3" w:rsidP="00357B2F">
      <w:r w:rsidRPr="00556A8B">
        <w:t xml:space="preserve">Este ensamblaje </w:t>
      </w:r>
      <w:r w:rsidR="00DE23BF" w:rsidRPr="00556A8B">
        <w:t>opera como un dispositivo de lectura que privilegia la emergencia antes que la clausura del sentido. No clasifica para estabilizar, sino que organiza para problematizar. En lugar de reducir los discursos a tipologías cerradas, los aborda como prácticas productivas que configuran modos de subjetivación y tecnologías de gobierno. En coherencia con Foucault (1970), el análisis no se orienta a descifrar significados ocultos, sino a describir relaciones: relaciones entre saber y poder, entre normas y prácticas, entre enunciados y formas de vida.</w:t>
      </w:r>
    </w:p>
    <w:p w14:paraId="74B0B097" w14:textId="77777777" w:rsidR="00DE23BF" w:rsidRPr="00556A8B" w:rsidRDefault="00DE23BF" w:rsidP="00357B2F">
      <w:r w:rsidRPr="00556A8B">
        <w:t>La metáfora del caleidoscopio profundiza esta apuesta metodológica. Como artefacto óptico, el caleidoscopio produce múltiples configuraciones a partir de un mismo conjunto de fragmentos, dependiendo del ángulo de giro. Esta imagen permite pensar el análisis como proceso dinámico en el que los discursos no se presentan como estructuras estáticas, sino como composiciones móviles. Cada giro analítico reorganiza los enunciados, revelando nuevas asociaciones, oposiciones y densidades semánticas.</w:t>
      </w:r>
    </w:p>
    <w:p w14:paraId="3973909C" w14:textId="77777777" w:rsidR="00DE23BF" w:rsidRPr="00556A8B" w:rsidRDefault="00DE23BF" w:rsidP="00357B2F">
      <w:r w:rsidRPr="00556A8B">
        <w:t>Así, el caleidoscopio no es un recurso meramente estético, sino una estrategia epistémica. Indica que no existe una lectura final ni una interpretación totalizadora de los datos. Cada configuración es provisoria, situada y atravesada por relaciones de poder. El sentido no preexiste al análisis; emerge del movimiento mismo de la interpretación. En este sentido, el dispositivo metodológico asume la contingencia como principio: las subjetividades no son esencias, sino efectos históricos de prácticas discursivas específicas.</w:t>
      </w:r>
    </w:p>
    <w:p w14:paraId="217F7EF9" w14:textId="77777777" w:rsidR="00DE23BF" w:rsidRPr="00556A8B" w:rsidRDefault="00DE23BF" w:rsidP="00357B2F">
      <w:r w:rsidRPr="00556A8B">
        <w:t>Esta orientación implica abandonar cualquier pretensión de neutralidad metodológica. El diseño mismo interviene en la construcción del objeto de estudio, delimitando lo visible y lo pensable. Como señala Haraway (1988), todo conocimiento es situado; toda mirada implica una posición. La máquina caleidoscópica reconoce esta implicación y la asume como parte constitutiva del proceso investigativo. No se trata de eliminar la posición del investigador, sino de explicitarla y someterla a vigilancia crítica.</w:t>
      </w:r>
    </w:p>
    <w:p w14:paraId="3336E92E" w14:textId="77777777" w:rsidR="00DE23BF" w:rsidRPr="00556A8B" w:rsidRDefault="00DE23BF" w:rsidP="00357B2F">
      <w:r w:rsidRPr="00556A8B">
        <w:t xml:space="preserve">En consecuencia, el análisis no se limita a describir qué dicen los profesionales de la psicología sobre la salud mental, sino que interroga cómo esos decires configuran regímenes de verdad y producen formas específicas de subjetividad. El interés no radica en evaluar la </w:t>
      </w:r>
      <w:r w:rsidRPr="00556A8B">
        <w:lastRenderedPageBreak/>
        <w:t>corrección de sus afirmaciones, sino en comprender las racionalidades que las sostienen y los efectos normativos que habilitan.</w:t>
      </w:r>
    </w:p>
    <w:p w14:paraId="4390F9B8" w14:textId="77777777" w:rsidR="00F874B8" w:rsidRPr="00556A8B" w:rsidRDefault="00F874B8" w:rsidP="00357B2F"/>
    <w:p w14:paraId="5657F156" w14:textId="77777777" w:rsidR="000E5B14" w:rsidRPr="00556A8B" w:rsidRDefault="000E5B14" w:rsidP="00357B2F">
      <w:pPr>
        <w:pStyle w:val="Ttulo2"/>
      </w:pPr>
      <w:bookmarkStart w:id="72" w:name="_Toc232580597"/>
      <w:r w:rsidRPr="00556A8B">
        <w:t>O</w:t>
      </w:r>
      <w:r w:rsidRPr="00556A8B">
        <w:rPr>
          <w:rStyle w:val="Ttulo2Car"/>
          <w:b/>
        </w:rPr>
        <w:t>perativización Metodológica: Del Caleidoscopio a la Práctica Investigativa</w:t>
      </w:r>
      <w:bookmarkEnd w:id="72"/>
    </w:p>
    <w:p w14:paraId="023FF353" w14:textId="77777777" w:rsidR="00DE23BF" w:rsidRPr="00556A8B" w:rsidRDefault="00DE23BF" w:rsidP="00357B2F">
      <w:r w:rsidRPr="00556A8B">
        <w:t>La metáfora del caleidoscopio, desarrollada en el apartado anterior como dispositivo heurístico y epistémico, requiere ahora ser traducida en decisiones metodológicas concretas que organicen el proceso investigativo de manera rigurosa, transparente y coherente con los principios teóricos que sostienen este estudio. Operativizar la metodología no implica reducir la propuesta a un conjunto de técnicas instrumentales, sino explicitar el tipo de investigación, el diseño, el alcance y el paradigma epistémico desde el cual se produce conocimiento, así como las estrategias analíticas que permiten materializar la mirada caleidoscópica en el trabajo empírico.</w:t>
      </w:r>
    </w:p>
    <w:p w14:paraId="6A665F50" w14:textId="77777777" w:rsidR="00DE23BF" w:rsidRPr="00556A8B" w:rsidRDefault="00DE23BF" w:rsidP="00357B2F">
      <w:r w:rsidRPr="00556A8B">
        <w:t>Este ejercicio de explicitación no es meramente formal. Responde a un compromiso ético y académico con la claridad metodológica, condición necesaria para garantizar la evaluación crítica, la trazabilidad del proceso analítico y el diálogo con otras investigaciones en el campo de las ciencias sociales críticas. En una investigación de carácter doctoral, la solidez teórica debe ir acompañada de una arquitectura metodológica consistente, capaz de mostrar cómo una ontología crítica del presente se traduce en procedimientos concretos de análisis.</w:t>
      </w:r>
    </w:p>
    <w:p w14:paraId="6F719DD9" w14:textId="77777777" w:rsidR="00DE23BF" w:rsidRPr="00556A8B" w:rsidRDefault="00DE23BF" w:rsidP="00357B2F"/>
    <w:p w14:paraId="450CF6BA" w14:textId="76EE7FAA" w:rsidR="00DE23BF" w:rsidRPr="00556A8B" w:rsidRDefault="00DE23BF" w:rsidP="000162FA">
      <w:pPr>
        <w:pStyle w:val="Ttulo3"/>
        <w:numPr>
          <w:ilvl w:val="2"/>
          <w:numId w:val="6"/>
        </w:numPr>
        <w:spacing w:line="360" w:lineRule="auto"/>
        <w:rPr>
          <w:rFonts w:eastAsia="Times New Roman"/>
        </w:rPr>
      </w:pPr>
      <w:bookmarkStart w:id="73" w:name="_Toc232580598"/>
      <w:r w:rsidRPr="00556A8B">
        <w:rPr>
          <w:rFonts w:eastAsia="Times New Roman"/>
        </w:rPr>
        <w:t>Tipo de Investigación: Cualitativa con Enfoque Genealógico</w:t>
      </w:r>
      <w:bookmarkEnd w:id="73"/>
    </w:p>
    <w:p w14:paraId="1D620953" w14:textId="77777777" w:rsidR="00DE23BF" w:rsidRPr="00556A8B" w:rsidRDefault="00DE23BF" w:rsidP="00357B2F">
      <w:r w:rsidRPr="00556A8B">
        <w:t>La investigación se define como cualitativa en tanto privilegia la profundidad interpretativa sobre la representatividad estadística, la comprensión de sentidos sobre la medición de variables y la problematización crítica sobre la descripción neutral de fenómenos. Como señalan Denzin y Lincoln (2003), la investigación cualitativa constituye “una actividad situada que localiza al observador en el mundo” (p. 48), reconociendo que toda producción de conocimiento implica una posición epistémica, ética y política desde la cual se interroga lo real.</w:t>
      </w:r>
    </w:p>
    <w:p w14:paraId="550C8121" w14:textId="36A4A128" w:rsidR="00DE23BF" w:rsidRPr="00556A8B" w:rsidRDefault="00DE23BF" w:rsidP="00357B2F">
      <w:r w:rsidRPr="00556A8B">
        <w:t>En este estudio, el enfoque cualitativo se articula específicamente con herramientas genealógicas</w:t>
      </w:r>
      <w:r w:rsidR="0077250D">
        <w:t xml:space="preserve"> </w:t>
      </w:r>
      <w:r w:rsidRPr="00556A8B">
        <w:t>de orientación foucaultiana. Ello significa que el análisis no se orienta a descubrir esencias ocultas ni a formular leyes universales, sino a rastrear las condiciones históricas de posibilidad de los discursos, sus transformaciones, sus discontinuidades y los efectos de poder que producen en la constitución de subjetividades.</w:t>
      </w:r>
    </w:p>
    <w:p w14:paraId="2E365D3B" w14:textId="0FBE71A7" w:rsidR="0077250D" w:rsidRDefault="00DE23BF" w:rsidP="00357B2F">
      <w:r w:rsidRPr="00556A8B">
        <w:lastRenderedPageBreak/>
        <w:t>La genealogía, tal como la conceptualiza Foucault (1971), no busca un origen puro que explique el presente, sino que interroga la procedencia y la emergencia de prácticas y saberes, mostrando “la singularidad de los acontecimientos fuera de toda finalidad monótona” (p. 7). Se trata de desnaturalizar aquello que aparece como evidente, rastreando los juegos de fuerza que hicieron posible su consolidación. Por su parte, la arqueología permite identificar las reglas de formación que organizan lo decible, los umbrales epistémicos que delimitan lo pensable y las regularidades que estructuran los enunciados en un momento histórico determinado (Foucault, 1969).</w:t>
      </w:r>
      <w:r w:rsidR="0077250D">
        <w:t xml:space="preserve"> </w:t>
      </w:r>
      <w:r w:rsidR="0077250D" w:rsidRPr="0077250D">
        <w:t>Esta orientación genealógica posibilita analizar cómo las prácticas discursivas de los profesionales de la psicología participan en la producción contemporánea de formas de subjetividad "saludable", no como simple descripción de estados psíquicos, sino como efecto de regímenes de saber-poder que configuran horizontes normativos de vida.</w:t>
      </w:r>
    </w:p>
    <w:p w14:paraId="51DE612A" w14:textId="77777777" w:rsidR="0077250D" w:rsidRPr="00556A8B" w:rsidRDefault="0077250D" w:rsidP="00357B2F"/>
    <w:p w14:paraId="3056810D" w14:textId="77777777" w:rsidR="00DE23BF" w:rsidRPr="00556A8B" w:rsidRDefault="00DE23BF" w:rsidP="00357B2F">
      <w:r w:rsidRPr="00556A8B">
        <w:t>Esta opción metodológica implica, además, rechazar cualquier pretensión de neutralidad o exterioridad del investigador respecto de su objeto de estudio. Como plantea Foucault (2008), toda investigación crítica constituye también una ontología del presente: una forma de problematización que interroga “qué somos en este preciso momento de la historia” (p. 95). En consecuencia, el análisis genealógico no se orienta a emitir juicios morales sobre las prácticas discursivas examinadas, sino a comprender sus condiciones de emergencia, sus efectos de verdad y poder, así como las formas de sujeción y los márgenes de resistencia que habilitan.</w:t>
      </w:r>
    </w:p>
    <w:p w14:paraId="1E767A84" w14:textId="77777777" w:rsidR="000E5B14" w:rsidRPr="00556A8B" w:rsidRDefault="000E5B14" w:rsidP="00357B2F">
      <w:pPr>
        <w:rPr>
          <w:lang w:val="es-MX"/>
        </w:rPr>
      </w:pPr>
    </w:p>
    <w:p w14:paraId="207236CC" w14:textId="3AF8962D" w:rsidR="00F874B8" w:rsidRPr="00556A8B" w:rsidRDefault="000E5B14" w:rsidP="000162FA">
      <w:pPr>
        <w:pStyle w:val="Ttulo3"/>
        <w:numPr>
          <w:ilvl w:val="2"/>
          <w:numId w:val="6"/>
        </w:numPr>
        <w:spacing w:line="360" w:lineRule="auto"/>
        <w:rPr>
          <w:lang w:val="es-MX"/>
        </w:rPr>
      </w:pPr>
      <w:bookmarkStart w:id="74" w:name="_Toc232580599"/>
      <w:r w:rsidRPr="00556A8B">
        <w:t>Diseño: Análisis Estructural de Contenido de Orientación Postestructuralista</w:t>
      </w:r>
      <w:bookmarkEnd w:id="74"/>
    </w:p>
    <w:p w14:paraId="0DD04D56" w14:textId="781388C0" w:rsidR="00DE23BF" w:rsidRPr="00556A8B" w:rsidRDefault="00DE23BF" w:rsidP="00357B2F">
      <w:r w:rsidRPr="00556A8B">
        <w:t>El diseño de esta investigación se estructura en torno al análisis estructural de contenido (MAEC), entendido como una aproximación teórico-metodológica que trasciende la mera descripción temática o la cuantificación de frecuencias léxicas, para adentrarse en la comprensión de las gramáticas profundas que organizan la producción de sentido en el discurso. Como señala Bardin (1996), el análisis de contenido es “un conjunto de técnicas de análisis de las comunicaciones que utiliza procedimientos sistemáticos y objetivos de descripción del contenido de los mensajes” (p. 32), permitiendo realizar inferencias sobre las condiciones de producción y recepción de los discursos.</w:t>
      </w:r>
    </w:p>
    <w:p w14:paraId="0B33944B" w14:textId="77777777" w:rsidR="00DE23BF" w:rsidRPr="00556A8B" w:rsidRDefault="00DE23BF" w:rsidP="00357B2F">
      <w:r w:rsidRPr="00556A8B">
        <w:t xml:space="preserve">Sin embargo, en el marco de esta investigación, el análisis estructural de contenido no se adopta en su versión exclusivamente técnica, sino que se articula con una perspectiva </w:t>
      </w:r>
      <w:r w:rsidRPr="00556A8B">
        <w:lastRenderedPageBreak/>
        <w:t>postestructuralista que, siguiendo a Foucault (1970) y Derrida (1967), comprende el discurso no como reflejo de realidades preexistentes, sino como práctica productiva que configura sujetos, objetos y regímenes de verdad.</w:t>
      </w:r>
    </w:p>
    <w:p w14:paraId="54CCAFA0" w14:textId="77777777" w:rsidR="00DE23BF" w:rsidRPr="00556A8B" w:rsidRDefault="00DE23BF" w:rsidP="00357B2F">
      <w:r w:rsidRPr="00556A8B">
        <w:t>Esta articulación entre análisis estructural y postestructuralismo no está exenta de tensiones; por el contrario, constituye una tensión productiva que enriquece el diseño metodológico. Mientras el análisis estructural proporciona herramientas operativas para identificar regularidades, oposiciones y patrones en la organización del discurso, la perspectiva postestructuralista impide que dichas regularidades sean leídas como estructuras fijas, esenciales o deterministas. Tal como plantea Piñuel Raigada (2002), el análisis estructural de contenido en clave crítica busca “identificar principios de organización discursiva que reflejan estructuras sociales y culturales en las que se producen los discursos” (p. 71), reconociendo simultáneamente que estas estructuras son históricamente contingentes y están atravesadas por relaciones de poder.</w:t>
      </w:r>
    </w:p>
    <w:p w14:paraId="4B7A77AC" w14:textId="77777777" w:rsidR="00DE23BF" w:rsidRPr="00556A8B" w:rsidRDefault="00DE23BF" w:rsidP="00357B2F">
      <w:r w:rsidRPr="00556A8B">
        <w:t>Desde esta mirada, el discurso no puede reducirse ni a una superestructura ideológica que reflejaría relaciones sociales más profundas, ni a un sistema lingüístico autónomo regido por leyes internas inmutables. Como lo formula Foucault (1970), el discurso es “aquello por lo que, y por medio de lo cual, se lucha, aquel poder del que quiere uno adueñarse” (p. 15). Esto implica que cada práctica discursiva instituye formas específicas de visibilidad, de enunciabilidad, de subjetivación y de gobierno de la vida. En consecuencia, el análisis estructural no se limita a identificar qué se dice, sino que interroga críticamente cómo se dice, desde dónde se enuncia, qué reglas organizan lo decible, qué silencios se producen y qué efectos de verdad y poder se ponen en circulación.</w:t>
      </w:r>
    </w:p>
    <w:p w14:paraId="344DE690" w14:textId="77777777" w:rsidR="00DE23BF" w:rsidRPr="00556A8B" w:rsidRDefault="00DE23BF" w:rsidP="00357B2F">
      <w:r w:rsidRPr="00556A8B">
        <w:t xml:space="preserve">El análisis estructural de contenido (MAEC), desarrollado por Hiernaux (2008), Saldarriaga (2015) y Suárez (2008), ofrece herramientas operativas específicas para desentrañar estas gramáticas discursivas a través de principios analíticos fundamentales: la disyunción, la asociación, la isotopía y la condensación descriptiva. Dichos principios permiten mapear las arquitecturas internas del discurso, identificando sus oposiciones estructurales (lo que se incluye y lo que se excluye), sus bloques de sentido (conceptos que se asocian de manera recurrente), sus núcleos semánticos reiterativos (isotopías que estabilizan significados) y sus formas de organización categorial (condensaciones que agrupan sentidos complejos en figuras estructurales). Como señala Saldarriaga (2015), este enfoque no busca cuantificar la aparición de </w:t>
      </w:r>
      <w:r w:rsidRPr="00556A8B">
        <w:lastRenderedPageBreak/>
        <w:t>términos, sino comprender las lógicas subyacentes que organizan la producción de sentido en un campo discursivo determinado.</w:t>
      </w:r>
    </w:p>
    <w:p w14:paraId="2B92FD6D" w14:textId="27722241" w:rsidR="00DE23BF" w:rsidRPr="00556A8B" w:rsidRDefault="00DE23BF" w:rsidP="00357B2F">
      <w:r w:rsidRPr="00556A8B">
        <w:t>La orientación postestructuralista del diseño implica, además, rechazar cualquier pretensión de totalidad o clausura interpretativa. Mientras el estructuralismo clásico aspiraba a identificar estructuras universales y sincrónicas que garantizaran el sentido, el postestructuralismo</w:t>
      </w:r>
      <w:r w:rsidR="00F874B8" w:rsidRPr="00556A8B">
        <w:t xml:space="preserve">, </w:t>
      </w:r>
      <w:r w:rsidRPr="00556A8B">
        <w:t>en diálogo con Derrida (1967), Foucault (1969) y Deleuze (1969)</w:t>
      </w:r>
      <w:r w:rsidR="00F874B8" w:rsidRPr="00556A8B">
        <w:t>,</w:t>
      </w:r>
      <w:r w:rsidRPr="00556A8B">
        <w:t xml:space="preserve"> enfatiza la apertura, la contingencia y la historicidad del lenguaje. No existen estructuras fijas que aseguren definitivamente el significado de los enunciados; el sentido emerge de juegos diferenciales, desplazamientos, rupturas y reconfiguraciones que lo mantienen siempre provisorio y situado. Como plantea Derrida (1967), “no hay centro, ni origen, ni fundamento último que garantice la estabilidad del sentido; solo hay huellas, diferencias, reenvíos indefinidos” (p. 384).</w:t>
      </w:r>
    </w:p>
    <w:p w14:paraId="411113A4" w14:textId="77777777" w:rsidR="00DE23BF" w:rsidRPr="00556A8B" w:rsidRDefault="00DE23BF" w:rsidP="00357B2F">
      <w:r w:rsidRPr="00556A8B">
        <w:t>Esta comprensión del lenguaje tiene implicaciones directas para el análisis estructural de contenido: impide cualquier tentación de clausura interpretativa y exige una atención constante a las tensiones, contradicciones, ambigüedades y fisuras que atraviesan el campo discursivo.</w:t>
      </w:r>
    </w:p>
    <w:p w14:paraId="472B5AA3" w14:textId="77777777" w:rsidR="00DE23BF" w:rsidRPr="00556A8B" w:rsidRDefault="00DE23BF" w:rsidP="00357B2F">
      <w:r w:rsidRPr="00556A8B">
        <w:t>En consecuencia, el diseño metodológico adoptado opera como un dispositivo que articula el rigor sistemático del análisis estructural con la sensibilidad crítica y genealógica del postestructuralismo. Por un lado, se implementan procedimientos rigurosos de segmentación, codificación y análisis categorial que permiten identificar patrones y regularidades en el discurso. Por otro, se mantiene una vigilancia epistémica permanente que evita la reificación de dichas regularidades como si fueran esencias o leyes naturales, interrogando en cambio sus condiciones históricas de posibilidad, sus efectos de poder y las formas de subjetivación que producen. Como advierte Foucault (1969), el análisis del discurso no debe “desenterrar sentidos ocultos”, sino mostrar cómo se han constituido determinadas regularidades y qué efectos de verdad han producido (p. 55).</w:t>
      </w:r>
    </w:p>
    <w:p w14:paraId="52E092D1" w14:textId="572B4937" w:rsidR="000E5B14" w:rsidRPr="00556A8B" w:rsidRDefault="00DE23BF" w:rsidP="00357B2F">
      <w:r w:rsidRPr="00556A8B">
        <w:t xml:space="preserve">Este diseño permite, en definitiva, abordar las prácticas discursivas de los profesionales de la psicología no como meros reflejos de pensamientos individuales ni como simples derivaciones de estructuras sociales determinantes, sino como formaciones históricamente constituidas que participan activamente en la producción de formas contemporáneas de subjetividad saludable. El análisis estructural de contenido, en su versión postestructuralista y crítica, se configura así como una herramienta capaz de visibilizar las gramáticas implícitas, los regímenes de verdad y las </w:t>
      </w:r>
      <w:r w:rsidRPr="00556A8B">
        <w:lastRenderedPageBreak/>
        <w:t>tecnologías de gobierno que operan en y a través de los discursos psicológicos sobre la salud mental en el presente histórico</w:t>
      </w:r>
      <w:r w:rsidR="000E5B14" w:rsidRPr="00556A8B">
        <w:rPr>
          <w:lang w:val="es-MX"/>
        </w:rPr>
        <w:t>.</w:t>
      </w:r>
    </w:p>
    <w:p w14:paraId="0C6D3864" w14:textId="181ADA67" w:rsidR="000E5B14" w:rsidRPr="00556A8B" w:rsidRDefault="000E5B14" w:rsidP="000162FA">
      <w:pPr>
        <w:pStyle w:val="Ttulo3"/>
        <w:numPr>
          <w:ilvl w:val="2"/>
          <w:numId w:val="6"/>
        </w:numPr>
        <w:spacing w:line="360" w:lineRule="auto"/>
        <w:rPr>
          <w:rFonts w:eastAsia="Times New Roman"/>
          <w:lang w:val="es-MX"/>
        </w:rPr>
      </w:pPr>
      <w:bookmarkStart w:id="75" w:name="_Toc232580600"/>
      <w:r w:rsidRPr="00556A8B">
        <w:rPr>
          <w:rFonts w:eastAsia="Times New Roman"/>
          <w:lang w:val="es-MX"/>
        </w:rPr>
        <w:t xml:space="preserve">Alcance: </w:t>
      </w:r>
      <w:r w:rsidR="00A43D70">
        <w:rPr>
          <w:rFonts w:eastAsia="Times New Roman"/>
          <w:lang w:val="es-MX"/>
        </w:rPr>
        <w:t>Analítico</w:t>
      </w:r>
      <w:r w:rsidRPr="00556A8B">
        <w:rPr>
          <w:rFonts w:eastAsia="Times New Roman"/>
          <w:lang w:val="es-MX"/>
        </w:rPr>
        <w:t>-Interpretativo con Énfasis en la Profundización Analítica</w:t>
      </w:r>
      <w:bookmarkEnd w:id="75"/>
    </w:p>
    <w:p w14:paraId="18B6EC5F" w14:textId="69638B6E" w:rsidR="00A43D70" w:rsidRPr="00556A8B" w:rsidRDefault="00A43D70" w:rsidP="00357B2F">
      <w:r w:rsidRPr="00A43D70">
        <w:t>El alcance de esta investigación es analítico-interpretativo, lo cual implica que su propósito no radica en la generalización estadística de resultados hacia una población amplia, sino en la comprensión profunda, situada y críticamente fundamentada de las prácticas discursivas que configuran las formas contemporáneas de subjetividad saludable en el campo de la psicología. A diferencia de los estudios exploratorios, esta investigación se sitúa en un campo de problematización ya constituido</w:t>
      </w:r>
      <w:r>
        <w:t xml:space="preserve">, </w:t>
      </w:r>
      <w:r w:rsidRPr="00A43D70">
        <w:t>la crítica a las psicociencias, la medicalización y la gubernamentalidad</w:t>
      </w:r>
      <w:r w:rsidR="007B40CE">
        <w:t xml:space="preserve">, </w:t>
      </w:r>
      <w:r w:rsidRPr="00A43D70">
        <w:t>y avanza sobre él mediante un análisis específico de las gramáticas discursivas que producen y regulan las formas legítimas de ser un sujeto saludable desde las voces de los propios profesionales de la psicología. Como señala Vasilachis de Gialdino (2006), la investigación cualitativa de alcance interpretativo no explora territorios desconocidos, sino que problematiza lo naturalizado en campos ya constituidos, produciendo inteligibilidad crítica sobre sus condiciones de posibilidad y sus efectos de sentido. En este marco, el análisis no busca generalizaciones universales sino hacer visible la historicidad, la contingencia y los efectos de poder que atraviesan las nociones contemporáneas de salud mental y subjetividad saludable.</w:t>
      </w:r>
    </w:p>
    <w:p w14:paraId="728785C0" w14:textId="77777777" w:rsidR="00DE23BF" w:rsidRPr="00556A8B" w:rsidRDefault="00DE23BF" w:rsidP="00357B2F">
      <w:r w:rsidRPr="00556A8B">
        <w:t>Si bien existen investigaciones críticas sobre la medicalización de la salud mental y la psicologización de la vida cotidiana, son escasos los estudios que, desde una perspectiva genealógica y mediante el análisis de las voces de los propios profesionales de la psicología, interrogan las gramáticas discursivas que producen y regulan las formas legítimas de ser un sujeto saludable en el presente histórico. En este sentido, el carácter exploratorio no alude a una indeterminación conceptual, sino a la apertura analítica necesaria para cartografiar un campo discursivo cuya complejidad exige ser abordada sin presupuestos cerrados.</w:t>
      </w:r>
    </w:p>
    <w:p w14:paraId="26F11074" w14:textId="4A4C728E" w:rsidR="0077250D" w:rsidRPr="00556A8B" w:rsidRDefault="00DE23BF" w:rsidP="00357B2F">
      <w:r w:rsidRPr="00556A8B">
        <w:t xml:space="preserve">El componente interpretativo, por su parte, supone que el análisis no se limita a describir el contenido manifiesto de los discursos, sino que se orienta hacia la comprensión de sus dimensiones latentes, sus condiciones históricas de posibilidad y sus efectos de subjetivación. </w:t>
      </w:r>
      <w:r w:rsidR="0077250D" w:rsidRPr="0077250D">
        <w:t xml:space="preserve">Como señala Deleuze (1987), el análisis foucaultiano no consiste en descifrar un sentido oculto que aguarda ser revelado, sino en trazar los diagramas de fuerzas que hacen posible que ciertos enunciados emerjan como verdaderos y otros queden silenciados. Interpretar, en este marco, no es encontrar un significado que preexiste al análisis, sino rastrear las condiciones históricas bajo las </w:t>
      </w:r>
      <w:r w:rsidR="0077250D" w:rsidRPr="0077250D">
        <w:lastRenderedPageBreak/>
        <w:t>cuales determinadas formas de decir y de saber se imponen como legítimas. En coherencia con esta perspectiva, la investigación se guía por una pregunta genealógica central: ¿cómo han llegado a ser posibles, en el presente histórico, ciertos modos de problematizar la salud mental, y qué formas de subjetividad producen, legitiman o excluyen estos discursos?</w:t>
      </w:r>
    </w:p>
    <w:p w14:paraId="607C68AA" w14:textId="77777777" w:rsidR="00DE23BF" w:rsidRPr="00556A8B" w:rsidRDefault="00DE23BF" w:rsidP="00357B2F">
      <w:r w:rsidRPr="00556A8B">
        <w:t>Conviene subrayar que el alcance exploratorio-interpretativo no implica una menor exigencia metodológica. Por el contrario, demanda una atención minuciosa a los detalles del lenguaje, una reflexividad constante respecto a las decisiones analíticas y una explicitación rigurosa de los procedimientos empleados. Como sostienen Lincoln y Guba (1985), la validez en investigación cualitativa no se fundamenta en criterios de replicabilidad experimental, sino en la credibilidad, la transferibilidad, la dependabilidad y la confirmabilidad de las interpretaciones producidas. Tales criterios exigen un trabajo sistemático de documentación, contraste y revisión crítica, orientado a garantizar que la interpretación no sea arbitraria, sino argumentativamente fundada y metodológicamente transparente.</w:t>
      </w:r>
    </w:p>
    <w:p w14:paraId="10D6CDCC" w14:textId="3F3CFEF1" w:rsidR="000E5B14" w:rsidRPr="00556A8B" w:rsidRDefault="00DE23BF" w:rsidP="00357B2F">
      <w:r w:rsidRPr="00556A8B">
        <w:t>Desde esta perspectiva, el alcance adoptado no reduce la ambición teórica del estudio; por el contrario, la redefine. En lugar de aspirar a generalizaciones universales, la investigación busca producir inteligibilidad crítica sobre un campo discursivo específico, haciendo visible la historicidad, la contingencia y los efectos de poder que atraviesan las nociones contemporáneas de salud mental y subjetividad saludable</w:t>
      </w:r>
      <w:r w:rsidR="000E5B14" w:rsidRPr="00556A8B">
        <w:rPr>
          <w:lang w:val="es-MX"/>
        </w:rPr>
        <w:t>.</w:t>
      </w:r>
    </w:p>
    <w:p w14:paraId="1BA1B6CC" w14:textId="77777777" w:rsidR="000E5B14" w:rsidRPr="00556A8B" w:rsidRDefault="000E5B14" w:rsidP="00357B2F">
      <w:pPr>
        <w:rPr>
          <w:lang w:val="es-MX"/>
        </w:rPr>
      </w:pPr>
    </w:p>
    <w:p w14:paraId="25EE5F9E" w14:textId="551DCEBB" w:rsidR="000E5B14" w:rsidRPr="00556A8B" w:rsidRDefault="000E5B14" w:rsidP="000162FA">
      <w:pPr>
        <w:pStyle w:val="Ttulo3"/>
        <w:numPr>
          <w:ilvl w:val="2"/>
          <w:numId w:val="6"/>
        </w:numPr>
        <w:spacing w:line="360" w:lineRule="auto"/>
        <w:rPr>
          <w:rFonts w:eastAsia="Times New Roman"/>
          <w:lang w:val="es-MX"/>
        </w:rPr>
      </w:pPr>
      <w:bookmarkStart w:id="76" w:name="_Toc232580601"/>
      <w:r w:rsidRPr="00556A8B">
        <w:rPr>
          <w:rFonts w:eastAsia="Times New Roman"/>
          <w:lang w:val="es-MX"/>
        </w:rPr>
        <w:t xml:space="preserve">Paradigma: Perspectiva Postestructuralista, </w:t>
      </w:r>
      <w:r w:rsidRPr="00556A8B">
        <w:t>fundamentos epistémicos, ontológicos y metodológicos.</w:t>
      </w:r>
      <w:bookmarkEnd w:id="76"/>
    </w:p>
    <w:p w14:paraId="4BE39276" w14:textId="77A08A0C" w:rsidR="00DE23BF" w:rsidRPr="00556A8B" w:rsidRDefault="00DE23BF" w:rsidP="00357B2F">
      <w:r w:rsidRPr="00556A8B">
        <w:t xml:space="preserve">Esta </w:t>
      </w:r>
      <w:r w:rsidR="00081FEA" w:rsidRPr="00556A8B">
        <w:t xml:space="preserve">tesis doctoral </w:t>
      </w:r>
      <w:r w:rsidRPr="00556A8B">
        <w:t>se inscribe en el paradigma postestructuralista, entendido como una ruptura epistémica con las tradiciones filosóficas y científicas que sostienen la existencia de esencias, fundamentos universales o estructuras estables que determinarían el sentido de lo real (Foucault, 1969; Derrida, 1967; Deleuze, 1969). Frente a estas perspectivas, el postestructuralismo desplaza el interés desde la búsqueda de fundamentos hacia el análisis de las condiciones históricas de emergencia de los discursos, las prácticas y las formas de subjetividad.</w:t>
      </w:r>
    </w:p>
    <w:p w14:paraId="74768E22" w14:textId="3C46E00B" w:rsidR="00DE23BF" w:rsidRPr="00556A8B" w:rsidRDefault="00DE23BF" w:rsidP="00357B2F">
      <w:r w:rsidRPr="00556A8B">
        <w:t>En lugar de asumir una realidad objetiva independiente del observador</w:t>
      </w:r>
      <w:r w:rsidR="00DE6798" w:rsidRPr="00556A8B">
        <w:t xml:space="preserve">, </w:t>
      </w:r>
      <w:r w:rsidRPr="00556A8B">
        <w:t>como lo haría el realismo ingenuo</w:t>
      </w:r>
      <w:r w:rsidR="00DE6798" w:rsidRPr="00556A8B">
        <w:t>,</w:t>
      </w:r>
      <w:r w:rsidRPr="00556A8B">
        <w:t xml:space="preserve"> o un sistema lingüístico cerrado regido por leyes invariables</w:t>
      </w:r>
      <w:r w:rsidR="00DE6798" w:rsidRPr="00556A8B">
        <w:t xml:space="preserve">, </w:t>
      </w:r>
      <w:r w:rsidRPr="00556A8B">
        <w:t>como proponía el estructuralismo clásico, el postestructuralismo sostiene una ontología anti-esencialista según la cual la realidad es históricamente constituida, contingente y atravesada por relaciones de poder-</w:t>
      </w:r>
      <w:r w:rsidRPr="00556A8B">
        <w:lastRenderedPageBreak/>
        <w:t>saber que producen efectos materiales sobre los cuerpos, las instituciones y las formas de vida. Como señala Foucault (1969), el análisis no busca “descubrir esencias ocultas”, sino describir las condiciones históricas que hacen posible la emergencia de ciertos enunciados y prácticas en un momento determinado.</w:t>
      </w:r>
    </w:p>
    <w:p w14:paraId="0337A352" w14:textId="77777777" w:rsidR="00DE23BF" w:rsidRPr="00556A8B" w:rsidRDefault="00DE23BF" w:rsidP="00357B2F">
      <w:r w:rsidRPr="00556A8B">
        <w:t>Ello implica un desplazamiento decisivo: la pregunta ya no es “¿qué es la verdad?”, sino “¿cómo se constituyen históricamente los regímenes de verdad?”; no “¿qué es el sujeto?”, sino “¿cómo se producen formas específicas de subjetividad mediante prácticas discursivas e institucionales?”. En consonancia con Derrida (1967), no existe un centro último que garantice la estabilidad del sentido; este emerge de un juego diferencial siempre provisorio, atravesado por desplazamientos, exclusiones y reconfiguraciones.</w:t>
      </w:r>
    </w:p>
    <w:p w14:paraId="088122BC" w14:textId="77777777" w:rsidR="00DE23BF" w:rsidRPr="00556A8B" w:rsidRDefault="00DE23BF" w:rsidP="00357B2F">
      <w:r w:rsidRPr="00556A8B">
        <w:t>Desde el punto de vista epistemológico, el conocimiento no se concibe como representación neutral de una realidad preexistente, sino como efecto de prácticas discursivas que constituyen activamente aquello que nombran (Gibson-Graham, 2002). El lenguaje no refleja el mundo: lo organiza, lo delimita y lo hace inteligible bajo determinadas condiciones históricas (Foucault, 1969). En esta línea, el discurso no es simplemente el medio a través del cual se expresan relaciones de poder, sino uno de los espacios donde estas se ejercen y se disputan (Foucault, 1970).</w:t>
      </w:r>
    </w:p>
    <w:p w14:paraId="5D1E44A3" w14:textId="77777777" w:rsidR="00DE23BF" w:rsidRPr="00556A8B" w:rsidRDefault="00DE23BF" w:rsidP="00357B2F">
      <w:r w:rsidRPr="00556A8B">
        <w:t xml:space="preserve">La noción derridiana de </w:t>
      </w:r>
      <w:r w:rsidRPr="00556A8B">
        <w:rPr>
          <w:i/>
          <w:iCs/>
        </w:rPr>
        <w:t>différance</w:t>
      </w:r>
      <w:r w:rsidRPr="00556A8B">
        <w:t xml:space="preserve"> profundiza esta comprensión al mostrar que el significado nunca se presenta como plenamente presente o definitivo, sino que se produce mediante un movimiento constante de diferencias y aplazamientos. Así, reconocer que “no hay nada fuera del texto” (Derrida, 1967) no implica negar la materialidad del mundo, sino afirmar que toda experiencia está mediada por sistemas de significación que la hacen posible y la estructuran. El sentido, por tanto, no es estable ni autosuficiente, sino relacional y contingente.</w:t>
      </w:r>
    </w:p>
    <w:p w14:paraId="6D3C16D7" w14:textId="77777777" w:rsidR="00DE23BF" w:rsidRPr="00556A8B" w:rsidRDefault="00DE23BF" w:rsidP="00357B2F">
      <w:r w:rsidRPr="00556A8B">
        <w:t>Este posicionamiento conlleva una redefinición de la objetividad. El postestructuralismo no aspira a una neutralidad universal, sino que reconoce que todo conocimiento es situado, parcial y políticamente implicado. En términos de Haraway (1988), la objetividad remite a “conocimientos situados”, lo cual supone asumir la responsabilidad por las condiciones desde las cuales se produce saber. No se trata de relativismo absoluto, sino de una epistemología reflexiva que explicita sus compromisos y límites, reconociendo que toda mirada interviene en aquello que describe.</w:t>
      </w:r>
    </w:p>
    <w:p w14:paraId="35452DC4" w14:textId="71D387AD" w:rsidR="00DE23BF" w:rsidRPr="00556A8B" w:rsidRDefault="00DE23BF" w:rsidP="00357B2F">
      <w:r w:rsidRPr="00556A8B">
        <w:lastRenderedPageBreak/>
        <w:t>En el plano metodológico, este paradigma se traduce en la adopción de estrategias genealógicas de orientación foucaultiana. La arqueología permite identificar las reglas de formación que organizan lo decible y delimitan los umbrales de enunciabilidad (Foucault, 1969); la genealogía, por su parte, interroga las relaciones de poder que atraviesan esas formaciones discursivas, mostrando cómo ciertos saberes se imponen como verdaderos mientras otros son descalificados o silenciados (Foucault, 1971). Ambas perspectivas no buscan revelar una verdad oculta, sino mapear regularidades, discontinuidades y efectos de subjetivación.</w:t>
      </w:r>
    </w:p>
    <w:p w14:paraId="39F99531" w14:textId="65E5B306" w:rsidR="00DE23BF" w:rsidRPr="00556A8B" w:rsidRDefault="00DE23BF" w:rsidP="00357B2F">
      <w:r w:rsidRPr="00556A8B">
        <w:t>En coherencia con este marco, la elección del análisis estructural de contenido en clave postestructuralista responde a la necesidad de articular sistematicidad analítica con sensibilidad crítica. Si bien el análisis estructural permite identificar patrones y gramáticas discursivas, el paradigma adoptado impide que tales regularidades sean como estructuras esenciales, comprendiéndolas, en cambio, como formaciones históricamente contingentes y susceptibles de transformación (Deleuze, 1990).</w:t>
      </w:r>
    </w:p>
    <w:p w14:paraId="36DD3C3D" w14:textId="77777777" w:rsidR="00DE23BF" w:rsidRPr="00556A8B" w:rsidRDefault="00DE23BF" w:rsidP="00357B2F">
      <w:r w:rsidRPr="00556A8B">
        <w:t>Finalmente, este posicionamiento se vincula con lo que Foucault (2008) denomina una ontología crítica del presente: una forma de problematización que interroga “qué somos en este preciso momento de la historia” y cómo hemos llegado a serlo. Esta ontología no busca sustituir un régimen de verdad por otro, ni ofrecer una teoría totalizante sobre la salud mental, sino desnaturalizar lo evidente, mostrar la contingencia de lo dado y abrir el campo de lo posible. En palabras de Ibáñez (2001), la tarea crítica no consiste en fundar una nueva verdad, sino en evidenciar que lo que es podría ser de otro modo.</w:t>
      </w:r>
    </w:p>
    <w:p w14:paraId="54F874D4" w14:textId="754CF447" w:rsidR="000E5B14" w:rsidRPr="00556A8B" w:rsidRDefault="00DE23BF" w:rsidP="00357B2F">
      <w:r w:rsidRPr="00556A8B">
        <w:t>Desde esta perspectiva, la presente investigación se asume como un ejercicio de crítica situada que examina las prácticas discursivas de la psicología no para clausurar el sentido, sino para problematizar los regímenes de verdad que configuran las nociones contemporáneas de subjetividad saludable y abrirlas a nuevas posibilidades de interrogación y transformación</w:t>
      </w:r>
      <w:r w:rsidR="000E5B14" w:rsidRPr="00556A8B">
        <w:rPr>
          <w:lang w:val="es-MX"/>
        </w:rPr>
        <w:t>.</w:t>
      </w:r>
    </w:p>
    <w:p w14:paraId="5D1AA050" w14:textId="77777777" w:rsidR="00F874B8" w:rsidRPr="00556A8B" w:rsidRDefault="00F874B8" w:rsidP="00357B2F"/>
    <w:p w14:paraId="4DFDB5A8" w14:textId="4A2A313F" w:rsidR="000E5B14" w:rsidRPr="00556A8B" w:rsidRDefault="000E5B14" w:rsidP="00357B2F">
      <w:pPr>
        <w:pStyle w:val="Ttulo2"/>
        <w:rPr>
          <w:rFonts w:eastAsia="Times New Roman"/>
        </w:rPr>
      </w:pPr>
      <w:bookmarkStart w:id="77" w:name="_Toc232580602"/>
      <w:r w:rsidRPr="00556A8B">
        <w:rPr>
          <w:rFonts w:eastAsia="Times New Roman"/>
        </w:rPr>
        <w:t>El Caleidoscopio como Estrategia Analítica Operativa</w:t>
      </w:r>
      <w:bookmarkEnd w:id="77"/>
    </w:p>
    <w:p w14:paraId="0D575F0A" w14:textId="4BE3018F" w:rsidR="004A5D6C" w:rsidRPr="00556A8B" w:rsidRDefault="004A5D6C" w:rsidP="000162FA">
      <w:pPr>
        <w:spacing w:before="100" w:beforeAutospacing="1" w:after="100" w:afterAutospacing="1"/>
        <w:ind w:firstLine="708"/>
        <w:contextualSpacing w:val="0"/>
        <w:rPr>
          <w:rFonts w:eastAsia="Times New Roman" w:cs="Times New Roman"/>
          <w:kern w:val="0"/>
          <w14:ligatures w14:val="none"/>
        </w:rPr>
      </w:pPr>
      <w:r w:rsidRPr="00556A8B">
        <w:rPr>
          <w:rFonts w:eastAsia="Times New Roman" w:cs="Times New Roman"/>
          <w:kern w:val="0"/>
          <w14:ligatures w14:val="none"/>
        </w:rPr>
        <w:t xml:space="preserve">La metáfora del caleidoscopio, previamente formulada como dispositivo heurístico y epistémico, se traduce aquí en una estrategia analítica operativa organizada en cuatro movimientos denominados </w:t>
      </w:r>
      <w:r w:rsidRPr="00556A8B">
        <w:rPr>
          <w:rFonts w:eastAsia="Times New Roman" w:cs="Times New Roman"/>
          <w:i/>
          <w:iCs/>
          <w:kern w:val="0"/>
          <w14:ligatures w14:val="none"/>
        </w:rPr>
        <w:t>giros</w:t>
      </w:r>
      <w:r w:rsidRPr="00556A8B">
        <w:rPr>
          <w:rFonts w:eastAsia="Times New Roman" w:cs="Times New Roman"/>
          <w:kern w:val="0"/>
          <w14:ligatures w14:val="none"/>
        </w:rPr>
        <w:t xml:space="preserve">. El término no es casual ni meramente metafórico: remite a una decisión metodológica deliberada. En sentido epistemológico, un giro designa una reorientación </w:t>
      </w:r>
      <w:r w:rsidRPr="00556A8B">
        <w:rPr>
          <w:rFonts w:eastAsia="Times New Roman" w:cs="Times New Roman"/>
          <w:kern w:val="0"/>
          <w14:ligatures w14:val="none"/>
        </w:rPr>
        <w:lastRenderedPageBreak/>
        <w:t xml:space="preserve">de la mirada analítica sobre el mismo material discursivo, que no lo </w:t>
      </w:r>
      <w:r w:rsidR="00B10ABB" w:rsidRPr="00556A8B">
        <w:rPr>
          <w:rFonts w:eastAsia="Times New Roman" w:cs="Times New Roman"/>
          <w:kern w:val="0"/>
          <w14:ligatures w14:val="none"/>
        </w:rPr>
        <w:t>agota,</w:t>
      </w:r>
      <w:r w:rsidRPr="00556A8B">
        <w:rPr>
          <w:rFonts w:eastAsia="Times New Roman" w:cs="Times New Roman"/>
          <w:kern w:val="0"/>
          <w14:ligatures w14:val="none"/>
        </w:rPr>
        <w:t xml:space="preserve"> sino que lo reorganiza desde un ángulo distinto, produciendo cada vez una nueva disposición de sentido. A diferencia de una fase o etapa —que supone un avance lineal y acumulativo hacia un resultado final—, el giro implica volver sobre lo ya leído desde otra perspectiva, de modo que el corpus no se </w:t>
      </w:r>
      <w:r w:rsidR="00B10ABB" w:rsidRPr="00556A8B">
        <w:rPr>
          <w:rFonts w:eastAsia="Times New Roman" w:cs="Times New Roman"/>
          <w:kern w:val="0"/>
          <w14:ligatures w14:val="none"/>
        </w:rPr>
        <w:t>consume,</w:t>
      </w:r>
      <w:r w:rsidRPr="00556A8B">
        <w:rPr>
          <w:rFonts w:eastAsia="Times New Roman" w:cs="Times New Roman"/>
          <w:kern w:val="0"/>
          <w14:ligatures w14:val="none"/>
        </w:rPr>
        <w:t xml:space="preserve"> sino que se profundiza. Esta distinción es fundamental: los giros no se suceden porque uno esté terminado y el siguiente pueda comenzar; se articulan porque cada uno </w:t>
      </w:r>
      <w:r w:rsidR="00B10ABB" w:rsidRPr="00556A8B">
        <w:rPr>
          <w:rFonts w:eastAsia="Times New Roman" w:cs="Times New Roman"/>
          <w:kern w:val="0"/>
          <w14:ligatures w14:val="none"/>
        </w:rPr>
        <w:t>activas dimensiones</w:t>
      </w:r>
      <w:r w:rsidRPr="00556A8B">
        <w:rPr>
          <w:rFonts w:eastAsia="Times New Roman" w:cs="Times New Roman"/>
          <w:kern w:val="0"/>
          <w14:ligatures w14:val="none"/>
        </w:rPr>
        <w:t xml:space="preserve"> del discurso que los otros no pueden capturar por sí solos.</w:t>
      </w:r>
    </w:p>
    <w:p w14:paraId="6BE5C026" w14:textId="77777777" w:rsidR="004A5D6C" w:rsidRPr="00556A8B" w:rsidRDefault="004A5D6C" w:rsidP="000162FA">
      <w:pPr>
        <w:spacing w:before="100" w:beforeAutospacing="1" w:after="100" w:afterAutospacing="1"/>
        <w:ind w:firstLine="708"/>
        <w:contextualSpacing w:val="0"/>
        <w:rPr>
          <w:rFonts w:eastAsia="Times New Roman" w:cs="Times New Roman"/>
          <w:kern w:val="0"/>
          <w14:ligatures w14:val="none"/>
        </w:rPr>
      </w:pPr>
      <w:r w:rsidRPr="00556A8B">
        <w:rPr>
          <w:rFonts w:eastAsia="Times New Roman" w:cs="Times New Roman"/>
          <w:kern w:val="0"/>
          <w14:ligatures w14:val="none"/>
        </w:rPr>
        <w:t>Los cuatro giros no constituyen fases cerradas sino dimensiones analíticas que se entrecruzan, se corrigen y se reconfiguran mutuamente. Funcionan de manera recursiva: el análisis de subjetivación puede reorientar la lectura de asociaciones; las oposiciones pueden resignificar los enunciados iniciales. Cada fragmento puede ser leído simultáneamente como enunciado, como elemento de una oposición, como parte de una red semántica y como productor de subjetividad. Esta dinámica impide la clausura interpretativa y mantiene la apertura crítica propia del paradigma postestructuralista. El dispositivo caleidoscópico no fija el sentido; lo reorganiza, lo desplaza y lo problematiza, permitiendo captar la complejidad y las tensiones que atraviesan las prácticas discursivas contemporáneas sobre la salud mental.</w:t>
      </w:r>
    </w:p>
    <w:p w14:paraId="68095083" w14:textId="77777777" w:rsidR="004A5D6C" w:rsidRPr="00556A8B" w:rsidRDefault="004A5D6C" w:rsidP="000162FA">
      <w:pPr>
        <w:spacing w:before="100" w:beforeAutospacing="1" w:after="100" w:afterAutospacing="1"/>
        <w:ind w:firstLine="708"/>
        <w:contextualSpacing w:val="0"/>
        <w:rPr>
          <w:rFonts w:eastAsia="Times New Roman" w:cs="Times New Roman"/>
          <w:kern w:val="0"/>
          <w14:ligatures w14:val="none"/>
        </w:rPr>
      </w:pPr>
      <w:r w:rsidRPr="00556A8B">
        <w:rPr>
          <w:rFonts w:eastAsia="Times New Roman" w:cs="Times New Roman"/>
          <w:kern w:val="0"/>
          <w14:ligatures w14:val="none"/>
        </w:rPr>
        <w:t>Siguiendo a Deleuze (1990), el pensamiento no se dirige a lo idéntico sino a lo múltiple; por ello, cada giro reorganiza el material discursivo en nuevas figuras interpretativas. La estrategia no busca revelar una "verdad" oculta del discurso profesional, sino cartografiar sus regularidades, oposiciones, asociaciones y efectos de subjetivación, mostrando cómo el poder opera productivamente en la constitución de formas contemporáneas de subjetividad saludable.</w:t>
      </w:r>
    </w:p>
    <w:p w14:paraId="0AF5A552" w14:textId="77777777" w:rsidR="004A5D6C" w:rsidRPr="00556A8B" w:rsidRDefault="004A5D6C" w:rsidP="00CD0F96">
      <w:pPr>
        <w:spacing w:before="100" w:beforeAutospacing="1" w:after="100" w:afterAutospacing="1"/>
        <w:ind w:firstLine="0"/>
        <w:contextualSpacing w:val="0"/>
        <w:rPr>
          <w:rFonts w:eastAsia="Times New Roman" w:cs="Times New Roman"/>
          <w:kern w:val="0"/>
          <w14:ligatures w14:val="none"/>
        </w:rPr>
      </w:pPr>
      <w:r w:rsidRPr="00556A8B">
        <w:rPr>
          <w:rFonts w:eastAsia="Times New Roman" w:cs="Times New Roman"/>
          <w:b/>
          <w:bCs/>
          <w:kern w:val="0"/>
          <w14:ligatures w14:val="none"/>
        </w:rPr>
        <w:t>5.3.1. Primer giro: identificación enunciativa: ¿Qué se dice?</w:t>
      </w:r>
    </w:p>
    <w:p w14:paraId="0CD3FB02" w14:textId="77777777" w:rsidR="004A5D6C" w:rsidRPr="00556A8B" w:rsidRDefault="004A5D6C" w:rsidP="000162FA">
      <w:pPr>
        <w:spacing w:before="100" w:beforeAutospacing="1" w:after="100" w:afterAutospacing="1"/>
        <w:ind w:firstLine="708"/>
        <w:contextualSpacing w:val="0"/>
        <w:rPr>
          <w:rFonts w:eastAsia="Times New Roman" w:cs="Times New Roman"/>
          <w:kern w:val="0"/>
          <w14:ligatures w14:val="none"/>
        </w:rPr>
      </w:pPr>
      <w:r w:rsidRPr="00556A8B">
        <w:rPr>
          <w:rFonts w:eastAsia="Times New Roman" w:cs="Times New Roman"/>
          <w:kern w:val="0"/>
          <w14:ligatures w14:val="none"/>
        </w:rPr>
        <w:t>El primer movimiento consiste en la identificación sistemática de enunciados significativos en cada entrevista. Las preguntas orientadoras son: ¿qué se afirma sobre la salud mental?, ¿qué formulaciones circulan con estatuto de evidencia?, ¿qué modos de problematización se ponen en juego?</w:t>
      </w:r>
    </w:p>
    <w:p w14:paraId="32A125AE" w14:textId="40361B96" w:rsidR="004A5D6C" w:rsidRPr="00556A8B" w:rsidRDefault="004A5D6C" w:rsidP="000162FA">
      <w:pPr>
        <w:spacing w:before="100" w:beforeAutospacing="1" w:after="100" w:afterAutospacing="1"/>
        <w:ind w:firstLine="708"/>
        <w:contextualSpacing w:val="0"/>
        <w:rPr>
          <w:rFonts w:eastAsia="Times New Roman" w:cs="Times New Roman"/>
          <w:kern w:val="0"/>
          <w14:ligatures w14:val="none"/>
        </w:rPr>
      </w:pPr>
      <w:r w:rsidRPr="00556A8B">
        <w:rPr>
          <w:rFonts w:eastAsia="Times New Roman" w:cs="Times New Roman"/>
          <w:kern w:val="0"/>
          <w14:ligatures w14:val="none"/>
        </w:rPr>
        <w:t xml:space="preserve">Este giro no se limita a la enumeración temática, sino que atiende a unidades enunciativas que expresan posiciones discursivas: categorías, metáforas, nociones de normalidad, criterios de </w:t>
      </w:r>
      <w:r w:rsidRPr="00556A8B">
        <w:rPr>
          <w:rFonts w:eastAsia="Times New Roman" w:cs="Times New Roman"/>
          <w:kern w:val="0"/>
          <w14:ligatures w14:val="none"/>
        </w:rPr>
        <w:lastRenderedPageBreak/>
        <w:t>legitimidad subjetiva. En términos foucaultianos, se trata de determinar las condiciones bajo las cuales ciertos enunciados pueden ejercer la función enunciativa (Foucault, 1969). El resultado es la construcción de un corpus organizado de fragmentos discursivos que incluye tanto lo explícitamente dicho como los silencios significativos que delimitan negativamente el campo de lo pensable. Este inventario constituye la base sobre la cual operan los giros posteriores.</w:t>
      </w:r>
    </w:p>
    <w:p w14:paraId="0F8634F2" w14:textId="77777777" w:rsidR="004A5D6C" w:rsidRPr="00556A8B" w:rsidRDefault="004A5D6C" w:rsidP="000162FA">
      <w:pPr>
        <w:spacing w:before="100" w:beforeAutospacing="1" w:after="100" w:afterAutospacing="1"/>
        <w:ind w:firstLine="0"/>
        <w:contextualSpacing w:val="0"/>
        <w:rPr>
          <w:rFonts w:eastAsia="Times New Roman" w:cs="Times New Roman"/>
          <w:kern w:val="0"/>
          <w14:ligatures w14:val="none"/>
        </w:rPr>
      </w:pPr>
      <w:r w:rsidRPr="00556A8B">
        <w:rPr>
          <w:rFonts w:eastAsia="Times New Roman" w:cs="Times New Roman"/>
          <w:b/>
          <w:bCs/>
          <w:kern w:val="0"/>
          <w14:ligatures w14:val="none"/>
        </w:rPr>
        <w:t>5.3.2. Segundo giro: análisis de disyunciones: ¿Cómo se estructuran las oposiciones?</w:t>
      </w:r>
    </w:p>
    <w:p w14:paraId="2AA9E821" w14:textId="77777777" w:rsidR="004A5D6C" w:rsidRPr="00556A8B" w:rsidRDefault="004A5D6C" w:rsidP="00CD0F96">
      <w:pPr>
        <w:spacing w:before="100" w:beforeAutospacing="1" w:after="100" w:afterAutospacing="1"/>
        <w:ind w:firstLine="708"/>
        <w:contextualSpacing w:val="0"/>
        <w:rPr>
          <w:rFonts w:eastAsia="Times New Roman" w:cs="Times New Roman"/>
          <w:kern w:val="0"/>
          <w14:ligatures w14:val="none"/>
        </w:rPr>
      </w:pPr>
      <w:r w:rsidRPr="00556A8B">
        <w:rPr>
          <w:rFonts w:eastAsia="Times New Roman" w:cs="Times New Roman"/>
          <w:kern w:val="0"/>
          <w14:ligatures w14:val="none"/>
        </w:rPr>
        <w:t>El segundo movimiento aplica el principio de disyunción para identificar las oposiciones estructurales que organizan el campo discursivo. La pregunta orientadora es: ¿qué pares binarios delimitan lo legítimo y lo desviado?, ¿cómo se trazan las fronteras entre lo normal y lo patológico?</w:t>
      </w:r>
    </w:p>
    <w:p w14:paraId="1A88F3CE" w14:textId="6A864752" w:rsidR="004A5D6C" w:rsidRPr="00556A8B" w:rsidRDefault="004A5D6C" w:rsidP="00CD0F96">
      <w:pPr>
        <w:spacing w:before="100" w:beforeAutospacing="1" w:after="100" w:afterAutospacing="1"/>
        <w:ind w:firstLine="708"/>
        <w:contextualSpacing w:val="0"/>
        <w:rPr>
          <w:rFonts w:eastAsia="Times New Roman" w:cs="Times New Roman"/>
          <w:kern w:val="0"/>
          <w14:ligatures w14:val="none"/>
        </w:rPr>
      </w:pPr>
      <w:r w:rsidRPr="00556A8B">
        <w:rPr>
          <w:rFonts w:eastAsia="Times New Roman" w:cs="Times New Roman"/>
          <w:kern w:val="0"/>
          <w14:ligatures w14:val="none"/>
        </w:rPr>
        <w:t>Oposiciones como funcional/disfuncional, autónomo/dependiente, resiliente/vulnerable no operan simplemente como descripciones, sino como organizadores jerárquicos del sentido. En ellas se inscriben valoraciones normativas que producen inclusión y exclusión simbólica. Como advierte Foucault (1976), la norma no solo prescribe; produce activamente aquello que reconoce como normal. Este giro permite elaborar un mapa de oposiciones estructurales que revelan las lógicas binarias que sostienen el régimen de verdad sobre la salud mental y las jerarquías implícitas que ordenan el campo de la subjetividad.</w:t>
      </w:r>
    </w:p>
    <w:p w14:paraId="3194AC12" w14:textId="77777777" w:rsidR="004A5D6C" w:rsidRPr="00556A8B" w:rsidRDefault="004A5D6C" w:rsidP="000162FA">
      <w:pPr>
        <w:spacing w:before="100" w:beforeAutospacing="1" w:after="100" w:afterAutospacing="1"/>
        <w:ind w:firstLine="0"/>
        <w:contextualSpacing w:val="0"/>
        <w:rPr>
          <w:rFonts w:eastAsia="Times New Roman" w:cs="Times New Roman"/>
          <w:kern w:val="0"/>
          <w14:ligatures w14:val="none"/>
        </w:rPr>
      </w:pPr>
      <w:r w:rsidRPr="00556A8B">
        <w:rPr>
          <w:rFonts w:eastAsia="Times New Roman" w:cs="Times New Roman"/>
          <w:b/>
          <w:bCs/>
          <w:kern w:val="0"/>
          <w14:ligatures w14:val="none"/>
        </w:rPr>
        <w:t>5.3.3. Tercer giro: asociaciones e isotopías: ¿Qué redes estabilizan el sentido?</w:t>
      </w:r>
    </w:p>
    <w:p w14:paraId="2F99EEAE" w14:textId="77777777" w:rsidR="004A5D6C" w:rsidRPr="00556A8B" w:rsidRDefault="004A5D6C" w:rsidP="000162FA">
      <w:pPr>
        <w:spacing w:before="100" w:beforeAutospacing="1" w:after="100" w:afterAutospacing="1"/>
        <w:ind w:firstLine="708"/>
        <w:contextualSpacing w:val="0"/>
        <w:rPr>
          <w:rFonts w:eastAsia="Times New Roman" w:cs="Times New Roman"/>
          <w:kern w:val="0"/>
          <w14:ligatures w14:val="none"/>
        </w:rPr>
      </w:pPr>
      <w:r w:rsidRPr="00556A8B">
        <w:rPr>
          <w:rFonts w:eastAsia="Times New Roman" w:cs="Times New Roman"/>
          <w:kern w:val="0"/>
          <w14:ligatures w14:val="none"/>
        </w:rPr>
        <w:t>El tercer movimiento articula los principios de asociación e isotopía para rastrear las redes semánticas y las recurrencias que estabilizan significados dominantes. La pregunta orientadora es: ¿qué conceptos co-ocurren sistemáticamente?, ¿qué núcleos semánticos se reiteran configurando zonas de densidad discursiva?</w:t>
      </w:r>
    </w:p>
    <w:p w14:paraId="4DFEC490" w14:textId="4A6CB8E8" w:rsidR="00B10ABB" w:rsidRPr="00556A8B" w:rsidRDefault="004A5D6C" w:rsidP="00B10ABB">
      <w:pPr>
        <w:spacing w:before="100" w:beforeAutospacing="1" w:after="100" w:afterAutospacing="1"/>
        <w:ind w:firstLine="708"/>
        <w:contextualSpacing w:val="0"/>
        <w:rPr>
          <w:rFonts w:eastAsia="Times New Roman" w:cs="Times New Roman"/>
          <w:kern w:val="0"/>
          <w14:ligatures w14:val="none"/>
        </w:rPr>
      </w:pPr>
      <w:r w:rsidRPr="00556A8B">
        <w:rPr>
          <w:rFonts w:eastAsia="Times New Roman" w:cs="Times New Roman"/>
          <w:kern w:val="0"/>
          <w14:ligatures w14:val="none"/>
        </w:rPr>
        <w:t xml:space="preserve">Las asociaciones muestran cómo ciertos términos se vinculan formando bloques de sentido —por ejemplo, bienestar, autonomía, productividad y autorresponsabilidad— que articulan la salud mental con racionalidades específicas. La isotopía, por su parte, identifica las reiteraciones que consolidan esos núcleos como ejes estructurantes del discurso (Greimas, 1983). El resultado es un mapa de redes semánticas que evidencia cómo se ensamblan los conceptos </w:t>
      </w:r>
      <w:r w:rsidRPr="00556A8B">
        <w:rPr>
          <w:rFonts w:eastAsia="Times New Roman" w:cs="Times New Roman"/>
          <w:kern w:val="0"/>
          <w14:ligatures w14:val="none"/>
        </w:rPr>
        <w:lastRenderedPageBreak/>
        <w:t>para producir marcos de inteligibilidad relativamente estables, aunque históricamente contingentes.</w:t>
      </w:r>
    </w:p>
    <w:p w14:paraId="69939D52" w14:textId="77777777" w:rsidR="004A5D6C" w:rsidRPr="00556A8B" w:rsidRDefault="004A5D6C" w:rsidP="000162FA">
      <w:pPr>
        <w:spacing w:before="100" w:beforeAutospacing="1" w:after="100" w:afterAutospacing="1"/>
        <w:ind w:firstLine="0"/>
        <w:contextualSpacing w:val="0"/>
        <w:rPr>
          <w:rFonts w:eastAsia="Times New Roman" w:cs="Times New Roman"/>
          <w:kern w:val="0"/>
          <w14:ligatures w14:val="none"/>
        </w:rPr>
      </w:pPr>
      <w:r w:rsidRPr="00556A8B">
        <w:rPr>
          <w:rFonts w:eastAsia="Times New Roman" w:cs="Times New Roman"/>
          <w:b/>
          <w:bCs/>
          <w:kern w:val="0"/>
          <w14:ligatures w14:val="none"/>
        </w:rPr>
        <w:t>5.3.4. Cuarto giro: condensación y efectos de subjetivación: ¿Qué formas de sujeto se producen?</w:t>
      </w:r>
    </w:p>
    <w:p w14:paraId="5F074DE5" w14:textId="006ECFED" w:rsidR="004A5D6C" w:rsidRPr="00556A8B" w:rsidRDefault="004A5D6C" w:rsidP="000162FA">
      <w:pPr>
        <w:spacing w:before="100" w:beforeAutospacing="1" w:after="100" w:afterAutospacing="1"/>
        <w:ind w:firstLine="0"/>
        <w:contextualSpacing w:val="0"/>
        <w:rPr>
          <w:rFonts w:eastAsia="Times New Roman" w:cs="Times New Roman"/>
          <w:kern w:val="0"/>
          <w14:ligatures w14:val="none"/>
        </w:rPr>
      </w:pPr>
      <w:r w:rsidRPr="00556A8B">
        <w:rPr>
          <w:rFonts w:eastAsia="Times New Roman" w:cs="Times New Roman"/>
          <w:kern w:val="0"/>
          <w14:ligatures w14:val="none"/>
        </w:rPr>
        <w:t>El cuarto movimiento opera mediante la condensación descriptiva y se orienta a interpretar los efectos de subjetivación derivados de las estructuras previamente identificadas. La pregunta central es: ¿qué tipo de sujeto se configura como saludable?, ¿qué atributos se valoran?, ¿qué t</w:t>
      </w:r>
      <w:r w:rsidR="00D5744D">
        <w:rPr>
          <w:rFonts w:eastAsia="Times New Roman" w:cs="Times New Roman"/>
          <w:kern w:val="0"/>
          <w14:ligatures w14:val="none"/>
        </w:rPr>
        <w:t>écnic</w:t>
      </w:r>
      <w:r w:rsidRPr="00556A8B">
        <w:rPr>
          <w:rFonts w:eastAsia="Times New Roman" w:cs="Times New Roman"/>
          <w:kern w:val="0"/>
          <w14:ligatures w14:val="none"/>
        </w:rPr>
        <w:t xml:space="preserve">as </w:t>
      </w:r>
      <w:r w:rsidR="00D5744D">
        <w:rPr>
          <w:rFonts w:eastAsia="Times New Roman" w:cs="Times New Roman"/>
          <w:kern w:val="0"/>
          <w14:ligatures w14:val="none"/>
        </w:rPr>
        <w:t xml:space="preserve">de si </w:t>
      </w:r>
      <w:r w:rsidRPr="00556A8B">
        <w:rPr>
          <w:rFonts w:eastAsia="Times New Roman" w:cs="Times New Roman"/>
          <w:kern w:val="0"/>
          <w14:ligatures w14:val="none"/>
        </w:rPr>
        <w:t>se promueven?, ¿qué formas de vida se legitiman o se patologizan?</w:t>
      </w:r>
    </w:p>
    <w:p w14:paraId="4D3519DB" w14:textId="362B7297" w:rsidR="000E5B14" w:rsidRPr="00556A8B" w:rsidRDefault="004A5D6C" w:rsidP="00B10ABB">
      <w:pPr>
        <w:spacing w:before="100" w:beforeAutospacing="1" w:after="100" w:afterAutospacing="1"/>
        <w:ind w:firstLine="708"/>
        <w:contextualSpacing w:val="0"/>
        <w:rPr>
          <w:rFonts w:eastAsia="Times New Roman" w:cs="Times New Roman"/>
          <w:kern w:val="0"/>
          <w14:ligatures w14:val="none"/>
        </w:rPr>
      </w:pPr>
      <w:r w:rsidRPr="00556A8B">
        <w:rPr>
          <w:rFonts w:eastAsia="Times New Roman" w:cs="Times New Roman"/>
          <w:kern w:val="0"/>
          <w14:ligatures w14:val="none"/>
        </w:rPr>
        <w:t xml:space="preserve">Aquí los fragmentos, oposiciones y redes semánticas se reorganizan en categorías analíticas más amplias que permiten comprender las lógicas de subjetivación en juego. En coherencia con Foucault (1982), el sujeto no preexiste al discurso que lo describe; es efecto de prácticas que delimitan lo pensable y lo vivible. Como señala Rose (1999), los discursos psicológicos no solo nombran la interioridad, sino que la fabrican, estableciendo los términos en los cuales los </w:t>
      </w:r>
      <w:r w:rsidR="00914AB5">
        <w:rPr>
          <w:rFonts w:eastAsia="Times New Roman" w:cs="Times New Roman"/>
          <w:kern w:val="0"/>
          <w14:ligatures w14:val="none"/>
        </w:rPr>
        <w:t>sujet</w:t>
      </w:r>
      <w:r w:rsidR="00914AB5" w:rsidRPr="00556A8B">
        <w:rPr>
          <w:rFonts w:eastAsia="Times New Roman" w:cs="Times New Roman"/>
          <w:kern w:val="0"/>
          <w14:ligatures w14:val="none"/>
        </w:rPr>
        <w:t xml:space="preserve">os </w:t>
      </w:r>
      <w:r w:rsidRPr="00556A8B">
        <w:rPr>
          <w:rFonts w:eastAsia="Times New Roman" w:cs="Times New Roman"/>
          <w:kern w:val="0"/>
          <w14:ligatures w14:val="none"/>
        </w:rPr>
        <w:t>se comprenden y se gobiernan. Este giro produce un análisis crítico de los modos de subjetivación y de las tecnologías de gobierno activadas en el campo de la salud mental.</w:t>
      </w:r>
    </w:p>
    <w:p w14:paraId="092DCEA3" w14:textId="77777777" w:rsidR="000E5B14" w:rsidRPr="00556A8B" w:rsidRDefault="000E5B14" w:rsidP="00357B2F">
      <w:pPr>
        <w:pStyle w:val="Ttulo2"/>
      </w:pPr>
      <w:bookmarkStart w:id="78" w:name="_Toc232580603"/>
      <w:r w:rsidRPr="00556A8B">
        <w:t>Giros y ensamblajes del discurso: Lógica estructural del análisis de contenido</w:t>
      </w:r>
      <w:bookmarkEnd w:id="78"/>
    </w:p>
    <w:p w14:paraId="3D5D0228" w14:textId="77777777" w:rsidR="000E5B14" w:rsidRPr="00556A8B" w:rsidRDefault="000E5B14" w:rsidP="000162FA">
      <w:pPr>
        <w:rPr>
          <w:rFonts w:cs="Times New Roman"/>
        </w:rPr>
      </w:pPr>
    </w:p>
    <w:p w14:paraId="7174B47F" w14:textId="5667E321" w:rsidR="00DE23BF" w:rsidRPr="00556A8B" w:rsidRDefault="00DE23BF" w:rsidP="00357B2F">
      <w:r w:rsidRPr="00556A8B">
        <w:t xml:space="preserve">La estrategia analítica implementada en esta propuesta metódica, en el marco del dispositivo óptico previamente descrito, permite abordar, condensar y reorganizar las tramas discursivas presentes en los datos, identificando patrones, regularidades, discontinuidades y tensiones que configuran los modos de producción de subjetividad, verdad y normatividad en el campo de la salud mental. Este enfoque parte de un supuesto fundamental: el discurso no constituye únicamente una manifestación simbólica o semiótica, sino una práctica material y productiva que interviene activamente en la configuración de realidades sociales. Lo relevante no es solo lo que se dice, sino la manera en que los enunciados se ensamblan, se </w:t>
      </w:r>
      <w:r w:rsidR="00B10ABB" w:rsidRPr="00556A8B">
        <w:t>articula</w:t>
      </w:r>
      <w:r w:rsidRPr="00556A8B">
        <w:t xml:space="preserve"> y se estabilizan para generar efectos concretos sobre los cuerpos, las prácticas y las formas de vida (Deleuze </w:t>
      </w:r>
      <w:r w:rsidR="00DE6798" w:rsidRPr="00556A8B">
        <w:t>y</w:t>
      </w:r>
      <w:r w:rsidRPr="00556A8B">
        <w:t xml:space="preserve"> Guattari, </w:t>
      </w:r>
      <w:r w:rsidR="00DC02C2" w:rsidRPr="00556A8B">
        <w:t>2004</w:t>
      </w:r>
      <w:r w:rsidRPr="00556A8B">
        <w:t>).</w:t>
      </w:r>
    </w:p>
    <w:p w14:paraId="253D600E" w14:textId="77777777" w:rsidR="00DE23BF" w:rsidRPr="00556A8B" w:rsidRDefault="00DE23BF" w:rsidP="00357B2F">
      <w:r w:rsidRPr="00556A8B">
        <w:lastRenderedPageBreak/>
        <w:t>Desde esta perspectiva, el análisis estructural de contenido se adopta como estrategia metodológica central. En su formulación clásica, Bardin (1996) lo define como un conjunto de técnicas sistemáticas destinadas a describir de manera rigurosa tanto el contenido manifiesto como el latente del discurso, mediante procedimientos de segmentación, categorización e inferencia. Sin embargo, en esta investigación, dicho análisis trasciende su dimensión técnica para convertirse en una herramienta crítica orientada a indagar las condiciones de posibilidad que sostienen determinadas configuraciones de sentido sobre lo mental, lo normal y lo saludable. No se trata únicamente de organizar información, sino de interrogar cómo ciertas formas discursivas adquieren estatuto de evidencia y cómo participan en la producción de subjetividad.</w:t>
      </w:r>
    </w:p>
    <w:p w14:paraId="3E9AAC90" w14:textId="77777777" w:rsidR="00DE23BF" w:rsidRPr="00556A8B" w:rsidRDefault="00DE23BF" w:rsidP="00357B2F">
      <w:r w:rsidRPr="00556A8B">
        <w:t>En esta ampliación crítica, el análisis estructural se articula con una perspectiva postestructuralista que concibe el discurso como práctica constitutiva, performativa y productiva. Tal como plantea Foucault (1970), el discurso no es simplemente aquello que traduce luchas o sistemas de dominación, sino aquello por lo que y mediante lo cual se lucha. En consecuencia, el análisis de los giros y ensamblajes discursivos no se limita a identificar contenidos temáticos, sino que busca comprender cómo se produce lo decible, qué reglas organizan lo pensable y qué efectos de verdad emergen de dichas configuraciones.</w:t>
      </w:r>
    </w:p>
    <w:p w14:paraId="4EDAE1FC" w14:textId="77777777" w:rsidR="00DE23BF" w:rsidRPr="00556A8B" w:rsidRDefault="00DE23BF" w:rsidP="00357B2F">
      <w:r w:rsidRPr="00556A8B">
        <w:t>Desde esta mirada, el discurso no es un espejo de lo social ni un sistema lingüístico autónomo regido por leyes internas inmutables. Es un campo estratégico en el que se instituyen verdades, se configuran posiciones subjetivas y se establecen jerarquías normativas. El análisis estructural del contenido se convierte así en una vía para rastrear las gramáticas implícitas que organizan el campo discursivo: oposiciones semánticas, recurrencias, omisiones, desplazamientos y asociaciones que estabilizan o tensionan sentidos. Siguiendo a Derrida (1967), el significado no es fijo ni esencial, sino el resultado de un juego diferencial siempre susceptible de desplazamiento. Esta comprensión impide cualquier clausura interpretativa y exige una lectura atenta a las tensiones internas del discurso.</w:t>
      </w:r>
    </w:p>
    <w:p w14:paraId="3E1C59F0" w14:textId="77777777" w:rsidR="00DE23BF" w:rsidRPr="00556A8B" w:rsidRDefault="00DE23BF" w:rsidP="00357B2F">
      <w:r w:rsidRPr="00556A8B">
        <w:t xml:space="preserve">En este marco, la historización constituye un movimiento analítico fundamental. No se trata de reconstruir totalidades culturales ni de identificar un espíritu de época homogéneo, sino de problematizar los enunciados en su singularidad, contingencia y discontinuidad (Foucault, 1976). El análisis interroga las racionalidades estratégicas que delimitan los umbrales de lo decible y las coacciones discursivas que configuran el campo de lo pensable. Descifrar los giros y </w:t>
      </w:r>
      <w:r w:rsidRPr="00556A8B">
        <w:lastRenderedPageBreak/>
        <w:t>ensamblajes del discurso implica examinar las configuraciones específicas mediante las cuales palabras, conceptos y prácticas se articulan en patrones relativamente estables de sentido.</w:t>
      </w:r>
    </w:p>
    <w:p w14:paraId="60B31A69" w14:textId="3BD7ED3D" w:rsidR="00DE23BF" w:rsidRPr="00556A8B" w:rsidRDefault="00DE23BF" w:rsidP="00357B2F">
      <w:r w:rsidRPr="00556A8B">
        <w:t>Los giros discursivos remiten a desplazamientos que reorientan el campo semántico: inflexiones que introducen variaciones, refuerzan oposiciones o abren nuevas formas de problematización. Los ensamblajes, en cambio, aluden a redes heterogéneas de elementos</w:t>
      </w:r>
      <w:r w:rsidR="004F3849" w:rsidRPr="00556A8B">
        <w:t xml:space="preserve">, </w:t>
      </w:r>
      <w:r w:rsidRPr="00556A8B">
        <w:t xml:space="preserve">enunciados, saberes, prácticas institucionales, </w:t>
      </w:r>
      <w:r w:rsidR="009A7B04">
        <w:t>prácticas de sí</w:t>
      </w:r>
      <w:r w:rsidR="004F3849" w:rsidRPr="00556A8B">
        <w:t xml:space="preserve">, </w:t>
      </w:r>
      <w:r w:rsidRPr="00556A8B">
        <w:t xml:space="preserve">que se articulan contingentemente para producir efectos de inteligibilidad y normalización (Deleuze </w:t>
      </w:r>
      <w:r w:rsidR="004F3849" w:rsidRPr="00556A8B">
        <w:t>y</w:t>
      </w:r>
      <w:r w:rsidRPr="00556A8B">
        <w:t xml:space="preserve"> Guattari, </w:t>
      </w:r>
      <w:r w:rsidR="00DC02C2" w:rsidRPr="00556A8B">
        <w:t>2004</w:t>
      </w:r>
      <w:r w:rsidRPr="00556A8B">
        <w:t>). En este entramado, el sujeto no es una esencia previa al discurso, sino una posición producida en el cruce de relaciones de saber-poder.</w:t>
      </w:r>
    </w:p>
    <w:p w14:paraId="52092042" w14:textId="77777777" w:rsidR="00DE23BF" w:rsidRPr="00556A8B" w:rsidRDefault="00DE23BF" w:rsidP="00357B2F">
      <w:r w:rsidRPr="00556A8B">
        <w:t>Tal como plantea Foucault (1976, 1999), la subjetividad se constituye históricamente mediante racionalidades que organizan los modos de vivir, sentir y conducirse. Sin embargo, esta producción no implica determinación absoluta: en la medida en que el sujeto es efecto de estas tramas, también puede implicarse activamente en su propia configuración a través de prácticas de sí (Foucault, 1982). El análisis, por tanto, no busca desentrañar intenciones ocultas ni psicologizar a los hablantes, sino identificar las reglas de formación que organizan la emergencia, repetición y transformación de los enunciados.</w:t>
      </w:r>
    </w:p>
    <w:p w14:paraId="43277651" w14:textId="77777777" w:rsidR="00DE23BF" w:rsidRPr="00556A8B" w:rsidRDefault="00DE23BF" w:rsidP="00357B2F">
      <w:r w:rsidRPr="00556A8B">
        <w:t>En el campo de la salud mental, esta aproximación adquiere especial relevancia. Las narrativas sobre bienestar, normalidad y patología no describen simplemente estados psicológicos; instituyen horizontes normativos que orientan modos de autoentendimiento, autorregulación y evaluación moral. Las gramáticas discursivas operan como matrices dinámicas que estabilizan ciertas formas de subjetividad mientras marginalizan otras. Como sugiere Deleuze (1990), estas configuraciones pueden entenderse como diagramas: mapas de relaciones de fuerza que organizan lo visible y lo enunciable sin remitir a una forma fija o definitiva.</w:t>
      </w:r>
    </w:p>
    <w:p w14:paraId="5BF2E24F" w14:textId="77777777" w:rsidR="00DE23BF" w:rsidRPr="00556A8B" w:rsidRDefault="00DE23BF" w:rsidP="00357B2F">
      <w:r w:rsidRPr="00556A8B">
        <w:t>Metodológicamente, el análisis estructural del contenido permite cartografiar esta arquitectura discursiva atendiendo a oposiciones, recurrencias, condensaciones y articulaciones relacionales. Más que cuantificar frecuencias, busca identificar principios de organización discursiva (Piñuel Raigada, 2002) que revelan cómo se estabilizan ciertos sentidos y cómo se legitiman determinadas posiciones subjetivas. De este modo, el análisis se desplaza del nivel superficial del mensaje hacia la lógica estructural que sostiene su coherencia interna.</w:t>
      </w:r>
    </w:p>
    <w:p w14:paraId="0FE0C539" w14:textId="77777777" w:rsidR="00DE23BF" w:rsidRPr="00556A8B" w:rsidRDefault="00DE23BF" w:rsidP="00357B2F">
      <w:r w:rsidRPr="00556A8B">
        <w:t xml:space="preserve">Desde esta perspectiva postestructuralista, el lenguaje no representa el mundo, sino que lo organiza y lo produce dentro de regímenes de verdad históricamente situados (Foucault, 2008). </w:t>
      </w:r>
      <w:r w:rsidRPr="00556A8B">
        <w:lastRenderedPageBreak/>
        <w:t>En el marco de la gubernamentalidad contemporánea, los discursos sobre salud mental operan como tecnologías políticas que orientan la conducta, inducen prácticas de autorregulación y configuran formas legítimas de existencia. No solo comunican significados, sino que modelan sensibilidades, afectos y expectativas normativas.</w:t>
      </w:r>
    </w:p>
    <w:p w14:paraId="3CFACAFD" w14:textId="77777777" w:rsidR="00DE23BF" w:rsidRPr="00556A8B" w:rsidRDefault="00DE23BF" w:rsidP="00357B2F">
      <w:r w:rsidRPr="00556A8B">
        <w:t>Analizar los giros y ensamblajes discursivos permite, entonces, visibilizar la tensión entre continuidad y ruptura. Algunas configuraciones tienden a reproducir gramáticas estables que sostienen discursos hegemónicos; otras introducen fisuras, desplazamientos o ambivalencias que pueden abrir espacios de resignificación. En este sentido, el análisis no clausura el sentido, sino que cartografía las fuerzas que lo atraviesan, reconociendo que toda formación discursiva es contingente, histórica y susceptible de transformación.</w:t>
      </w:r>
    </w:p>
    <w:p w14:paraId="7C4A16FC" w14:textId="77777777" w:rsidR="00DE23BF" w:rsidRPr="00556A8B" w:rsidRDefault="00DE23BF" w:rsidP="00357B2F">
      <w:r w:rsidRPr="00556A8B">
        <w:t>Finalmente, esta mirada ofrece un potencial crítico relevante para la investigación en salud mental. Comprender los discursos como gramáticas dinámicas implica reconocer que las formas de subjetividad no emergen de una esencia individual, sino de dispositivos históricos que organizan la experiencia. Los discursos no solo representan realidades clínicas; participan activamente en la gubernamentalización de la vida psíquica y emocional. Develar estas lógicas no busca reemplazar una verdad por otra, sino abrir el campo de interrogación, cuestionar naturalizaciones y ampliar las posibilidades de comprensión de la experiencia humana más allá de los marcos normativos dominantes.</w:t>
      </w:r>
    </w:p>
    <w:p w14:paraId="745C79A2" w14:textId="77777777" w:rsidR="00DE23BF" w:rsidRPr="00556A8B" w:rsidRDefault="00DE23BF" w:rsidP="00357B2F">
      <w:pPr>
        <w:rPr>
          <w:b/>
          <w:bCs/>
        </w:rPr>
      </w:pPr>
    </w:p>
    <w:p w14:paraId="75F69AE4" w14:textId="33D57D65" w:rsidR="000E5B14" w:rsidRPr="00556A8B" w:rsidRDefault="000E5B14" w:rsidP="000162FA">
      <w:pPr>
        <w:pStyle w:val="Ttulo3"/>
        <w:numPr>
          <w:ilvl w:val="2"/>
          <w:numId w:val="6"/>
        </w:numPr>
        <w:spacing w:line="360" w:lineRule="auto"/>
      </w:pPr>
      <w:bookmarkStart w:id="79" w:name="_Toc232580604"/>
      <w:r w:rsidRPr="00556A8B">
        <w:t>El análisis estructural de contenido como dispositivo analítico de giros discursivos, subjetivación y gubernamentalidad</w:t>
      </w:r>
      <w:bookmarkEnd w:id="79"/>
    </w:p>
    <w:p w14:paraId="2DC9D5A5" w14:textId="77777777" w:rsidR="00DE23BF" w:rsidRPr="00556A8B" w:rsidRDefault="00DE23BF" w:rsidP="00357B2F">
      <w:r w:rsidRPr="00556A8B">
        <w:t>En la configuración del artefacto metodológico que orienta esta investigación, el análisis estructural de contenido (MAEC) se consolida no como una técnica instrumental aislada, sino como un dispositivo analítico situado, atravesado por decisiones teóricas y compromisos epistemológicos explícitos. Su ensamblaje responde a la necesidad de contar con una herramienta capaz de interrogar las condiciones de posibilidad de los discursos, sus reglas de formación, sus lógicas de combinación y los efectos de subjetivación que producen en el campo de la salud mental.</w:t>
      </w:r>
    </w:p>
    <w:p w14:paraId="3315F24F" w14:textId="77777777" w:rsidR="00DE23BF" w:rsidRPr="00556A8B" w:rsidRDefault="00DE23BF" w:rsidP="00357B2F">
      <w:r w:rsidRPr="00556A8B">
        <w:t xml:space="preserve">Este posicionamiento implica desplazar el análisis de una lógica meramente clasificatoria hacia una lectura crítica que reconoce en el discurso una dimensión performativa, reguladora y gubernamental. El MAEC no se limita a organizar categorías temáticas; permite rastrear cómo </w:t>
      </w:r>
      <w:r w:rsidRPr="00556A8B">
        <w:lastRenderedPageBreak/>
        <w:t>ciertos campos semánticos se estabilizan como verdaderos, cómo determinadas oposiciones estructuran la inteligibilidad de los enunciados y cómo, en esas configuraciones, circulan relaciones de poder que norman la experiencia y delimitan lo pensable y lo decible.</w:t>
      </w:r>
    </w:p>
    <w:p w14:paraId="6BFD9298" w14:textId="67BB6593" w:rsidR="00DE23BF" w:rsidRPr="00556A8B" w:rsidRDefault="00DE23BF" w:rsidP="00357B2F">
      <w:r w:rsidRPr="00556A8B">
        <w:t xml:space="preserve">En este sentido, el análisis estructural de contenido se articula como un operador crítico que dialoga con nociones como giros discursivos, regímenes de práctica, relaciones saber-poder y formas de gubernamentalidad. Tal como advierte Maingueneau (2005), ningún discurso puede comprenderse al margen del dispositivo en el que se inscribe. Analizar implica, por tanto, atender no solo al contenido textual, sino a las condiciones institucionales, históricas y enunciativas que lo sostienen. Desde esta perspectiva, los discursos no son reflejos de una realidad previa, sino prácticas que la configuran (Rose, </w:t>
      </w:r>
      <w:r w:rsidR="00757531" w:rsidRPr="00556A8B">
        <w:t>2019</w:t>
      </w:r>
      <w:r w:rsidRPr="00556A8B">
        <w:t>), participando en la producción de regímenes de verdad (Foucault, 1970).</w:t>
      </w:r>
    </w:p>
    <w:p w14:paraId="79EDBF83" w14:textId="312390FD" w:rsidR="00DE23BF" w:rsidRPr="00556A8B" w:rsidRDefault="00DE23BF" w:rsidP="00357B2F">
      <w:r w:rsidRPr="00556A8B">
        <w:t>El posicionamiento epistémico adoptado asume que todo análisis supone una toma de partido frente a dichos regímenes. El MAEC, en clave postestructuralista, permite explorar cómo los desplazamientos del lenguaje</w:t>
      </w:r>
      <w:r w:rsidR="004F3849" w:rsidRPr="00556A8B">
        <w:t xml:space="preserve"> (</w:t>
      </w:r>
      <w:r w:rsidRPr="00556A8B">
        <w:t>sus giros</w:t>
      </w:r>
      <w:r w:rsidR="004F3849" w:rsidRPr="00556A8B">
        <w:t>)</w:t>
      </w:r>
      <w:r w:rsidRPr="00556A8B">
        <w:t xml:space="preserve"> se vinculan con transformaciones en las relaciones de saber y poder. Analizar giros discursivos implica identificar variaciones estratégicas en la orientación del discurso: cambios en la forma de nombrar, redefinir o problematizar la salud mental que pueden reforzar, redistribuir o tensionar jerarquías de significación (Glynos </w:t>
      </w:r>
      <w:r w:rsidR="004F3849" w:rsidRPr="00556A8B">
        <w:t>y</w:t>
      </w:r>
      <w:r w:rsidRPr="00556A8B">
        <w:t xml:space="preserve"> Howarth, 2007). Estos giros no son meras variaciones retóricas; son movimientos que reorganizan el campo de lo decible.</w:t>
      </w:r>
    </w:p>
    <w:p w14:paraId="30D8ECD1" w14:textId="1A15403E" w:rsidR="00DE23BF" w:rsidRPr="00556A8B" w:rsidRDefault="00DE23BF" w:rsidP="00357B2F">
      <w:r w:rsidRPr="00556A8B">
        <w:t xml:space="preserve">Los ensamblajes discursivos, por su parte, refieren a la articulación contingente de elementos heterogéneos </w:t>
      </w:r>
      <w:r w:rsidR="004F3849" w:rsidRPr="00556A8B">
        <w:t>(</w:t>
      </w:r>
      <w:r w:rsidRPr="00556A8B">
        <w:t>conceptos, metáforas, categorías diagnósticas, silencios, afectos</w:t>
      </w:r>
      <w:r w:rsidR="004F3849" w:rsidRPr="00556A8B">
        <w:t>)</w:t>
      </w:r>
      <w:r w:rsidRPr="00556A8B">
        <w:t xml:space="preserve"> que operan conjuntamente produciendo efectos de verdad y configurando posiciones subjetivas. Siguiendo a Deleuze y Guattari (</w:t>
      </w:r>
      <w:r w:rsidR="00DC02C2" w:rsidRPr="00556A8B">
        <w:t>2004</w:t>
      </w:r>
      <w:r w:rsidRPr="00556A8B">
        <w:t>), un ensamblaje no es una estructura fija, sino una multiplicidad de líneas que se conectan y funcionan como una máquina discursiva específica. En el campo de la salud mental, estos ensamblajes pueden vincular nociones como bienestar, autonomía, productividad y autorresponsabilización, produciendo un modelo normativo de subjetividad saludable coherente con determinadas racionalidades políticas contemporáneas.</w:t>
      </w:r>
    </w:p>
    <w:p w14:paraId="0D01DAE1" w14:textId="77777777" w:rsidR="00DE23BF" w:rsidRPr="00556A8B" w:rsidRDefault="00DE23BF" w:rsidP="00357B2F">
      <w:r w:rsidRPr="00556A8B">
        <w:t xml:space="preserve">Desde la perspectiva del MAEC, estos giros y ensamblajes no se identifican únicamente a través del contenido manifiesto, sino mediante el análisis de las tramas que organizan el sentido. Hiernaux (2008) señala que el interés no radica solo en los contenidos, sino en las formas en que los elementos se articulan para producir coherencia y estabilidad discursiva. En términos </w:t>
      </w:r>
      <w:r w:rsidRPr="00556A8B">
        <w:lastRenderedPageBreak/>
        <w:t>foucaultianos, estas articulaciones configuran gramáticas sociales: sistemas de reglas que regulan lo decible, lo pensable y lo vivible dentro de un régimen determinado.</w:t>
      </w:r>
    </w:p>
    <w:p w14:paraId="1B36B21F" w14:textId="77777777" w:rsidR="00DE23BF" w:rsidRPr="00556A8B" w:rsidRDefault="00DE23BF" w:rsidP="00357B2F">
      <w:r w:rsidRPr="00556A8B">
        <w:t>Uno de los aportes centrales del MAEC es precisamente su capacidad para hacer visibles dichas gramáticas. A partir de principios estructurales como la disyunción, la asociación, la isotopía y la condensación descriptiva (Hiernaux; Suárez; Saldarriaga, 2008; Saldarriaga, 2015), el análisis permite identificar oposiciones estructurales, redes semánticas recurrentes y núcleos de sentido que organizan el discurso. Estas operaciones no solo revelan patrones lingüísticos, sino esquemas normativos que delimitan formas legítimas de experiencia.</w:t>
      </w:r>
    </w:p>
    <w:p w14:paraId="1C5C1493" w14:textId="43D9287D" w:rsidR="00DE23BF" w:rsidRPr="00556A8B" w:rsidRDefault="00DE23BF" w:rsidP="00357B2F">
      <w:r w:rsidRPr="00556A8B">
        <w:t xml:space="preserve">La disyunción, por ejemplo, permite detectar oposiciones que estructuran el campo discursivo </w:t>
      </w:r>
      <w:r w:rsidR="004F3849" w:rsidRPr="00556A8B">
        <w:t>(</w:t>
      </w:r>
      <w:r w:rsidRPr="00556A8B">
        <w:t>normal/patológico, adaptado/inadaptado, resiliente/vulnerable</w:t>
      </w:r>
      <w:r w:rsidR="004F3849" w:rsidRPr="00556A8B">
        <w:t>)</w:t>
      </w:r>
      <w:r w:rsidRPr="00556A8B">
        <w:t xml:space="preserve"> y que instauran jerarquías de valor más allá de su apariencia descriptiva. Tales oposiciones operan como mecanismos de inclusión y exclusión simbólica, configurando criterios de legitimidad subjetiva. Como señalan Suárez, Hiernaux y Saldarriaga (2008), la disyunción revela zonas de ruptura interna que orientan la direccionalidad del discurso, marcando fronteras entre lo válido y lo desviado.</w:t>
      </w:r>
    </w:p>
    <w:p w14:paraId="138DFF8E" w14:textId="77777777" w:rsidR="00DE23BF" w:rsidRPr="00556A8B" w:rsidRDefault="00DE23BF" w:rsidP="00357B2F">
      <w:r w:rsidRPr="00556A8B">
        <w:t>En este punto, el MAEC se articula con la noción de gubernamentalidad. Analizar las gramáticas discursivas de la salud mental implica indagar cómo estas oposiciones, asociaciones y condensaciones no solo organizan sentido, sino que conducen conductas, afectos y modos de autocomprensión. En línea con Foucault (1992), no hay ejercicio de poder sin producción de saber que lo sustente. Los discursos psicológicos no solo describen estados mentales; participan activamente en la conducción de la vida psíquica, estableciendo parámetros normativos que orientan prácticas de autorregulación.</w:t>
      </w:r>
    </w:p>
    <w:p w14:paraId="4991AE3F" w14:textId="77777777" w:rsidR="00DE23BF" w:rsidRPr="00556A8B" w:rsidRDefault="00DE23BF" w:rsidP="00357B2F">
      <w:r w:rsidRPr="00556A8B">
        <w:t>Así entendido, el análisis estructural de contenido funciona como un dispositivo crítico que permite mapear los vectores de subjetivación presentes en el discurso. No se trata de identificar intenciones individuales, sino de visibilizar cómo ciertas configuraciones discursivas producen posiciones de sujeto específicas, legitiman determinadas formas de experiencia y patologizan otras. En el campo de la salud mental, ello implica examinar cómo se instituye la verdad sobre lo normal, quiénes están autorizados a enunciarla y qué formas de vida quedan habilitadas o excluidas.</w:t>
      </w:r>
    </w:p>
    <w:p w14:paraId="74D6818C" w14:textId="43A81B31" w:rsidR="00DE23BF" w:rsidRPr="00556A8B" w:rsidRDefault="00DE23BF" w:rsidP="00357B2F">
      <w:r w:rsidRPr="00556A8B">
        <w:t xml:space="preserve">En definitiva, el MAEC, en su articulación con los conceptos de giros discursivos, ensamblajes y gubernamentalidad, se convierte en una </w:t>
      </w:r>
      <w:r w:rsidR="00C45426" w:rsidRPr="00556A8B">
        <w:t xml:space="preserve">se constituye en un modo de producción </w:t>
      </w:r>
      <w:r w:rsidR="00C45426" w:rsidRPr="00556A8B">
        <w:lastRenderedPageBreak/>
        <w:t xml:space="preserve">de saber situado que permite </w:t>
      </w:r>
      <w:r w:rsidRPr="00556A8B">
        <w:t>herramienta comprender cómo los discursos sobre salud mental organizan el horizonte de lo posible. Lejos de limitarse a clasificar contenidos, permite cartografiar las estructuras de sentido y las relaciones de poder que configuran formas contemporáneas de subjetividad, abriendo un espacio crítico para problematizar su aparente naturalidad.</w:t>
      </w:r>
    </w:p>
    <w:p w14:paraId="3B7E1C7A" w14:textId="77777777" w:rsidR="000E5B14" w:rsidRPr="00556A8B" w:rsidRDefault="000E5B14" w:rsidP="000162FA">
      <w:pPr>
        <w:spacing w:before="100" w:beforeAutospacing="1" w:after="100" w:afterAutospacing="1"/>
        <w:rPr>
          <w:rFonts w:eastAsia="Times New Roman" w:cs="Times New Roman"/>
          <w:lang w:val="es-MX"/>
        </w:rPr>
      </w:pPr>
    </w:p>
    <w:p w14:paraId="70175A5F" w14:textId="103809BC" w:rsidR="000E5B14" w:rsidRPr="00556A8B" w:rsidRDefault="000E5B14" w:rsidP="000162FA">
      <w:pPr>
        <w:spacing w:before="100" w:beforeAutospacing="1" w:after="100" w:afterAutospacing="1"/>
        <w:rPr>
          <w:rFonts w:eastAsia="Times New Roman" w:cs="Times New Roman"/>
          <w:lang w:val="es-MX"/>
        </w:rPr>
      </w:pPr>
      <w:r w:rsidRPr="00556A8B">
        <w:rPr>
          <w:rFonts w:eastAsia="Times New Roman" w:cs="Times New Roman"/>
          <w:lang w:val="es-MX"/>
        </w:rPr>
        <w:t>Campo Semántico</w:t>
      </w:r>
    </w:p>
    <w:p w14:paraId="4AF2D77C" w14:textId="50DA1E67" w:rsidR="000E5B14" w:rsidRPr="00556A8B" w:rsidRDefault="00322F62" w:rsidP="000162FA">
      <w:pPr>
        <w:spacing w:before="100" w:beforeAutospacing="1" w:after="100" w:afterAutospacing="1"/>
        <w:rPr>
          <w:rFonts w:eastAsia="Times New Roman" w:cs="Times New Roman"/>
          <w:lang w:val="es-MX"/>
        </w:rPr>
      </w:pPr>
      <w:r w:rsidRPr="00556A8B">
        <w:rPr>
          <w:rFonts w:eastAsia="Times New Roman" w:cs="Times New Roman"/>
          <w:noProof/>
          <w:lang w:val="en-US"/>
        </w:rPr>
        <mc:AlternateContent>
          <mc:Choice Requires="wps">
            <w:drawing>
              <wp:anchor distT="0" distB="0" distL="114300" distR="114300" simplePos="0" relativeHeight="251672576" behindDoc="0" locked="0" layoutInCell="1" allowOverlap="1" wp14:anchorId="7B0A28ED" wp14:editId="08543882">
                <wp:simplePos x="0" y="0"/>
                <wp:positionH relativeFrom="column">
                  <wp:posOffset>461443</wp:posOffset>
                </wp:positionH>
                <wp:positionV relativeFrom="paragraph">
                  <wp:posOffset>90981</wp:posOffset>
                </wp:positionV>
                <wp:extent cx="1206230" cy="1089965"/>
                <wp:effectExtent l="0" t="0" r="13335" b="15240"/>
                <wp:wrapNone/>
                <wp:docPr id="3" name="Rectángulo 3"/>
                <wp:cNvGraphicFramePr/>
                <a:graphic xmlns:a="http://schemas.openxmlformats.org/drawingml/2006/main">
                  <a:graphicData uri="http://schemas.microsoft.com/office/word/2010/wordprocessingShape">
                    <wps:wsp>
                      <wps:cNvSpPr/>
                      <wps:spPr>
                        <a:xfrm>
                          <a:off x="0" y="0"/>
                          <a:ext cx="1206230" cy="10899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7AA747" w14:textId="4600F286" w:rsidR="000E5B14" w:rsidRPr="00780111" w:rsidRDefault="000E5B14" w:rsidP="00D25E6F">
                            <w:pPr>
                              <w:spacing w:before="100" w:beforeAutospacing="1" w:after="100" w:afterAutospacing="1" w:line="240" w:lineRule="auto"/>
                              <w:ind w:firstLine="0"/>
                              <w:rPr>
                                <w:rFonts w:eastAsia="Times New Roman" w:cs="Times New Roman"/>
                                <w:sz w:val="20"/>
                                <w:szCs w:val="20"/>
                                <w:lang w:val="es-MX"/>
                              </w:rPr>
                            </w:pPr>
                            <w:r w:rsidRPr="00780111">
                              <w:rPr>
                                <w:rFonts w:eastAsia="Times New Roman" w:cs="Times New Roman"/>
                                <w:sz w:val="20"/>
                                <w:szCs w:val="20"/>
                                <w:lang w:val="es-MX"/>
                              </w:rPr>
                              <w:t xml:space="preserve">NORMAL      </w:t>
                            </w:r>
                            <w:r>
                              <w:rPr>
                                <w:rFonts w:eastAsia="Times New Roman" w:cs="Times New Roman"/>
                                <w:sz w:val="20"/>
                                <w:szCs w:val="20"/>
                                <w:lang w:val="es-MX"/>
                              </w:rPr>
                              <w:t xml:space="preserve">              </w:t>
                            </w:r>
                          </w:p>
                          <w:p w14:paraId="4C6FF8D4" w14:textId="77777777" w:rsidR="000E5B14" w:rsidRDefault="000E5B14" w:rsidP="008F13C9">
                            <w:pPr>
                              <w:spacing w:before="100" w:beforeAutospacing="1" w:after="100" w:afterAutospacing="1" w:line="240" w:lineRule="auto"/>
                              <w:rPr>
                                <w:rFonts w:eastAsia="Times New Roman" w:cs="Times New Roman"/>
                                <w:sz w:val="20"/>
                                <w:szCs w:val="20"/>
                                <w:lang w:val="es-MX"/>
                              </w:rPr>
                            </w:pPr>
                            <w:r w:rsidRPr="00780111">
                              <w:rPr>
                                <w:rFonts w:eastAsia="Times New Roman" w:cs="Times New Roman"/>
                                <w:sz w:val="20"/>
                                <w:szCs w:val="20"/>
                                <w:lang w:val="es-MX"/>
                              </w:rPr>
                              <w:t xml:space="preserve">▲        </w:t>
                            </w:r>
                            <w:r>
                              <w:rPr>
                                <w:rFonts w:eastAsia="Times New Roman" w:cs="Times New Roman"/>
                                <w:sz w:val="20"/>
                                <w:szCs w:val="20"/>
                                <w:lang w:val="es-MX"/>
                              </w:rPr>
                              <w:t xml:space="preserve">                                          </w:t>
                            </w:r>
                            <w:r w:rsidRPr="00780111">
                              <w:rPr>
                                <w:rFonts w:eastAsia="Times New Roman" w:cs="Times New Roman"/>
                                <w:sz w:val="20"/>
                                <w:szCs w:val="20"/>
                                <w:lang w:val="es-MX"/>
                              </w:rPr>
                              <w:t xml:space="preserve">       ▼       </w:t>
                            </w:r>
                            <w:r>
                              <w:rPr>
                                <w:rFonts w:eastAsia="Times New Roman" w:cs="Times New Roman"/>
                                <w:sz w:val="20"/>
                                <w:szCs w:val="20"/>
                                <w:lang w:val="es-MX"/>
                              </w:rPr>
                              <w:t xml:space="preserve">                    </w:t>
                            </w:r>
                          </w:p>
                          <w:p w14:paraId="7EA9B308" w14:textId="77777777" w:rsidR="000E5B14" w:rsidRPr="00DA5932" w:rsidRDefault="000E5B14" w:rsidP="00D25E6F">
                            <w:pPr>
                              <w:spacing w:before="100" w:beforeAutospacing="1" w:after="100" w:afterAutospacing="1" w:line="240" w:lineRule="auto"/>
                              <w:ind w:firstLine="0"/>
                              <w:rPr>
                                <w:rFonts w:eastAsia="Times New Roman" w:cs="Times New Roman"/>
                                <w:sz w:val="20"/>
                                <w:szCs w:val="20"/>
                                <w:lang w:val="es-MX"/>
                              </w:rPr>
                            </w:pPr>
                            <w:r w:rsidRPr="00780111">
                              <w:rPr>
                                <w:rFonts w:eastAsia="Times New Roman" w:cs="Times New Roman"/>
                                <w:sz w:val="20"/>
                                <w:szCs w:val="20"/>
                                <w:lang w:val="es-MX"/>
                              </w:rPr>
                              <w:t xml:space="preserve">PATOLÓGICO   </w:t>
                            </w:r>
                            <w:r>
                              <w:rPr>
                                <w:rFonts w:eastAsia="Times New Roman" w:cs="Times New Roman"/>
                                <w:sz w:val="20"/>
                                <w:szCs w:val="20"/>
                                <w:lang w:val="es-MX"/>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A28ED" id="Rectángulo 3" o:spid="_x0000_s1026" style="position:absolute;left:0;text-align:left;margin-left:36.35pt;margin-top:7.15pt;width:95pt;height:85.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" fillcolor="white [3201]" strokecolor="black [3213]" strokeweight="1pt">
                <v:textbox>
                  <w:txbxContent>
                    <w:p w14:paraId="107AA747" w14:textId="4600F286" w:rsidR="000E5B14" w:rsidRPr="00780111" w:rsidRDefault="000E5B14" w:rsidP="00D25E6F">
                      <w:pPr>
                        <w:spacing w:before="100" w:beforeAutospacing="1" w:after="100" w:afterAutospacing="1" w:line="240" w:lineRule="auto"/>
                        <w:ind w:firstLine="0"/>
                        <w:rPr>
                          <w:rFonts w:eastAsia="Times New Roman" w:cs="Times New Roman"/>
                          <w:sz w:val="20"/>
                          <w:szCs w:val="20"/>
                          <w:lang w:val="es-MX"/>
                        </w:rPr>
                      </w:pPr>
                      <w:r w:rsidRPr="00780111">
                        <w:rPr>
                          <w:rFonts w:eastAsia="Times New Roman" w:cs="Times New Roman"/>
                          <w:sz w:val="20"/>
                          <w:szCs w:val="20"/>
                          <w:lang w:val="es-MX"/>
                        </w:rPr>
                        <w:t xml:space="preserve">NORMAL      </w:t>
                      </w:r>
                      <w:r>
                        <w:rPr>
                          <w:rFonts w:eastAsia="Times New Roman" w:cs="Times New Roman"/>
                          <w:sz w:val="20"/>
                          <w:szCs w:val="20"/>
                          <w:lang w:val="es-MX"/>
                        </w:rPr>
                        <w:t xml:space="preserve">              </w:t>
                      </w:r>
                    </w:p>
                    <w:p w14:paraId="4C6FF8D4" w14:textId="77777777" w:rsidR="000E5B14" w:rsidRDefault="000E5B14" w:rsidP="008F13C9">
                      <w:pPr>
                        <w:spacing w:before="100" w:beforeAutospacing="1" w:after="100" w:afterAutospacing="1" w:line="240" w:lineRule="auto"/>
                        <w:rPr>
                          <w:rFonts w:eastAsia="Times New Roman" w:cs="Times New Roman"/>
                          <w:sz w:val="20"/>
                          <w:szCs w:val="20"/>
                          <w:lang w:val="es-MX"/>
                        </w:rPr>
                      </w:pPr>
                      <w:r w:rsidRPr="00780111">
                        <w:rPr>
                          <w:rFonts w:eastAsia="Times New Roman" w:cs="Times New Roman"/>
                          <w:sz w:val="20"/>
                          <w:szCs w:val="20"/>
                          <w:lang w:val="es-MX"/>
                        </w:rPr>
                        <w:t xml:space="preserve">▲        </w:t>
                      </w:r>
                      <w:r>
                        <w:rPr>
                          <w:rFonts w:eastAsia="Times New Roman" w:cs="Times New Roman"/>
                          <w:sz w:val="20"/>
                          <w:szCs w:val="20"/>
                          <w:lang w:val="es-MX"/>
                        </w:rPr>
                        <w:t xml:space="preserve">                                          </w:t>
                      </w:r>
                      <w:r w:rsidRPr="00780111">
                        <w:rPr>
                          <w:rFonts w:eastAsia="Times New Roman" w:cs="Times New Roman"/>
                          <w:sz w:val="20"/>
                          <w:szCs w:val="20"/>
                          <w:lang w:val="es-MX"/>
                        </w:rPr>
                        <w:t xml:space="preserve">       ▼       </w:t>
                      </w:r>
                      <w:r>
                        <w:rPr>
                          <w:rFonts w:eastAsia="Times New Roman" w:cs="Times New Roman"/>
                          <w:sz w:val="20"/>
                          <w:szCs w:val="20"/>
                          <w:lang w:val="es-MX"/>
                        </w:rPr>
                        <w:t xml:space="preserve">                    </w:t>
                      </w:r>
                    </w:p>
                    <w:p w14:paraId="7EA9B308" w14:textId="77777777" w:rsidR="000E5B14" w:rsidRPr="00DA5932" w:rsidRDefault="000E5B14" w:rsidP="00D25E6F">
                      <w:pPr>
                        <w:spacing w:before="100" w:beforeAutospacing="1" w:after="100" w:afterAutospacing="1" w:line="240" w:lineRule="auto"/>
                        <w:ind w:firstLine="0"/>
                        <w:rPr>
                          <w:rFonts w:eastAsia="Times New Roman" w:cs="Times New Roman"/>
                          <w:sz w:val="20"/>
                          <w:szCs w:val="20"/>
                          <w:lang w:val="es-MX"/>
                        </w:rPr>
                      </w:pPr>
                      <w:r w:rsidRPr="00780111">
                        <w:rPr>
                          <w:rFonts w:eastAsia="Times New Roman" w:cs="Times New Roman"/>
                          <w:sz w:val="20"/>
                          <w:szCs w:val="20"/>
                          <w:lang w:val="es-MX"/>
                        </w:rPr>
                        <w:t xml:space="preserve">PATOLÓGICO   </w:t>
                      </w:r>
                      <w:r>
                        <w:rPr>
                          <w:rFonts w:eastAsia="Times New Roman" w:cs="Times New Roman"/>
                          <w:sz w:val="20"/>
                          <w:szCs w:val="20"/>
                          <w:lang w:val="es-MX"/>
                        </w:rPr>
                        <w:t xml:space="preserve">        </w:t>
                      </w:r>
                    </w:p>
                  </w:txbxContent>
                </v:textbox>
              </v:rect>
            </w:pict>
          </mc:Fallback>
        </mc:AlternateContent>
      </w:r>
      <w:r w:rsidR="000E5B14" w:rsidRPr="00556A8B">
        <w:rPr>
          <w:rFonts w:eastAsia="Times New Roman" w:cs="Times New Roman"/>
          <w:lang w:val="es-MX"/>
        </w:rPr>
        <w:t xml:space="preserve">    </w:t>
      </w:r>
    </w:p>
    <w:p w14:paraId="61419C51" w14:textId="77777777" w:rsidR="000E5B14" w:rsidRPr="00556A8B" w:rsidRDefault="000E5B14" w:rsidP="000162FA">
      <w:pPr>
        <w:spacing w:before="100" w:beforeAutospacing="1" w:after="100" w:afterAutospacing="1"/>
        <w:rPr>
          <w:rFonts w:eastAsia="Times New Roman" w:cs="Times New Roman"/>
          <w:lang w:val="es-MX"/>
        </w:rPr>
      </w:pPr>
      <w:r w:rsidRPr="00556A8B">
        <w:rPr>
          <w:rFonts w:eastAsia="Times New Roman" w:cs="Times New Roman"/>
          <w:lang w:val="es-MX"/>
        </w:rPr>
        <w:t xml:space="preserve">    ↔ </w:t>
      </w:r>
    </w:p>
    <w:p w14:paraId="2D16BB53" w14:textId="77777777" w:rsidR="000E5B14" w:rsidRPr="00556A8B" w:rsidRDefault="000E5B14" w:rsidP="000162FA">
      <w:pPr>
        <w:spacing w:before="100" w:beforeAutospacing="1" w:after="100" w:afterAutospacing="1"/>
        <w:rPr>
          <w:rFonts w:eastAsia="Times New Roman" w:cs="Times New Roman"/>
          <w:lang w:val="es-MX"/>
        </w:rPr>
      </w:pPr>
    </w:p>
    <w:p w14:paraId="2D353502" w14:textId="77777777" w:rsidR="00DE6798" w:rsidRPr="00556A8B" w:rsidRDefault="00DE6798" w:rsidP="000162FA">
      <w:pPr>
        <w:spacing w:before="100" w:beforeAutospacing="1" w:after="100" w:afterAutospacing="1"/>
        <w:rPr>
          <w:rFonts w:eastAsia="Times New Roman" w:cs="Times New Roman"/>
          <w:lang w:val="es-MX"/>
        </w:rPr>
      </w:pPr>
    </w:p>
    <w:p w14:paraId="67010A99" w14:textId="77777777" w:rsidR="00DE6798" w:rsidRPr="00556A8B" w:rsidRDefault="00DE6798" w:rsidP="00B10ABB">
      <w:pPr>
        <w:spacing w:before="100" w:beforeAutospacing="1" w:after="100" w:afterAutospacing="1"/>
        <w:ind w:firstLine="0"/>
        <w:rPr>
          <w:rFonts w:eastAsia="Times New Roman" w:cs="Times New Roman"/>
          <w:lang w:val="es-MX"/>
        </w:rPr>
      </w:pPr>
    </w:p>
    <w:p w14:paraId="63B904CC" w14:textId="77777777" w:rsidR="00DE6798" w:rsidRPr="00556A8B" w:rsidRDefault="00DE6798" w:rsidP="000162FA">
      <w:pPr>
        <w:spacing w:before="100" w:beforeAutospacing="1" w:after="100" w:afterAutospacing="1"/>
        <w:rPr>
          <w:rFonts w:eastAsia="Times New Roman" w:cs="Times New Roman"/>
          <w:lang w:val="es-MX"/>
        </w:rPr>
      </w:pPr>
    </w:p>
    <w:p w14:paraId="5C1D2835" w14:textId="77777777" w:rsidR="000E5B14" w:rsidRPr="00556A8B" w:rsidRDefault="000E5B14" w:rsidP="000162FA">
      <w:pPr>
        <w:spacing w:before="100" w:beforeAutospacing="1" w:after="100" w:afterAutospacing="1"/>
        <w:rPr>
          <w:rFonts w:eastAsia="Times New Roman" w:cs="Times New Roman"/>
          <w:lang w:val="es-MX"/>
        </w:rPr>
      </w:pPr>
      <w:r w:rsidRPr="00556A8B">
        <w:rPr>
          <w:rFonts w:eastAsia="Times New Roman" w:cs="Times New Roman"/>
          <w:lang w:val="es-MX"/>
        </w:rPr>
        <w:t>Relación de exclusión o tensión</w:t>
      </w:r>
    </w:p>
    <w:p w14:paraId="63450ED5" w14:textId="77777777" w:rsidR="00DE23BF" w:rsidRPr="00556A8B" w:rsidRDefault="00DE23BF" w:rsidP="00357B2F">
      <w:r w:rsidRPr="00556A8B">
        <w:t xml:space="preserve">En este marco, se reconoce que la </w:t>
      </w:r>
      <w:r w:rsidRPr="00556A8B">
        <w:rPr>
          <w:b/>
          <w:bCs/>
        </w:rPr>
        <w:t>yuxtaposición</w:t>
      </w:r>
      <w:r w:rsidRPr="00556A8B">
        <w:t xml:space="preserve"> opera como una estrategia clave en la organización del sentido. Consiste en la colocación contigua de dos o más elementos discursivos cuya proximidad no es fortuita, sino estructurante (Saldarriaga, 2008). Al situarse juntos, determinados fragmentos se refuerzan, se neutralizan o se tensionan mutuamente, produciendo efectos de contraste o alineación que no podrían advertirse si se analizaran de manera aislada. La yuxtaposición permite así observar cómo el sentido emerge relacionalmente: no reside en cada enunciado por separado, sino en la configuración que adoptan dentro de una trama discursiva específica.</w:t>
      </w:r>
    </w:p>
    <w:p w14:paraId="6B56E40F" w14:textId="77777777" w:rsidR="00DE23BF" w:rsidRPr="00556A8B" w:rsidRDefault="00DE23BF" w:rsidP="00357B2F">
      <w:r w:rsidRPr="00556A8B">
        <w:t>En términos analíticos, este principio posibilita identificar desplazamientos semánticos, jerarquías implícitas y modos de encadenamiento que revelan racionalidades subyacentes en dominios altamente normativizados, como el de la salud mental. Tal como señala Hiernaux (2008), la interpretación depende del lugar que ocupa cada segmento en un todo estructurado, lo que permite leer no solo lo explícitamente enunciado, sino también las inferencias que se habilitan dentro del régimen discursivo en cuestión. De este modo, la yuxtaposición no organiza únicamente la superficie textual; activa redes de sentido que configuran estructuras de inteligibilidad enmarcadas en relaciones de saber-poder.</w:t>
      </w:r>
    </w:p>
    <w:p w14:paraId="7F77F5C0" w14:textId="77777777" w:rsidR="00DE23BF" w:rsidRPr="00556A8B" w:rsidRDefault="00DE23BF" w:rsidP="00357B2F">
      <w:r w:rsidRPr="00556A8B">
        <w:lastRenderedPageBreak/>
        <w:t>Por su parte, el principio de asociación permite rastrear relaciones de coocurrencia y compatibilidad entre elementos discursivos, identificando los vínculos recurrentes que estabilizan bloques de sentido. A través de la asociación se evidencian agrupamientos sistemáticos entre ciertos términos, categorías o figuras que, al repetirse, adquieren apariencia de naturalidad (Verón, 2020). En el campo clínico, por ejemplo, la vinculación reiterada entre “bienestar”, “autonomía” y “responsabilidad” puede consolidar una lógica individualizante de la salud mental, donde el cuidado de sí se articula con exigencias de autorregulación y desempeño.</w:t>
      </w:r>
    </w:p>
    <w:p w14:paraId="381BD2F1" w14:textId="77777777" w:rsidR="00DE23BF" w:rsidRPr="00556A8B" w:rsidRDefault="00DE23BF" w:rsidP="00357B2F">
      <w:r w:rsidRPr="00556A8B">
        <w:t>Como advierte Saldarriaga (2015), los discursos tienden a consolidar determinadas asociaciones con fuerza de evidencia, invisibilizando su carácter histórico y contingente. El análisis de estas asociaciones permite, entonces, desnaturalizar los encadenamientos que producen regímenes de verdad, mostrando cómo ciertas configuraciones semánticas contribuyen a la producción de formas específicas de subjetividad y a la delimitación de lo que puede ser concebido como saludable o desviado en un momento histórico determinado.</w:t>
      </w:r>
    </w:p>
    <w:p w14:paraId="06A7D92B" w14:textId="77777777" w:rsidR="00DE6798" w:rsidRPr="00556A8B" w:rsidRDefault="00DE6798" w:rsidP="00357B2F"/>
    <w:p w14:paraId="545364D2" w14:textId="77777777" w:rsidR="00DE6798" w:rsidRPr="00556A8B" w:rsidRDefault="00DE6798" w:rsidP="00357B2F"/>
    <w:p w14:paraId="75D99B23" w14:textId="77777777" w:rsidR="000E5B14" w:rsidRPr="00556A8B" w:rsidRDefault="000E5B14" w:rsidP="000162FA">
      <w:pPr>
        <w:spacing w:before="100" w:beforeAutospacing="1" w:after="100" w:afterAutospacing="1"/>
        <w:ind w:firstLine="720"/>
        <w:rPr>
          <w:rFonts w:eastAsia="Times New Roman" w:cs="Times New Roman"/>
          <w:lang w:val="es-MX"/>
        </w:rPr>
      </w:pPr>
      <w:r w:rsidRPr="00556A8B">
        <w:rPr>
          <w:rFonts w:eastAsia="Times New Roman" w:cs="Times New Roman"/>
          <w:lang w:val="es-MX"/>
        </w:rPr>
        <w:t>ASOCIACIÓN DE CONCEPTOS</w:t>
      </w:r>
    </w:p>
    <w:p w14:paraId="38219569" w14:textId="77777777" w:rsidR="000E5B14" w:rsidRPr="00556A8B" w:rsidRDefault="000E5B14" w:rsidP="000162FA">
      <w:pPr>
        <w:spacing w:before="100" w:beforeAutospacing="1" w:after="100" w:afterAutospacing="1"/>
        <w:ind w:firstLine="720"/>
        <w:rPr>
          <w:rFonts w:eastAsia="Times New Roman" w:cs="Times New Roman"/>
          <w:lang w:val="es-MX"/>
        </w:rPr>
      </w:pPr>
      <w:r w:rsidRPr="00556A8B">
        <w:rPr>
          <w:rFonts w:eastAsia="Times New Roman" w:cs="Times New Roman"/>
          <w:noProof/>
          <w:lang w:val="en-US"/>
        </w:rPr>
        <mc:AlternateContent>
          <mc:Choice Requires="wps">
            <w:drawing>
              <wp:anchor distT="0" distB="0" distL="114300" distR="114300" simplePos="0" relativeHeight="251671552" behindDoc="0" locked="0" layoutInCell="1" allowOverlap="1" wp14:anchorId="2119C000" wp14:editId="73E77532">
                <wp:simplePos x="0" y="0"/>
                <wp:positionH relativeFrom="column">
                  <wp:posOffset>507212</wp:posOffset>
                </wp:positionH>
                <wp:positionV relativeFrom="paragraph">
                  <wp:posOffset>25400</wp:posOffset>
                </wp:positionV>
                <wp:extent cx="1653235" cy="892455"/>
                <wp:effectExtent l="0" t="0" r="23495" b="22225"/>
                <wp:wrapNone/>
                <wp:docPr id="11" name="Rectángulo 11"/>
                <wp:cNvGraphicFramePr/>
                <a:graphic xmlns:a="http://schemas.openxmlformats.org/drawingml/2006/main">
                  <a:graphicData uri="http://schemas.microsoft.com/office/word/2010/wordprocessingShape">
                    <wps:wsp>
                      <wps:cNvSpPr/>
                      <wps:spPr>
                        <a:xfrm>
                          <a:off x="0" y="0"/>
                          <a:ext cx="1653235" cy="8924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72B579" w14:textId="77777777" w:rsidR="000E5B14" w:rsidRPr="00C1436C" w:rsidRDefault="000E5B14" w:rsidP="000E5B14">
                            <w:pPr>
                              <w:spacing w:line="259" w:lineRule="auto"/>
                              <w:rPr>
                                <w:lang w:val="es-MX"/>
                              </w:rPr>
                            </w:pPr>
                            <w:r w:rsidRPr="00C1436C">
                              <w:rPr>
                                <w:lang w:val="es-MX"/>
                              </w:rPr>
                              <w:t>Bienestar</w:t>
                            </w:r>
                          </w:p>
                          <w:p w14:paraId="38A8CB68" w14:textId="77777777" w:rsidR="000E5B14" w:rsidRPr="00C1436C" w:rsidRDefault="000E5B14" w:rsidP="000E5B14">
                            <w:pPr>
                              <w:spacing w:line="259" w:lineRule="auto"/>
                            </w:pPr>
                            <w:r w:rsidRPr="00C1436C">
                              <w:rPr>
                                <w:lang w:val="es-MX"/>
                              </w:rPr>
                              <w:t>Autonomía</w:t>
                            </w:r>
                          </w:p>
                          <w:p w14:paraId="3E903690" w14:textId="77777777" w:rsidR="000E5B14" w:rsidRPr="00C1436C" w:rsidRDefault="000E5B14" w:rsidP="000E5B14">
                            <w:pPr>
                              <w:spacing w:line="259" w:lineRule="auto"/>
                            </w:pPr>
                            <w:r w:rsidRPr="00C1436C">
                              <w:rPr>
                                <w:lang w:val="es-MX"/>
                              </w:rPr>
                              <w:t>Funcionalidad</w:t>
                            </w:r>
                          </w:p>
                          <w:p w14:paraId="3D8A0DBA" w14:textId="77777777" w:rsidR="000E5B14" w:rsidRDefault="000E5B14" w:rsidP="000E5B14">
                            <w:pPr>
                              <w:spacing w:line="259" w:lineRule="auto"/>
                            </w:pPr>
                            <w:r w:rsidRPr="00C1436C">
                              <w:rPr>
                                <w:lang w:val="es-MX"/>
                              </w:rPr>
                              <w:t xml:space="preserve">Adaptabilidad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9C000" id="Rectángulo 11" o:spid="_x0000_s1027" style="position:absolute;left:0;text-align:left;margin-left:39.95pt;margin-top:2pt;width:130.2pt;height:7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" fillcolor="white [3201]" strokecolor="black [3213]" strokeweight="1pt">
                <v:textbox>
                  <w:txbxContent>
                    <w:p w14:paraId="5172B579" w14:textId="77777777" w:rsidR="000E5B14" w:rsidRPr="00C1436C" w:rsidRDefault="000E5B14" w:rsidP="000E5B14">
                      <w:pPr>
                        <w:spacing w:line="259" w:lineRule="auto"/>
                        <w:rPr>
                          <w:lang w:val="es-MX"/>
                        </w:rPr>
                      </w:pPr>
                      <w:r w:rsidRPr="00C1436C">
                        <w:rPr>
                          <w:lang w:val="es-MX"/>
                        </w:rPr>
                        <w:t>Bienestar</w:t>
                      </w:r>
                    </w:p>
                    <w:p w14:paraId="38A8CB68" w14:textId="77777777" w:rsidR="000E5B14" w:rsidRPr="00C1436C" w:rsidRDefault="000E5B14" w:rsidP="000E5B14">
                      <w:pPr>
                        <w:spacing w:line="259" w:lineRule="auto"/>
                      </w:pPr>
                      <w:r w:rsidRPr="00C1436C">
                        <w:rPr>
                          <w:lang w:val="es-MX"/>
                        </w:rPr>
                        <w:t>Autonomía</w:t>
                      </w:r>
                    </w:p>
                    <w:p w14:paraId="3E903690" w14:textId="77777777" w:rsidR="000E5B14" w:rsidRPr="00C1436C" w:rsidRDefault="000E5B14" w:rsidP="000E5B14">
                      <w:pPr>
                        <w:spacing w:line="259" w:lineRule="auto"/>
                      </w:pPr>
                      <w:r w:rsidRPr="00C1436C">
                        <w:rPr>
                          <w:lang w:val="es-MX"/>
                        </w:rPr>
                        <w:t>Funcionalidad</w:t>
                      </w:r>
                    </w:p>
                    <w:p w14:paraId="3D8A0DBA" w14:textId="77777777" w:rsidR="000E5B14" w:rsidRDefault="000E5B14" w:rsidP="000E5B14">
                      <w:pPr>
                        <w:spacing w:line="259" w:lineRule="auto"/>
                      </w:pPr>
                      <w:r w:rsidRPr="00C1436C">
                        <w:rPr>
                          <w:lang w:val="es-MX"/>
                        </w:rPr>
                        <w:t xml:space="preserve">Adaptabilidad          </w:t>
                      </w:r>
                    </w:p>
                  </w:txbxContent>
                </v:textbox>
              </v:rect>
            </w:pict>
          </mc:Fallback>
        </mc:AlternateContent>
      </w:r>
    </w:p>
    <w:p w14:paraId="7B6DB52F" w14:textId="77777777" w:rsidR="000E5B14" w:rsidRPr="00556A8B" w:rsidRDefault="000E5B14" w:rsidP="000162FA">
      <w:pPr>
        <w:spacing w:before="100" w:beforeAutospacing="1" w:after="100" w:afterAutospacing="1"/>
        <w:ind w:firstLine="720"/>
        <w:rPr>
          <w:rFonts w:eastAsia="Times New Roman" w:cs="Times New Roman"/>
          <w:lang w:val="es-MX"/>
        </w:rPr>
      </w:pPr>
      <w:r w:rsidRPr="00556A8B">
        <w:rPr>
          <w:rFonts w:eastAsia="Times New Roman" w:cs="Times New Roman"/>
          <w:lang w:val="es-MX"/>
        </w:rPr>
        <w:t xml:space="preserve"> </w:t>
      </w:r>
    </w:p>
    <w:p w14:paraId="3ACCB653" w14:textId="77777777" w:rsidR="000E5B14" w:rsidRPr="00556A8B" w:rsidRDefault="000E5B14" w:rsidP="000162FA">
      <w:pPr>
        <w:spacing w:before="100" w:beforeAutospacing="1" w:after="100" w:afterAutospacing="1"/>
        <w:ind w:firstLine="720"/>
        <w:rPr>
          <w:rFonts w:eastAsia="Times New Roman" w:cs="Times New Roman"/>
          <w:lang w:val="es-MX"/>
        </w:rPr>
      </w:pPr>
    </w:p>
    <w:p w14:paraId="74BB6295" w14:textId="77777777" w:rsidR="00DE6798" w:rsidRPr="00556A8B" w:rsidRDefault="00DE6798" w:rsidP="000162FA">
      <w:pPr>
        <w:spacing w:before="100" w:beforeAutospacing="1" w:after="100" w:afterAutospacing="1"/>
        <w:ind w:firstLine="720"/>
        <w:rPr>
          <w:rFonts w:eastAsia="Times New Roman" w:cs="Times New Roman"/>
          <w:lang w:val="es-MX"/>
        </w:rPr>
      </w:pPr>
    </w:p>
    <w:p w14:paraId="513A4C20" w14:textId="77777777" w:rsidR="00DE6798" w:rsidRPr="00556A8B" w:rsidRDefault="00DE6798" w:rsidP="000162FA">
      <w:pPr>
        <w:spacing w:before="100" w:beforeAutospacing="1" w:after="100" w:afterAutospacing="1"/>
        <w:ind w:firstLine="720"/>
        <w:rPr>
          <w:rFonts w:eastAsia="Times New Roman" w:cs="Times New Roman"/>
          <w:lang w:val="es-MX"/>
        </w:rPr>
      </w:pPr>
    </w:p>
    <w:p w14:paraId="16348965" w14:textId="77777777" w:rsidR="00DE6798" w:rsidRPr="00556A8B" w:rsidRDefault="00DE6798" w:rsidP="000162FA">
      <w:pPr>
        <w:spacing w:before="100" w:beforeAutospacing="1" w:after="100" w:afterAutospacing="1"/>
        <w:ind w:firstLine="720"/>
        <w:rPr>
          <w:rFonts w:eastAsia="Times New Roman" w:cs="Times New Roman"/>
          <w:lang w:val="es-MX"/>
        </w:rPr>
      </w:pPr>
    </w:p>
    <w:p w14:paraId="5A7B5781" w14:textId="448750D3" w:rsidR="000E5B14" w:rsidRPr="00556A8B" w:rsidRDefault="000E5B14" w:rsidP="000162FA">
      <w:pPr>
        <w:spacing w:before="100" w:beforeAutospacing="1" w:after="100" w:afterAutospacing="1"/>
        <w:ind w:firstLine="720"/>
        <w:rPr>
          <w:rFonts w:eastAsia="Times New Roman" w:cs="Times New Roman"/>
          <w:lang w:val="es-MX"/>
        </w:rPr>
      </w:pPr>
      <w:r w:rsidRPr="00556A8B">
        <w:rPr>
          <w:rFonts w:eastAsia="Times New Roman" w:cs="Times New Roman"/>
          <w:lang w:val="es-MX"/>
        </w:rPr>
        <w:t>BLOQUE DE SENTIDO: “SALUD MENTAL”</w:t>
      </w:r>
    </w:p>
    <w:p w14:paraId="6107BD2A" w14:textId="77777777" w:rsidR="00DE6798" w:rsidRPr="00556A8B" w:rsidRDefault="00DE6798" w:rsidP="000162FA">
      <w:pPr>
        <w:spacing w:before="100" w:beforeAutospacing="1" w:after="100" w:afterAutospacing="1"/>
        <w:rPr>
          <w:rFonts w:cs="Times New Roman"/>
        </w:rPr>
      </w:pPr>
    </w:p>
    <w:p w14:paraId="1EFA48B0" w14:textId="1406B984" w:rsidR="00DE23BF" w:rsidRDefault="00DE23BF" w:rsidP="00357B2F">
      <w:r w:rsidRPr="00556A8B">
        <w:t xml:space="preserve">El principio de la </w:t>
      </w:r>
      <w:r w:rsidRPr="00556A8B">
        <w:rPr>
          <w:b/>
          <w:bCs/>
        </w:rPr>
        <w:t>asociación</w:t>
      </w:r>
      <w:r w:rsidRPr="00556A8B">
        <w:t xml:space="preserve"> permite identificar vínculos recurrentes entre términos, categorías o figuras que conforman bloques de sentido relativamente estables dentro del discurso. No se trata simplemente de registrar coocurrencias léxicas, sino de analizar cómo dichas asociaciones se inscriben en racionalidades estratégicas más amplias, previamente delineadas a través de las disyunciones estructurales. En este movimiento, el análisis reconstruye redes semánticas que articulan los atributos asignados a cada elemento con su función dentro del </w:t>
      </w:r>
      <w:r w:rsidRPr="00556A8B">
        <w:lastRenderedPageBreak/>
        <w:t>campo discursivo, operando mediante la distinción entre códigos calificativos y códigos objeto (Suárez, 2008).</w:t>
      </w:r>
    </w:p>
    <w:p w14:paraId="2EB74CF2" w14:textId="77777777" w:rsidR="00552E9A" w:rsidRDefault="00552E9A" w:rsidP="00552E9A">
      <w:pPr>
        <w:pStyle w:val="Tablas"/>
        <w:ind w:firstLine="0"/>
        <w:rPr>
          <w:b/>
          <w:bCs/>
        </w:rPr>
      </w:pPr>
    </w:p>
    <w:p w14:paraId="01832F75" w14:textId="1CCE3AED" w:rsidR="004668B2" w:rsidRPr="00552E9A" w:rsidRDefault="00552E9A" w:rsidP="00552E9A">
      <w:pPr>
        <w:pStyle w:val="Tablas"/>
        <w:ind w:firstLine="0"/>
        <w:rPr>
          <w:b/>
          <w:bCs/>
        </w:rPr>
      </w:pPr>
      <w:bookmarkStart w:id="80" w:name="_Toc235178350"/>
      <w:r w:rsidRPr="00552E9A">
        <w:rPr>
          <w:b/>
          <w:bCs/>
        </w:rPr>
        <w:t xml:space="preserve">Figura 1. </w:t>
      </w:r>
      <w:r w:rsidR="004668B2" w:rsidRPr="00552E9A">
        <w:rPr>
          <w:b/>
          <w:bCs/>
        </w:rPr>
        <w:t>Grafo de asociaciones discursivas</w:t>
      </w:r>
      <w:bookmarkEnd w:id="80"/>
    </w:p>
    <w:p w14:paraId="3A41059A" w14:textId="77777777" w:rsidR="00552E9A" w:rsidRDefault="00552E9A" w:rsidP="00552E9A">
      <w:pPr>
        <w:spacing w:after="81"/>
        <w:ind w:firstLine="0"/>
        <w:rPr>
          <w:rFonts w:eastAsia="Times New Roman" w:cs="Times New Roman"/>
          <w:color w:val="7F7F7F"/>
          <w:sz w:val="18"/>
        </w:rPr>
      </w:pPr>
    </w:p>
    <w:p w14:paraId="22EC7889" w14:textId="77777777" w:rsidR="00552E9A" w:rsidRDefault="00552E9A" w:rsidP="00E16CA7">
      <w:pPr>
        <w:ind w:firstLine="0"/>
      </w:pPr>
    </w:p>
    <w:p w14:paraId="5F013760" w14:textId="77777777" w:rsidR="00552E9A" w:rsidRPr="00552E9A" w:rsidRDefault="00552E9A" w:rsidP="00552E9A">
      <w:pPr>
        <w:spacing w:after="81"/>
        <w:ind w:firstLine="0"/>
        <w:rPr>
          <w:color w:val="000000" w:themeColor="text1"/>
        </w:rPr>
      </w:pPr>
      <w:r>
        <w:rPr>
          <w:noProof/>
        </w:rPr>
        <w:drawing>
          <wp:anchor distT="0" distB="0" distL="114300" distR="114300" simplePos="0" relativeHeight="251673600" behindDoc="0" locked="0" layoutInCell="1" allowOverlap="1" wp14:anchorId="282BB350" wp14:editId="5B2D91D4">
            <wp:simplePos x="0" y="0"/>
            <wp:positionH relativeFrom="margin">
              <wp:posOffset>-202565</wp:posOffset>
            </wp:positionH>
            <wp:positionV relativeFrom="margin">
              <wp:posOffset>1266190</wp:posOffset>
            </wp:positionV>
            <wp:extent cx="6478270" cy="4003675"/>
            <wp:effectExtent l="0" t="0" r="0" b="0"/>
            <wp:wrapSquare wrapText="bothSides"/>
            <wp:docPr id="1939312367" name="Imagen 193931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12367" name="Imagen 193931236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8270" cy="4003675"/>
                    </a:xfrm>
                    <a:prstGeom prst="rect">
                      <a:avLst/>
                    </a:prstGeom>
                  </pic:spPr>
                </pic:pic>
              </a:graphicData>
            </a:graphic>
            <wp14:sizeRelH relativeFrom="margin">
              <wp14:pctWidth>0</wp14:pctWidth>
            </wp14:sizeRelH>
            <wp14:sizeRelV relativeFrom="margin">
              <wp14:pctHeight>0</wp14:pctHeight>
            </wp14:sizeRelV>
          </wp:anchor>
        </w:drawing>
      </w:r>
      <w:r>
        <w:t xml:space="preserve">Nota: </w:t>
      </w:r>
      <w:r w:rsidRPr="00552E9A">
        <w:rPr>
          <w:rFonts w:eastAsia="Times New Roman" w:cs="Times New Roman"/>
          <w:color w:val="000000" w:themeColor="text1"/>
          <w:sz w:val="18"/>
        </w:rPr>
        <w:t>Red semántica del campo de la salud mental — MAEC · Principio de asociación (Hiernaux, 2008)</w:t>
      </w:r>
    </w:p>
    <w:p w14:paraId="49EA48FF" w14:textId="4CB641FB" w:rsidR="004668B2" w:rsidRPr="00552E9A" w:rsidRDefault="004668B2" w:rsidP="00E16CA7">
      <w:pPr>
        <w:ind w:firstLine="0"/>
        <w:rPr>
          <w:color w:val="000000" w:themeColor="text1"/>
        </w:rPr>
      </w:pPr>
    </w:p>
    <w:p w14:paraId="4C8332EC" w14:textId="65EBBD35" w:rsidR="004668B2" w:rsidRDefault="004668B2" w:rsidP="00357B2F"/>
    <w:p w14:paraId="4AB56E9D" w14:textId="77777777" w:rsidR="004668B2" w:rsidRPr="00556A8B" w:rsidRDefault="004668B2" w:rsidP="00E16CA7">
      <w:pPr>
        <w:ind w:firstLine="0"/>
      </w:pPr>
    </w:p>
    <w:p w14:paraId="02C34874" w14:textId="6D12431E" w:rsidR="00DE23BF" w:rsidRPr="00556A8B" w:rsidRDefault="00DE23BF" w:rsidP="00357B2F">
      <w:r w:rsidRPr="00556A8B">
        <w:t xml:space="preserve">Los códigos calificativos otorgan cualidades valorativas </w:t>
      </w:r>
      <w:r w:rsidR="004F3849" w:rsidRPr="00556A8B">
        <w:t>(</w:t>
      </w:r>
      <w:r w:rsidRPr="00556A8B">
        <w:t>morales, técnicas, afectivas o funcionales</w:t>
      </w:r>
      <w:r w:rsidR="004F3849" w:rsidRPr="00556A8B">
        <w:t>)</w:t>
      </w:r>
      <w:r w:rsidRPr="00556A8B">
        <w:t xml:space="preserve"> a los códigos objeto, configurando jerarquías de s</w:t>
      </w:r>
      <w:r w:rsidR="00135097" w:rsidRPr="00556A8B">
        <w:t>e</w:t>
      </w:r>
      <w:r w:rsidRPr="00556A8B">
        <w:t xml:space="preserve">ntido que no son neutras ni descriptivas, sino normativas (Saldarriaga, 2008). Así, cada gramática asociativa puede leerse como portadora de una valoración cultural implícita, ya sea positiva (+) o negativa (−), que funciona como criterio de legitimación o descalificación simbólica. Desde esta perspectiva, la asociación no solo permite mapear la arquitectura interna del discurso, sino también los </w:t>
      </w:r>
      <w:r w:rsidRPr="00556A8B">
        <w:lastRenderedPageBreak/>
        <w:t>regímenes valorativos que le confieren eficacia cultural, normativa y política, participando activamente en la producción de formas legítimas de subjetividad en el campo de la salud mental.</w:t>
      </w:r>
    </w:p>
    <w:p w14:paraId="18BF4CAE" w14:textId="45A91410" w:rsidR="00DE23BF" w:rsidRPr="00556A8B" w:rsidRDefault="00DE23BF" w:rsidP="00357B2F">
      <w:r w:rsidRPr="00556A8B">
        <w:t xml:space="preserve">Otro de los principios fundamentales del análisis estructural de contenido es la </w:t>
      </w:r>
      <w:r w:rsidRPr="00556A8B">
        <w:rPr>
          <w:b/>
          <w:bCs/>
        </w:rPr>
        <w:t>isotopía</w:t>
      </w:r>
      <w:r w:rsidRPr="00556A8B">
        <w:t>, orientada a identificar la repetición sistemática de núcleos semánticos o temáticos que otorgan coherencia y continuidad al discurso (Greimas, 1983). A diferencia de la asociación</w:t>
      </w:r>
      <w:r w:rsidR="00DE6798" w:rsidRPr="00556A8B">
        <w:t xml:space="preserve">, </w:t>
      </w:r>
      <w:r w:rsidRPr="00556A8B">
        <w:t>que examina los vínculos entre elementos distintos, la isotopía se centra en la reiteración de ciertos significantes, imágenes o categorías que, al reaparecer de manera insistente, consolidan zonas de densidad simbólica. Estas recurrencias estabilizan sentidos y contribuyen a naturalizar determinadas formas de problematización.</w:t>
      </w:r>
    </w:p>
    <w:p w14:paraId="7DED6E13" w14:textId="77777777" w:rsidR="00DE23BF" w:rsidRPr="00556A8B" w:rsidRDefault="00DE23BF" w:rsidP="00357B2F">
      <w:r w:rsidRPr="00556A8B">
        <w:t>En palabras de Hiernaux (2008), la isotopía actúa como un estabilizador de sentido, reiterando ciertos conceptos hasta convertirlos en ejes articuladores del discurso. En el campo de la salud mental, tales repeticiones pueden fijar nociones como “equilibrio”, “funcionalidad” o “autogestión” como horizontes evidentes de normalidad, reforzando su inscripción en regímenes de verdad que orientan tanto la intervención profesional como las prácticas de autogobierno.</w:t>
      </w:r>
    </w:p>
    <w:p w14:paraId="25CD80FD" w14:textId="77777777" w:rsidR="00DE6798" w:rsidRPr="00556A8B" w:rsidRDefault="00DE6798" w:rsidP="000162FA">
      <w:pPr>
        <w:spacing w:before="100" w:beforeAutospacing="1" w:after="100" w:afterAutospacing="1"/>
        <w:rPr>
          <w:rFonts w:eastAsia="Times New Roman" w:cs="Times New Roman"/>
          <w:lang w:val="es-MX"/>
        </w:rPr>
      </w:pPr>
    </w:p>
    <w:p w14:paraId="4C99C6F4" w14:textId="02738BF9" w:rsidR="000E5B14" w:rsidRPr="00556A8B" w:rsidRDefault="000E5B14" w:rsidP="000162FA">
      <w:pPr>
        <w:spacing w:before="100" w:beforeAutospacing="1" w:after="100" w:afterAutospacing="1"/>
        <w:rPr>
          <w:rFonts w:eastAsia="Times New Roman" w:cs="Times New Roman"/>
          <w:lang w:val="es-MX"/>
        </w:rPr>
      </w:pPr>
      <w:r w:rsidRPr="00556A8B">
        <w:rPr>
          <w:rFonts w:eastAsia="Times New Roman" w:cs="Times New Roman"/>
          <w:lang w:val="es-MX"/>
        </w:rPr>
        <w:t>ISOTOPÍA</w:t>
      </w:r>
    </w:p>
    <w:p w14:paraId="427251E3" w14:textId="77777777" w:rsidR="000E5B14" w:rsidRPr="00556A8B" w:rsidRDefault="000E5B14" w:rsidP="000162FA">
      <w:pPr>
        <w:spacing w:before="100" w:beforeAutospacing="1" w:after="100" w:afterAutospacing="1"/>
        <w:rPr>
          <w:rFonts w:eastAsia="Times New Roman" w:cs="Times New Roman"/>
          <w:lang w:val="es-MX"/>
        </w:rPr>
      </w:pPr>
      <w:r w:rsidRPr="00556A8B">
        <w:rPr>
          <w:rFonts w:eastAsia="Times New Roman" w:cs="Times New Roman"/>
          <w:lang w:val="es-MX"/>
        </w:rPr>
        <w:t xml:space="preserve">        Repetición de tema: Funcionalidad</w:t>
      </w:r>
    </w:p>
    <w:p w14:paraId="36BC43BD" w14:textId="77777777" w:rsidR="000E5B14" w:rsidRPr="00556A8B" w:rsidRDefault="000E5B14" w:rsidP="000162FA">
      <w:pPr>
        <w:spacing w:before="100" w:beforeAutospacing="1" w:after="100" w:afterAutospacing="1"/>
        <w:rPr>
          <w:rFonts w:eastAsia="Times New Roman" w:cs="Times New Roman"/>
          <w:lang w:val="es-MX"/>
        </w:rPr>
      </w:pPr>
      <w:r w:rsidRPr="00556A8B">
        <w:rPr>
          <w:rFonts w:eastAsia="Times New Roman" w:cs="Times New Roman"/>
          <w:lang w:val="es-MX"/>
        </w:rPr>
        <w:t>FUNCIONALIDAD ─────────►   Estabilidad del sentido</w:t>
      </w:r>
    </w:p>
    <w:p w14:paraId="6F7F6E11" w14:textId="77777777" w:rsidR="000E5B14" w:rsidRPr="00556A8B" w:rsidRDefault="000E5B14" w:rsidP="000162FA">
      <w:pPr>
        <w:spacing w:before="100" w:beforeAutospacing="1" w:after="100" w:afterAutospacing="1"/>
        <w:rPr>
          <w:rFonts w:eastAsia="Times New Roman" w:cs="Times New Roman"/>
          <w:lang w:val="es-MX"/>
        </w:rPr>
      </w:pPr>
      <w:r w:rsidRPr="00556A8B">
        <w:rPr>
          <w:rFonts w:eastAsia="Times New Roman" w:cs="Times New Roman"/>
          <w:lang w:val="es-MX"/>
        </w:rPr>
        <w:t xml:space="preserve">     ▲</w:t>
      </w:r>
      <w:r w:rsidRPr="00556A8B">
        <w:rPr>
          <w:rFonts w:eastAsia="Times New Roman" w:cs="Times New Roman"/>
          <w:lang w:val="es-MX"/>
        </w:rPr>
        <w:tab/>
      </w:r>
    </w:p>
    <w:p w14:paraId="06AE7C2A" w14:textId="77777777" w:rsidR="000E5B14" w:rsidRPr="00556A8B" w:rsidRDefault="000E5B14" w:rsidP="000162FA">
      <w:pPr>
        <w:spacing w:before="100" w:beforeAutospacing="1" w:after="100" w:afterAutospacing="1"/>
        <w:rPr>
          <w:rFonts w:eastAsia="Times New Roman" w:cs="Times New Roman"/>
          <w:lang w:val="es-MX"/>
        </w:rPr>
      </w:pPr>
      <w:r w:rsidRPr="00556A8B">
        <w:rPr>
          <w:rFonts w:eastAsia="Times New Roman" w:cs="Times New Roman"/>
          <w:lang w:val="es-MX"/>
        </w:rPr>
        <w:t xml:space="preserve">     └── aparece como núcleo semántico reiterado</w:t>
      </w:r>
    </w:p>
    <w:p w14:paraId="6605235F" w14:textId="77777777" w:rsidR="00DE6798" w:rsidRPr="00556A8B" w:rsidRDefault="00DE6798" w:rsidP="000162FA">
      <w:pPr>
        <w:spacing w:before="100" w:beforeAutospacing="1" w:after="100" w:afterAutospacing="1"/>
        <w:rPr>
          <w:rFonts w:eastAsia="Times New Roman" w:cs="Times New Roman"/>
          <w:lang w:val="es-MX"/>
        </w:rPr>
      </w:pPr>
    </w:p>
    <w:p w14:paraId="7C4579A8" w14:textId="77777777" w:rsidR="00DE6798" w:rsidRPr="00556A8B" w:rsidRDefault="00DE6798" w:rsidP="000162FA">
      <w:pPr>
        <w:spacing w:before="100" w:beforeAutospacing="1" w:after="100" w:afterAutospacing="1"/>
        <w:rPr>
          <w:rFonts w:eastAsia="Times New Roman" w:cs="Times New Roman"/>
          <w:lang w:val="es-MX"/>
        </w:rPr>
      </w:pPr>
    </w:p>
    <w:p w14:paraId="7F69EE1A" w14:textId="10BC75FB" w:rsidR="00DE23BF" w:rsidRPr="00556A8B" w:rsidRDefault="00DE23BF" w:rsidP="00357B2F">
      <w:r w:rsidRPr="00556A8B">
        <w:t>El principio de isotopía asegura la continuidad del discurso mediante la repetición y el entrelazamiento de hilos de significado que operan como estabilizadores del sentido a lo largo del texto (Greimas, 1983). Este núcleo semántico</w:t>
      </w:r>
      <w:r w:rsidR="004F3849" w:rsidRPr="00556A8B">
        <w:t xml:space="preserve">, </w:t>
      </w:r>
      <w:r w:rsidRPr="00556A8B">
        <w:t>que puede expresarse a través de términos recurrentes, imágenes insistentes o formulaciones reiteradas</w:t>
      </w:r>
      <w:r w:rsidR="004F3849" w:rsidRPr="00556A8B">
        <w:t>,</w:t>
      </w:r>
      <w:r w:rsidRPr="00556A8B">
        <w:t xml:space="preserve"> actúa como eje organizador de la producción discursiva, sosteniendo su dinámica interna y facilitando la identificación de patrones y estructuras profundas. La isotopía no solo otorga coherencia, sino que contribuye a naturalizar ciertos sentidos al reiterarlos hasta convertirlos en evidencias.</w:t>
      </w:r>
    </w:p>
    <w:p w14:paraId="1DE04E9D" w14:textId="77777777" w:rsidR="00DE23BF" w:rsidRPr="00556A8B" w:rsidRDefault="00DE23BF" w:rsidP="00357B2F">
      <w:r w:rsidRPr="00556A8B">
        <w:t xml:space="preserve">En estrecha relación con ello, los topos de enunciación, entendidos como lugares estructurales desde los cuales se emite el discurso, permiten identificar la posición, autoridad y </w:t>
      </w:r>
      <w:r w:rsidRPr="00556A8B">
        <w:lastRenderedPageBreak/>
        <w:t>perspectiva del enunciador (Hiernaux, 2008). Estos topos no remiten simplemente a un “quién habla”, sino a un “desde dónde se habla”: un emplazamiento discursivo que habilita ciertas formas de problematización y clausura otras. Funcionan como escenarios estructurantes que permiten la circulación y articulación de los hilos isotópicos, configurando una red de significados que sostiene la inteligibilidad del texto. En este entramado, la coherencia no es un atributo formal del lenguaje, sino un efecto de organización que responde a reglas históricas de enunciabilidad.</w:t>
      </w:r>
    </w:p>
    <w:p w14:paraId="4134978E" w14:textId="77777777" w:rsidR="00DE23BF" w:rsidRPr="00556A8B" w:rsidRDefault="00DE23BF" w:rsidP="00357B2F">
      <w:r w:rsidRPr="00556A8B">
        <w:t>Finalmente, el principio de condensación descriptiva permite analizar unidades discursivas complejas que agrupan múltiples elementos en torno a una figura, categoría o metáfora dominante. Una categoría discursiva puede condensar diversos sentidos, voces y representaciones que, por su reiteración o fuerza simbólica, adquieren el estatuto de figura estructural dentro del texto (Saldarriaga, 2015). Estas condensaciones operan como núcleos de alta densidad semántica que facilitan su circulación y eficacia cultural, funcionando como verdaderos nodos organizadores del campo discursivo.</w:t>
      </w:r>
    </w:p>
    <w:p w14:paraId="55A5331C" w14:textId="62FA48C7" w:rsidR="000E5B14" w:rsidRPr="00556A8B" w:rsidRDefault="00DE23BF" w:rsidP="00357B2F">
      <w:r w:rsidRPr="00556A8B">
        <w:t>Como señalan Suárez et al. (2008), “las condensaciones organizan el sentido a partir de configuraciones densas que orientan la interpretación del discurso” (p. 78). En esta medida, no solo simplifican la complejidad del material discursivo, sino que estructuran el horizonte de lo decible y lo pensable, fijando figuras que pueden operar como modelos normativos de subjetividad. En el campo de la salud mental, tales condensaciones pueden cristalizar en nociones como “equilibrio”, “resiliencia” o “autogestión”, que, al concentrar múltiples valoraciones y expectativas, se convierten en referentes privilegiados para la definición de lo saludable</w:t>
      </w:r>
      <w:r w:rsidR="000E5B14" w:rsidRPr="00556A8B">
        <w:rPr>
          <w:rFonts w:eastAsia="Times New Roman"/>
          <w:lang w:val="es-MX"/>
        </w:rPr>
        <w:t>.</w:t>
      </w:r>
    </w:p>
    <w:p w14:paraId="49A231BA" w14:textId="77777777" w:rsidR="00DE6798" w:rsidRPr="00556A8B" w:rsidRDefault="00DE6798" w:rsidP="000162FA">
      <w:pPr>
        <w:autoSpaceDE w:val="0"/>
        <w:autoSpaceDN w:val="0"/>
        <w:adjustRightInd w:val="0"/>
        <w:ind w:firstLine="720"/>
        <w:rPr>
          <w:rFonts w:cs="Times New Roman"/>
          <w:lang w:val="es-MX"/>
        </w:rPr>
      </w:pPr>
    </w:p>
    <w:p w14:paraId="21DD7C14" w14:textId="77777777" w:rsidR="00DE6798" w:rsidRPr="00556A8B" w:rsidRDefault="00DE6798" w:rsidP="000162FA">
      <w:pPr>
        <w:autoSpaceDE w:val="0"/>
        <w:autoSpaceDN w:val="0"/>
        <w:adjustRightInd w:val="0"/>
        <w:ind w:firstLine="720"/>
        <w:rPr>
          <w:rFonts w:cs="Times New Roman"/>
          <w:lang w:val="es-MX"/>
        </w:rPr>
      </w:pPr>
    </w:p>
    <w:p w14:paraId="3DA68ED1" w14:textId="6E5A8642" w:rsidR="000E5B14" w:rsidRPr="00556A8B" w:rsidRDefault="000E5B14" w:rsidP="000162FA">
      <w:pPr>
        <w:autoSpaceDE w:val="0"/>
        <w:autoSpaceDN w:val="0"/>
        <w:adjustRightInd w:val="0"/>
        <w:ind w:firstLine="720"/>
        <w:rPr>
          <w:rFonts w:cs="Times New Roman"/>
          <w:lang w:val="es-MX"/>
        </w:rPr>
      </w:pPr>
      <w:r w:rsidRPr="00556A8B">
        <w:rPr>
          <w:rFonts w:cs="Times New Roman"/>
          <w:lang w:val="es-MX"/>
        </w:rPr>
        <w:t>“Salud Mental”</w:t>
      </w:r>
    </w:p>
    <w:p w14:paraId="64E6433E" w14:textId="77777777" w:rsidR="00DE6798" w:rsidRPr="00556A8B" w:rsidRDefault="000E5B14" w:rsidP="000162FA">
      <w:pPr>
        <w:autoSpaceDE w:val="0"/>
        <w:autoSpaceDN w:val="0"/>
        <w:adjustRightInd w:val="0"/>
        <w:ind w:firstLine="720"/>
        <w:rPr>
          <w:rFonts w:cs="Times New Roman"/>
          <w:lang w:val="es-MX"/>
        </w:rPr>
      </w:pPr>
      <w:r w:rsidRPr="00556A8B">
        <w:rPr>
          <w:rFonts w:cs="Times New Roman"/>
          <w:noProof/>
          <w:lang w:val="en-US"/>
        </w:rPr>
        <mc:AlternateContent>
          <mc:Choice Requires="wps">
            <w:drawing>
              <wp:anchor distT="0" distB="0" distL="114300" distR="114300" simplePos="0" relativeHeight="251670528" behindDoc="0" locked="0" layoutInCell="1" allowOverlap="1" wp14:anchorId="1187FE05" wp14:editId="2928CD3A">
                <wp:simplePos x="0" y="0"/>
                <wp:positionH relativeFrom="column">
                  <wp:posOffset>582930</wp:posOffset>
                </wp:positionH>
                <wp:positionV relativeFrom="paragraph">
                  <wp:posOffset>60325</wp:posOffset>
                </wp:positionV>
                <wp:extent cx="1697126" cy="848563"/>
                <wp:effectExtent l="0" t="0" r="17780" b="27940"/>
                <wp:wrapNone/>
                <wp:docPr id="1" name="Rectángulo 1"/>
                <wp:cNvGraphicFramePr/>
                <a:graphic xmlns:a="http://schemas.openxmlformats.org/drawingml/2006/main">
                  <a:graphicData uri="http://schemas.microsoft.com/office/word/2010/wordprocessingShape">
                    <wps:wsp>
                      <wps:cNvSpPr/>
                      <wps:spPr>
                        <a:xfrm>
                          <a:off x="0" y="0"/>
                          <a:ext cx="1697126" cy="84856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109232" w14:textId="77777777" w:rsidR="000E5B14" w:rsidRPr="003440F7" w:rsidRDefault="000E5B14" w:rsidP="000E5B14">
                            <w:pPr>
                              <w:autoSpaceDE w:val="0"/>
                              <w:autoSpaceDN w:val="0"/>
                              <w:adjustRightInd w:val="0"/>
                              <w:spacing w:line="240" w:lineRule="auto"/>
                              <w:rPr>
                                <w:rFonts w:cs="Times New Roman"/>
                                <w:lang w:val="es-MX"/>
                              </w:rPr>
                            </w:pPr>
                            <w:r w:rsidRPr="003440F7">
                              <w:rPr>
                                <w:rFonts w:cs="Times New Roman"/>
                                <w:lang w:val="es-MX"/>
                              </w:rPr>
                              <w:t xml:space="preserve">Autocuidado      </w:t>
                            </w:r>
                          </w:p>
                          <w:p w14:paraId="00C584C6" w14:textId="77777777" w:rsidR="000E5B14" w:rsidRDefault="000E5B14" w:rsidP="000E5B14">
                            <w:pPr>
                              <w:autoSpaceDE w:val="0"/>
                              <w:autoSpaceDN w:val="0"/>
                              <w:adjustRightInd w:val="0"/>
                              <w:spacing w:line="240" w:lineRule="auto"/>
                              <w:rPr>
                                <w:rFonts w:cs="Times New Roman"/>
                                <w:lang w:val="es-MX"/>
                              </w:rPr>
                            </w:pPr>
                            <w:r w:rsidRPr="003440F7">
                              <w:rPr>
                                <w:rFonts w:cs="Times New Roman"/>
                                <w:lang w:val="es-MX"/>
                              </w:rPr>
                              <w:t>Adaptabilidad</w:t>
                            </w:r>
                          </w:p>
                          <w:p w14:paraId="3483561B" w14:textId="77777777" w:rsidR="000E5B14" w:rsidRDefault="000E5B14" w:rsidP="000E5B14">
                            <w:pPr>
                              <w:autoSpaceDE w:val="0"/>
                              <w:autoSpaceDN w:val="0"/>
                              <w:adjustRightInd w:val="0"/>
                              <w:spacing w:line="240" w:lineRule="auto"/>
                              <w:rPr>
                                <w:rFonts w:cs="Times New Roman"/>
                                <w:lang w:val="es-MX"/>
                              </w:rPr>
                            </w:pPr>
                            <w:r w:rsidRPr="003440F7">
                              <w:rPr>
                                <w:rFonts w:cs="Times New Roman"/>
                                <w:lang w:val="es-MX"/>
                              </w:rPr>
                              <w:t>Resiliencia</w:t>
                            </w:r>
                          </w:p>
                          <w:p w14:paraId="2D8B09CD" w14:textId="77777777" w:rsidR="000E5B14" w:rsidRPr="003440F7" w:rsidRDefault="000E5B14" w:rsidP="000E5B14">
                            <w:pPr>
                              <w:autoSpaceDE w:val="0"/>
                              <w:autoSpaceDN w:val="0"/>
                              <w:adjustRightInd w:val="0"/>
                              <w:spacing w:line="240" w:lineRule="auto"/>
                              <w:rPr>
                                <w:rFonts w:cs="Times New Roman"/>
                                <w:lang w:val="es-MX"/>
                              </w:rPr>
                            </w:pPr>
                            <w:r w:rsidRPr="003440F7">
                              <w:rPr>
                                <w:rFonts w:cs="Times New Roman"/>
                                <w:lang w:val="es-MX"/>
                              </w:rPr>
                              <w:t>Responsabilidad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87FE05" id="Rectángulo 1" o:spid="_x0000_s1028" style="position:absolute;left:0;text-align:left;margin-left:45.9pt;margin-top:4.75pt;width:133.65pt;height:66.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" fillcolor="white [3201]" strokecolor="black [3213]" strokeweight="1pt">
                <v:textbox>
                  <w:txbxContent>
                    <w:p w14:paraId="72109232" w14:textId="77777777" w:rsidR="000E5B14" w:rsidRPr="003440F7" w:rsidRDefault="000E5B14" w:rsidP="000E5B14">
                      <w:pPr>
                        <w:autoSpaceDE w:val="0"/>
                        <w:autoSpaceDN w:val="0"/>
                        <w:adjustRightInd w:val="0"/>
                        <w:spacing w:line="240" w:lineRule="auto"/>
                        <w:rPr>
                          <w:rFonts w:cs="Times New Roman"/>
                          <w:lang w:val="es-MX"/>
                        </w:rPr>
                      </w:pPr>
                      <w:r w:rsidRPr="003440F7">
                        <w:rPr>
                          <w:rFonts w:cs="Times New Roman"/>
                          <w:lang w:val="es-MX"/>
                        </w:rPr>
                        <w:t xml:space="preserve">Autocuidado      </w:t>
                      </w:r>
                    </w:p>
                    <w:p w14:paraId="00C584C6" w14:textId="77777777" w:rsidR="000E5B14" w:rsidRDefault="000E5B14" w:rsidP="000E5B14">
                      <w:pPr>
                        <w:autoSpaceDE w:val="0"/>
                        <w:autoSpaceDN w:val="0"/>
                        <w:adjustRightInd w:val="0"/>
                        <w:spacing w:line="240" w:lineRule="auto"/>
                        <w:rPr>
                          <w:rFonts w:cs="Times New Roman"/>
                          <w:lang w:val="es-MX"/>
                        </w:rPr>
                      </w:pPr>
                      <w:r w:rsidRPr="003440F7">
                        <w:rPr>
                          <w:rFonts w:cs="Times New Roman"/>
                          <w:lang w:val="es-MX"/>
                        </w:rPr>
                        <w:t>Adaptabilidad</w:t>
                      </w:r>
                    </w:p>
                    <w:p w14:paraId="3483561B" w14:textId="77777777" w:rsidR="000E5B14" w:rsidRDefault="000E5B14" w:rsidP="000E5B14">
                      <w:pPr>
                        <w:autoSpaceDE w:val="0"/>
                        <w:autoSpaceDN w:val="0"/>
                        <w:adjustRightInd w:val="0"/>
                        <w:spacing w:line="240" w:lineRule="auto"/>
                        <w:rPr>
                          <w:rFonts w:cs="Times New Roman"/>
                          <w:lang w:val="es-MX"/>
                        </w:rPr>
                      </w:pPr>
                      <w:r w:rsidRPr="003440F7">
                        <w:rPr>
                          <w:rFonts w:cs="Times New Roman"/>
                          <w:lang w:val="es-MX"/>
                        </w:rPr>
                        <w:t>Resiliencia</w:t>
                      </w:r>
                    </w:p>
                    <w:p w14:paraId="2D8B09CD" w14:textId="77777777" w:rsidR="000E5B14" w:rsidRPr="003440F7" w:rsidRDefault="000E5B14" w:rsidP="000E5B14">
                      <w:pPr>
                        <w:autoSpaceDE w:val="0"/>
                        <w:autoSpaceDN w:val="0"/>
                        <w:adjustRightInd w:val="0"/>
                        <w:spacing w:line="240" w:lineRule="auto"/>
                        <w:rPr>
                          <w:rFonts w:cs="Times New Roman"/>
                          <w:lang w:val="es-MX"/>
                        </w:rPr>
                      </w:pPr>
                      <w:r w:rsidRPr="003440F7">
                        <w:rPr>
                          <w:rFonts w:cs="Times New Roman"/>
                          <w:lang w:val="es-MX"/>
                        </w:rPr>
                        <w:t>Responsabilidad</w:t>
                      </w:r>
                    </w:p>
                  </w:txbxContent>
                </v:textbox>
              </v:rect>
            </w:pict>
          </mc:Fallback>
        </mc:AlternateContent>
      </w:r>
      <w:r w:rsidRPr="00556A8B">
        <w:rPr>
          <w:rFonts w:cs="Times New Roman"/>
          <w:lang w:val="es-MX"/>
        </w:rPr>
        <w:t xml:space="preserve">      </w:t>
      </w:r>
    </w:p>
    <w:p w14:paraId="7570FA65" w14:textId="77777777" w:rsidR="00DE6798" w:rsidRPr="00556A8B" w:rsidRDefault="00DE6798" w:rsidP="000162FA">
      <w:pPr>
        <w:autoSpaceDE w:val="0"/>
        <w:autoSpaceDN w:val="0"/>
        <w:adjustRightInd w:val="0"/>
        <w:ind w:firstLine="720"/>
        <w:rPr>
          <w:rFonts w:cs="Times New Roman"/>
          <w:lang w:val="es-MX"/>
        </w:rPr>
      </w:pPr>
    </w:p>
    <w:p w14:paraId="39C1B301" w14:textId="772BF8BB" w:rsidR="000E5B14" w:rsidRPr="00556A8B" w:rsidRDefault="000E5B14" w:rsidP="000162FA">
      <w:pPr>
        <w:autoSpaceDE w:val="0"/>
        <w:autoSpaceDN w:val="0"/>
        <w:adjustRightInd w:val="0"/>
        <w:ind w:firstLine="720"/>
        <w:rPr>
          <w:rFonts w:cs="Times New Roman"/>
          <w:lang w:val="es-MX"/>
        </w:rPr>
      </w:pPr>
      <w:r w:rsidRPr="00556A8B">
        <w:rPr>
          <w:rFonts w:cs="Times New Roman"/>
          <w:lang w:val="es-MX"/>
        </w:rPr>
        <w:t>↓</w:t>
      </w:r>
    </w:p>
    <w:p w14:paraId="56FD075A" w14:textId="77777777" w:rsidR="000E5B14" w:rsidRPr="00556A8B" w:rsidRDefault="000E5B14" w:rsidP="000162FA">
      <w:pPr>
        <w:autoSpaceDE w:val="0"/>
        <w:autoSpaceDN w:val="0"/>
        <w:adjustRightInd w:val="0"/>
        <w:ind w:firstLine="720"/>
        <w:rPr>
          <w:rFonts w:cs="Times New Roman"/>
          <w:lang w:val="es-MX"/>
        </w:rPr>
      </w:pPr>
    </w:p>
    <w:p w14:paraId="1A0E1036" w14:textId="77777777" w:rsidR="00DE6798" w:rsidRPr="00556A8B" w:rsidRDefault="00DE6798" w:rsidP="000162FA">
      <w:pPr>
        <w:autoSpaceDE w:val="0"/>
        <w:autoSpaceDN w:val="0"/>
        <w:adjustRightInd w:val="0"/>
        <w:ind w:firstLine="720"/>
        <w:rPr>
          <w:rFonts w:cs="Times New Roman"/>
          <w:lang w:val="es-MX"/>
        </w:rPr>
      </w:pPr>
    </w:p>
    <w:p w14:paraId="4DDA220E" w14:textId="77777777" w:rsidR="00DE6798" w:rsidRPr="00556A8B" w:rsidRDefault="00DE6798" w:rsidP="000162FA">
      <w:pPr>
        <w:autoSpaceDE w:val="0"/>
        <w:autoSpaceDN w:val="0"/>
        <w:adjustRightInd w:val="0"/>
        <w:ind w:firstLine="720"/>
        <w:rPr>
          <w:rFonts w:cs="Times New Roman"/>
          <w:lang w:val="es-MX"/>
        </w:rPr>
      </w:pPr>
    </w:p>
    <w:p w14:paraId="610A55F5" w14:textId="28909613" w:rsidR="000E5B14" w:rsidRPr="00556A8B" w:rsidRDefault="000E5B14" w:rsidP="000162FA">
      <w:pPr>
        <w:autoSpaceDE w:val="0"/>
        <w:autoSpaceDN w:val="0"/>
        <w:adjustRightInd w:val="0"/>
        <w:ind w:firstLine="720"/>
        <w:rPr>
          <w:rFonts w:cs="Times New Roman"/>
          <w:lang w:val="es-MX"/>
        </w:rPr>
      </w:pPr>
      <w:r w:rsidRPr="00556A8B">
        <w:rPr>
          <w:rFonts w:cs="Times New Roman"/>
          <w:lang w:val="es-MX"/>
        </w:rPr>
        <w:t>CATEGORÍA CONDENSADA</w:t>
      </w:r>
    </w:p>
    <w:p w14:paraId="64907CA1" w14:textId="77777777" w:rsidR="000E5B14" w:rsidRPr="00556A8B" w:rsidRDefault="000E5B14" w:rsidP="000162FA">
      <w:pPr>
        <w:autoSpaceDE w:val="0"/>
        <w:autoSpaceDN w:val="0"/>
        <w:adjustRightInd w:val="0"/>
        <w:ind w:firstLine="720"/>
        <w:rPr>
          <w:rFonts w:cs="Times New Roman"/>
          <w:lang w:val="es-MX"/>
        </w:rPr>
      </w:pPr>
    </w:p>
    <w:p w14:paraId="1F0DF7BA" w14:textId="22088847" w:rsidR="000E5B14" w:rsidRPr="00556A8B" w:rsidRDefault="000E5B14" w:rsidP="00357B2F">
      <w:pPr>
        <w:rPr>
          <w:lang w:val="es-MX"/>
        </w:rPr>
      </w:pPr>
      <w:r w:rsidRPr="00556A8B">
        <w:rPr>
          <w:lang w:val="es-MX"/>
        </w:rPr>
        <w:t xml:space="preserve">Bajo este pretexto, </w:t>
      </w:r>
      <w:r w:rsidRPr="00556A8B">
        <w:t>la condensación descriptiva</w:t>
      </w:r>
      <w:r w:rsidRPr="00556A8B">
        <w:rPr>
          <w:b/>
        </w:rPr>
        <w:t xml:space="preserve"> </w:t>
      </w:r>
      <w:r w:rsidRPr="00556A8B">
        <w:t>es la fase preparatoria del análisis, puesto que, permite organizar, reducir y tipificar los datos textuales, agrupando significados recurrentes en torno a lugares comunes</w:t>
      </w:r>
      <w:r w:rsidRPr="00556A8B">
        <w:rPr>
          <w:b/>
        </w:rPr>
        <w:t xml:space="preserve"> </w:t>
      </w:r>
      <w:r w:rsidRPr="00556A8B">
        <w:t>de enunciación que emergen del material en bruto. Como señala Suárez (2005), esta operación consiste en transformar los datos dispersos en unidades significativas, debido a que esta etapa refina los datos para someterlos a una interpretación más profunda, facilitando la explicación o inferencia de sentidos latentes; con el fin de revelar estructuras de sentido que no son evidentes en una primera lectura.</w:t>
      </w:r>
    </w:p>
    <w:p w14:paraId="75E55204" w14:textId="77777777" w:rsidR="000E5B14" w:rsidRPr="00556A8B" w:rsidRDefault="000E5B14" w:rsidP="00357B2F">
      <w:pPr>
        <w:rPr>
          <w:rFonts w:eastAsia="Times New Roman"/>
        </w:rPr>
      </w:pPr>
      <w:r w:rsidRPr="00556A8B">
        <w:rPr>
          <w:rFonts w:eastAsia="Times New Roman"/>
        </w:rPr>
        <w:t xml:space="preserve">De este modo, el análisis estructural del contenido se orienta a desentrañar las </w:t>
      </w:r>
      <w:r w:rsidRPr="00556A8B">
        <w:rPr>
          <w:rFonts w:eastAsia="Times New Roman"/>
          <w:bCs/>
        </w:rPr>
        <w:t>gramáticas subjetivas</w:t>
      </w:r>
      <w:r w:rsidRPr="00556A8B">
        <w:rPr>
          <w:rFonts w:eastAsia="Times New Roman"/>
        </w:rPr>
        <w:t xml:space="preserve"> que organizan el discurso, es decir, las reglas implícitas que estructuran modos de pensar, sentir y actuar en contextos específicos. Esta aproximación permite comprender cómo se configuran ciertas formas de subjetividad a partir de regularidades y variaciones discursivas que operan tanto en el nivel textual como en su articulación con coordenadas históricas, políticas y sociales. En consecuencia, esta herramienta no busca simplemente clasificar contenidos, sino reconstruir las tramas de sentido que sostienen determinadas posiciones subjetivas, haciendo visible la lógica que las articula y legitima. Así, el análisis se convierte en una herramienta crítica para problematizar los modos en que el discurso produce, regula y distribuye formas de experiencia subjetiva en el campo de la salud mental.</w:t>
      </w:r>
    </w:p>
    <w:p w14:paraId="79884D2C" w14:textId="77777777" w:rsidR="000E5B14" w:rsidRPr="00556A8B" w:rsidRDefault="000E5B14" w:rsidP="00357B2F">
      <w:pPr>
        <w:rPr>
          <w:rFonts w:eastAsia="Times New Roman"/>
        </w:rPr>
      </w:pPr>
    </w:p>
    <w:p w14:paraId="7D059C93" w14:textId="77777777" w:rsidR="000E5B14" w:rsidRPr="00556A8B" w:rsidRDefault="000E5B14" w:rsidP="00357B2F">
      <w:pPr>
        <w:pStyle w:val="Ttulo2"/>
        <w:rPr>
          <w:rFonts w:eastAsia="Times New Roman"/>
        </w:rPr>
      </w:pPr>
      <w:bookmarkStart w:id="81" w:name="_Toc232580605"/>
      <w:r w:rsidRPr="00556A8B">
        <w:t>Procedimiento Analítico: Fases del Proceso</w:t>
      </w:r>
      <w:bookmarkEnd w:id="81"/>
    </w:p>
    <w:p w14:paraId="3F2C308D" w14:textId="77777777" w:rsidR="00357B2F" w:rsidRPr="00556A8B" w:rsidRDefault="00357B2F" w:rsidP="000162FA">
      <w:pPr>
        <w:pStyle w:val="font-claude-response-body"/>
        <w:spacing w:line="360" w:lineRule="auto"/>
        <w:ind w:firstLine="708"/>
      </w:pPr>
      <w:r w:rsidRPr="00556A8B">
        <w:t>Las siete fases que componen este procedimiento constituyen, en su articulación progresiva, una ruta metódica que orienta el tránsito desde el corpus de análisis hacia interpretaciones teóricamente densas y críticamente informadas. Este recorrido no se limita a describir discursos, sino que desentraña sus lógicas internas, sus condiciones de posibilidad y sus efectos de verdad, evidenciando cómo, a través de los saberes y prácticas profesionales en salud mental, se configuran formas contemporáneas de gobierno de la vida psíquica. De este modo, el procedimiento metodológico adoptado se inscribe coherentemente en una perspectiva crítica que concibe el análisis del discurso como un dispositivo para problematizar las relaciones entre conocimiento, poder y subjetivación.</w:t>
      </w:r>
    </w:p>
    <w:p w14:paraId="1D4F76FA" w14:textId="77777777" w:rsidR="00357B2F" w:rsidRPr="00556A8B" w:rsidRDefault="00357B2F" w:rsidP="000162FA">
      <w:pPr>
        <w:pStyle w:val="font-claude-response-body"/>
        <w:spacing w:line="360" w:lineRule="auto"/>
        <w:ind w:firstLine="708"/>
      </w:pPr>
      <w:r w:rsidRPr="00556A8B">
        <w:lastRenderedPageBreak/>
        <w:t>Bajo esta premisa, la condensación descriptiva constituye una fase preparatoria fundamental del análisis, en la medida en que permite organizar, reducir y tipificar los datos textuales, agrupando significados recurrentes en torno a lugares comunes de enunciación que emergen del material. Como señala Suárez (2005), esta operación consiste en transformar datos dispersos en unidades significativas, refinando el corpus para someterlo a una interpretación más profunda y facilitar la inferencia de sentidos latentes. Se trata, en última instancia, de revelar estructuras de sentido que no resultan evidentes en una primera lectura.</w:t>
      </w:r>
    </w:p>
    <w:p w14:paraId="0C9421ED" w14:textId="77777777" w:rsidR="00357B2F" w:rsidRPr="00556A8B" w:rsidRDefault="00357B2F" w:rsidP="000162FA">
      <w:pPr>
        <w:pStyle w:val="font-claude-response-body"/>
        <w:spacing w:line="360" w:lineRule="auto"/>
        <w:ind w:firstLine="708"/>
      </w:pPr>
      <w:r w:rsidRPr="00556A8B">
        <w:t>De este modo, el análisis estructural del contenido se orienta a desentrañar las gramáticas subjetivas que organizan el discurso, es decir, las reglas implícitas que estructuran modos de pensar, sentir y actuar en contextos específicos. Esta aproximación permite comprender cómo se configuran determinadas formas de subjetividad a partir de regularidades y variaciones discursivas que operan tanto en el nivel textual como en su articulación con coordenadas históricas, políticas y sociales. En consecuencia, el ensamblaje analítico no busca simplemente clasificar contenidos, sino reconstruir las tramas de sentido que sostienen posiciones subjetivas específicas, haciendo visible la lógica que las articula y legitima. Así, el análisis deviene un dispositivo crítico para problematizar los modos en que el discurso produce, regula y distribuye formas de experiencia subjetiva en el campo de la salud mental.</w:t>
      </w:r>
    </w:p>
    <w:p w14:paraId="38618461" w14:textId="4F09D989" w:rsidR="00D25E6F" w:rsidRPr="00556A8B" w:rsidRDefault="00DE23BF" w:rsidP="000162FA">
      <w:pPr>
        <w:pStyle w:val="Ttulo3"/>
        <w:numPr>
          <w:ilvl w:val="2"/>
          <w:numId w:val="6"/>
        </w:numPr>
        <w:spacing w:line="360" w:lineRule="auto"/>
        <w:rPr>
          <w:rFonts w:eastAsia="Times New Roman"/>
        </w:rPr>
      </w:pPr>
      <w:bookmarkStart w:id="82" w:name="_Toc232580606"/>
      <w:r w:rsidRPr="00556A8B">
        <w:rPr>
          <w:rFonts w:eastAsia="Times New Roman"/>
        </w:rPr>
        <w:t>Fase 1: Preparación del material</w:t>
      </w:r>
      <w:bookmarkEnd w:id="82"/>
    </w:p>
    <w:p w14:paraId="240EF9E9" w14:textId="4DE48434" w:rsidR="00D25E6F" w:rsidRPr="00556A8B" w:rsidRDefault="00357B2F" w:rsidP="00357B2F">
      <w:r w:rsidRPr="00556A8B">
        <w:t>Esta fase comprende la transcripción literal de las entrevistas, preservando no solo las palabras expresadas, sino también pausas, vacilaciones, énfasis y otros elementos paralingüísticos relevantes para el análisis discursivo. Cada entrevista se transcribe íntegramente siguiendo normas estandarizadas que aseguran consistencia y legibilidad. Paralelamente, se realiza el proceso de anonimización mediante la asignación de códigos alfanuméricos (P1, P2, P3, etc.), suprimiendo o sustituyendo datos identificadores como nombres propios, instituciones o ubicaciones específicas. Finalmente, el corpus textual se organiza en archivos digitales estructurados que facilitan su manejo y análisis sistemático.</w:t>
      </w:r>
    </w:p>
    <w:p w14:paraId="03459377" w14:textId="376A8B12" w:rsidR="00DE23BF" w:rsidRPr="00556A8B" w:rsidRDefault="00DE23BF" w:rsidP="000162FA">
      <w:pPr>
        <w:pStyle w:val="Ttulo3"/>
        <w:numPr>
          <w:ilvl w:val="2"/>
          <w:numId w:val="6"/>
        </w:numPr>
        <w:spacing w:line="360" w:lineRule="auto"/>
        <w:rPr>
          <w:rFonts w:eastAsia="Times New Roman"/>
        </w:rPr>
      </w:pPr>
      <w:bookmarkStart w:id="83" w:name="_Toc232580607"/>
      <w:r w:rsidRPr="00556A8B">
        <w:rPr>
          <w:rFonts w:eastAsia="Times New Roman"/>
        </w:rPr>
        <w:t>Fase 2: Lectura inicial y familiarización</w:t>
      </w:r>
      <w:bookmarkEnd w:id="83"/>
    </w:p>
    <w:p w14:paraId="411CECB1" w14:textId="174C9036" w:rsidR="00D25E6F" w:rsidRPr="00556A8B" w:rsidRDefault="00357B2F" w:rsidP="000162FA">
      <w:pPr>
        <w:spacing w:before="100" w:beforeAutospacing="1" w:after="100" w:afterAutospacing="1"/>
        <w:ind w:firstLine="720"/>
        <w:rPr>
          <w:rFonts w:eastAsia="Times New Roman" w:cs="Times New Roman"/>
          <w:b/>
          <w:bCs/>
        </w:rPr>
      </w:pPr>
      <w:r w:rsidRPr="00556A8B">
        <w:t xml:space="preserve">Se realiza una lectura completa y reiterada de cada entrevista sin aplicar aún codificaciones formales, con el objetivo de lograr una inmersión comprensiva en el material. </w:t>
      </w:r>
      <w:r w:rsidRPr="00556A8B">
        <w:lastRenderedPageBreak/>
        <w:t>Durante esta etapa se registran impresiones preliminares en un cuaderno de trabajo, consignando intuiciones analíticas, preguntas emergentes y posibles conexiones con el marco teórico. Esta fase desarrolla sensibilidad interpretativa y previene lecturas prematuras o excesivamente esquemáticas. Como señala Bardin (1996), la lectura fluctuante permite «establecer contacto con los documentos y conocer el texto dejándose invadir por impresiones y orientaciones» (p. 71).</w:t>
      </w:r>
    </w:p>
    <w:p w14:paraId="32B155F8" w14:textId="24E238DF" w:rsidR="00DE23BF" w:rsidRPr="00556A8B" w:rsidRDefault="00DE23BF" w:rsidP="000162FA">
      <w:pPr>
        <w:pStyle w:val="Ttulo3"/>
        <w:numPr>
          <w:ilvl w:val="2"/>
          <w:numId w:val="6"/>
        </w:numPr>
        <w:spacing w:line="360" w:lineRule="auto"/>
        <w:rPr>
          <w:rFonts w:eastAsia="Times New Roman"/>
        </w:rPr>
      </w:pPr>
      <w:bookmarkStart w:id="84" w:name="_Toc232580608"/>
      <w:r w:rsidRPr="00556A8B">
        <w:rPr>
          <w:rFonts w:eastAsia="Times New Roman"/>
        </w:rPr>
        <w:t>Fase 3: Codificación y segmentación</w:t>
      </w:r>
      <w:bookmarkEnd w:id="84"/>
    </w:p>
    <w:p w14:paraId="40995CE7" w14:textId="5D1D3CD1" w:rsidR="00357B2F" w:rsidRPr="00556A8B" w:rsidRDefault="00357B2F" w:rsidP="00357B2F">
      <w:r w:rsidRPr="00556A8B">
        <w:t>Una vez alcanzado un nivel suficiente de familiarización, se procede a la identificación de unidades de sentido relevantes: fragmentos que expresan posiciones discursivas, metáforas, categorías, argumentaciones o referencias significativas para los objetivos de la investigación. Se aplica una codificación inicial abierta, evitando categorías rígidas predefinidas y permitiendo la emergencia de sentidos desde el propio material. Simultáneamente, el corpus se segmenta atendiendo a los topos de enunciación, es decir, a las posiciones de sujeto asumidas, las autoridades epistémicas invocadas y los lugares institucionales desde donde se habla. Esta segmentación permite comprender cómo los profesionales se posicionan discursivamente frente al saber psicológico, las instituciones y los marcos normativos de la salud mental.</w:t>
      </w:r>
    </w:p>
    <w:p w14:paraId="6F93E828" w14:textId="35DA7B31" w:rsidR="00DE23BF" w:rsidRPr="00556A8B" w:rsidRDefault="00DE23BF" w:rsidP="000162FA">
      <w:pPr>
        <w:pStyle w:val="Ttulo3"/>
        <w:numPr>
          <w:ilvl w:val="2"/>
          <w:numId w:val="6"/>
        </w:numPr>
        <w:spacing w:line="360" w:lineRule="auto"/>
        <w:rPr>
          <w:rFonts w:eastAsia="Times New Roman"/>
        </w:rPr>
      </w:pPr>
      <w:bookmarkStart w:id="85" w:name="_Toc232580609"/>
      <w:r w:rsidRPr="00556A8B">
        <w:rPr>
          <w:rFonts w:eastAsia="Times New Roman"/>
        </w:rPr>
        <w:t>Fase 4: Análisis estructural mediante los principios del MAEC</w:t>
      </w:r>
      <w:bookmarkEnd w:id="85"/>
    </w:p>
    <w:p w14:paraId="21696DEF" w14:textId="65B50F0E" w:rsidR="00DE23BF" w:rsidRPr="00556A8B" w:rsidRDefault="00357B2F" w:rsidP="00357B2F">
      <w:r w:rsidRPr="00556A8B">
        <w:t>En esta fase se aplican de manera sistemática los cuatro principios operativos del Método de Análisis Estructural de Contenido: disyunción, asociación, isotopía y condensación descriptiva. Se identifican las oposiciones estructurales que organizan el campo discursivo y las jerarquías normativas que derivan de ellas; se rastrean asociaciones recurrentes entre términos y conceptos, construyendo redes semánticas que revelan bloques de sentido dominantes; se identifican isotopías que funcionan como núcleos de estabilización del discurso; y finalmente se realiza la condensación descriptiva, agrupando unidades dispersas en categorías analíticas que sintetizan patrones complejos. Este trabajo se desarrolla de manera iterativa, permitiendo identificar tanto regularidades transversales como singularidades específicas. El resultado es la elaboración de matrices analíticas preliminares que mapean la arquitectura interna del discurso profesional.</w:t>
      </w:r>
    </w:p>
    <w:p w14:paraId="7E2704AC" w14:textId="259DC672" w:rsidR="001234F1" w:rsidRDefault="001234F1">
      <w:pPr>
        <w:spacing w:after="160" w:line="278" w:lineRule="auto"/>
        <w:ind w:firstLine="0"/>
        <w:contextualSpacing w:val="0"/>
      </w:pPr>
    </w:p>
    <w:p w14:paraId="77B6BEED" w14:textId="77777777" w:rsidR="001234F1" w:rsidRDefault="001234F1">
      <w:pPr>
        <w:spacing w:after="160" w:line="278" w:lineRule="auto"/>
        <w:ind w:firstLine="0"/>
        <w:contextualSpacing w:val="0"/>
      </w:pPr>
    </w:p>
    <w:p w14:paraId="009837FD" w14:textId="77777777" w:rsidR="001234F1" w:rsidRDefault="001234F1">
      <w:pPr>
        <w:spacing w:after="160" w:line="278" w:lineRule="auto"/>
        <w:ind w:firstLine="0"/>
        <w:contextualSpacing w:val="0"/>
      </w:pPr>
    </w:p>
    <w:p w14:paraId="4D419506" w14:textId="28EAF329" w:rsidR="00552E9A" w:rsidRPr="00552E9A" w:rsidRDefault="00187C9E" w:rsidP="00552E9A">
      <w:pPr>
        <w:pStyle w:val="Tablas"/>
        <w:rPr>
          <w:b/>
          <w:bCs/>
        </w:rPr>
      </w:pPr>
      <w:bookmarkStart w:id="86" w:name="_Toc235178351"/>
      <w:r>
        <w:rPr>
          <w:b/>
          <w:bCs/>
        </w:rPr>
        <w:t>Figura</w:t>
      </w:r>
      <w:r w:rsidR="00552E9A" w:rsidRPr="00552E9A">
        <w:rPr>
          <w:b/>
          <w:bCs/>
        </w:rPr>
        <w:t xml:space="preserve"> 2: </w:t>
      </w:r>
      <w:r w:rsidR="00552E9A" w:rsidRPr="00552E9A">
        <w:rPr>
          <w:b/>
          <w:bCs/>
        </w:rPr>
        <w:t>Matriz cruzada de categorías y ejes discursivos</w:t>
      </w:r>
      <w:bookmarkEnd w:id="86"/>
    </w:p>
    <w:p w14:paraId="3F6D2820" w14:textId="77777777" w:rsidR="00552E9A" w:rsidRDefault="00552E9A" w:rsidP="00A93E84">
      <w:pPr>
        <w:spacing w:after="85"/>
        <w:ind w:firstLine="0"/>
        <w:rPr>
          <w:rFonts w:eastAsia="Times New Roman" w:cs="Times New Roman"/>
          <w:color w:val="8C8C8C"/>
          <w:sz w:val="16"/>
        </w:rPr>
      </w:pPr>
    </w:p>
    <w:p w14:paraId="4F2BF679" w14:textId="7B5A440C" w:rsidR="001234F1" w:rsidRPr="00552E9A" w:rsidRDefault="00552E9A" w:rsidP="00552E9A">
      <w:pPr>
        <w:spacing w:after="85"/>
        <w:ind w:firstLine="708"/>
        <w:rPr>
          <w:color w:val="000000" w:themeColor="text1"/>
        </w:rPr>
      </w:pPr>
      <w:r w:rsidRPr="00552E9A">
        <w:rPr>
          <w:rFonts w:eastAsia="Times New Roman" w:cs="Times New Roman"/>
          <w:color w:val="000000" w:themeColor="text1"/>
          <w:sz w:val="16"/>
        </w:rPr>
        <w:t xml:space="preserve">Nota: </w:t>
      </w:r>
      <w:r w:rsidR="001234F1" w:rsidRPr="00552E9A">
        <w:rPr>
          <w:rFonts w:eastAsia="Times New Roman" w:cs="Times New Roman"/>
          <w:color w:val="000000" w:themeColor="text1"/>
          <w:sz w:val="16"/>
        </w:rPr>
        <w:t>Análisis estructural de contenido (MAEC) — Caleidoscopio discursivo</w:t>
      </w:r>
    </w:p>
    <w:p w14:paraId="34CE3C8B" w14:textId="7FE37EB2" w:rsidR="00791D5F" w:rsidRPr="00791D5F" w:rsidRDefault="00791D5F" w:rsidP="00791D5F">
      <w:pPr>
        <w:spacing w:after="160" w:line="278" w:lineRule="auto"/>
        <w:ind w:firstLine="0"/>
        <w:contextualSpacing w:val="0"/>
      </w:pPr>
      <w:r w:rsidRPr="00791D5F">
        <w:rPr>
          <w:noProof/>
        </w:rPr>
        <w:drawing>
          <wp:anchor distT="0" distB="0" distL="114300" distR="114300" simplePos="0" relativeHeight="251674624" behindDoc="1" locked="0" layoutInCell="1" allowOverlap="1" wp14:anchorId="63E05251" wp14:editId="09CEA6C3">
            <wp:simplePos x="0" y="0"/>
            <wp:positionH relativeFrom="margin">
              <wp:posOffset>263525</wp:posOffset>
            </wp:positionH>
            <wp:positionV relativeFrom="margin">
              <wp:posOffset>643255</wp:posOffset>
            </wp:positionV>
            <wp:extent cx="5925820" cy="3338195"/>
            <wp:effectExtent l="0" t="0" r="0" b="0"/>
            <wp:wrapSquare wrapText="bothSides"/>
            <wp:docPr id="1939312371" name="Imagen 1939312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695" t="8776" r="10448" b="54442"/>
                    <a:stretch/>
                  </pic:blipFill>
                  <pic:spPr bwMode="auto">
                    <a:xfrm>
                      <a:off x="0" y="0"/>
                      <a:ext cx="5925820" cy="3338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7360">
        <w:tab/>
      </w:r>
    </w:p>
    <w:p w14:paraId="7F8CE9AB" w14:textId="77777777" w:rsidR="00791D5F" w:rsidRDefault="00791D5F" w:rsidP="001234F1">
      <w:pPr>
        <w:spacing w:after="8398" w:line="296" w:lineRule="auto"/>
        <w:ind w:left="2241" w:right="1401"/>
        <w:jc w:val="center"/>
        <w:rPr>
          <w:rFonts w:eastAsia="Times New Roman" w:cs="Times New Roman"/>
          <w:color w:val="8C8C8C"/>
          <w:sz w:val="14"/>
        </w:rPr>
      </w:pPr>
    </w:p>
    <w:p w14:paraId="450BD90C" w14:textId="0459AEA0" w:rsidR="001234F1" w:rsidRPr="00A93E84" w:rsidRDefault="001234F1" w:rsidP="00A93E84">
      <w:pPr>
        <w:spacing w:after="8398" w:line="296" w:lineRule="auto"/>
        <w:ind w:right="1401" w:firstLine="0"/>
        <w:rPr>
          <w:sz w:val="40"/>
          <w:szCs w:val="40"/>
        </w:rPr>
      </w:pPr>
      <w:r w:rsidRPr="00A93E84">
        <w:rPr>
          <w:rFonts w:eastAsia="Times New Roman" w:cs="Times New Roman"/>
          <w:sz w:val="22"/>
          <w:szCs w:val="40"/>
        </w:rPr>
        <w:t>Nota: La intensidad de articulación se establece a partir del análisis de frecuencia e incidencia de los códigos en cada categoría según los principios del MAEC (Hiernaux, 2008; Saldarriaga, 2015).</w:t>
      </w:r>
    </w:p>
    <w:p w14:paraId="31C2E357" w14:textId="77777777" w:rsidR="00D25E6F" w:rsidRPr="00A93E84" w:rsidRDefault="00D25E6F" w:rsidP="00E16CA7">
      <w:pPr>
        <w:ind w:firstLine="0"/>
        <w:rPr>
          <w:sz w:val="36"/>
          <w:szCs w:val="36"/>
        </w:rPr>
      </w:pPr>
    </w:p>
    <w:p w14:paraId="64AB3919" w14:textId="3CDD9CE8" w:rsidR="00DE23BF" w:rsidRPr="00556A8B" w:rsidRDefault="00DE23BF" w:rsidP="000162FA">
      <w:pPr>
        <w:pStyle w:val="Ttulo3"/>
        <w:numPr>
          <w:ilvl w:val="2"/>
          <w:numId w:val="6"/>
        </w:numPr>
        <w:spacing w:line="360" w:lineRule="auto"/>
        <w:rPr>
          <w:rFonts w:eastAsia="Times New Roman"/>
        </w:rPr>
      </w:pPr>
      <w:bookmarkStart w:id="87" w:name="_Toc232580610"/>
      <w:r w:rsidRPr="00556A8B">
        <w:rPr>
          <w:rFonts w:eastAsia="Times New Roman"/>
        </w:rPr>
        <w:t>Fase 5: Análisis genealógico</w:t>
      </w:r>
      <w:bookmarkEnd w:id="87"/>
    </w:p>
    <w:p w14:paraId="719D0C87" w14:textId="4104CA4A" w:rsidR="00D25E6F" w:rsidRPr="00556A8B" w:rsidRDefault="00357B2F" w:rsidP="00357B2F">
      <w:r w:rsidRPr="00556A8B">
        <w:t>Complementando el análisis estructural, se realiza un examen genealógico orientado a interrogar las condiciones históricas de posibilidad de los enunciados identificados. Se pregunta por qué ciertas formas de hablar sobre la salud mental se presentan como naturales o evidentes en el presente histórico, mientras otras resultan impensables o deslegitimadas. Siguiendo la perspectiva foucaultiana, se analizan los regímenes de verdad, las racionalidades políticas y las lógicas técnicas que sostienen las prácticas profesionales contemporáneas. Se atiende tanto a regularidades como a discontinuidades y tensiones que evidencian transformaciones en el campo discursivo.</w:t>
      </w:r>
    </w:p>
    <w:p w14:paraId="06783156" w14:textId="25D27C9B" w:rsidR="00DE23BF" w:rsidRPr="00556A8B" w:rsidRDefault="00DE23BF" w:rsidP="000162FA">
      <w:pPr>
        <w:pStyle w:val="Ttulo3"/>
        <w:numPr>
          <w:ilvl w:val="2"/>
          <w:numId w:val="6"/>
        </w:numPr>
        <w:spacing w:line="360" w:lineRule="auto"/>
        <w:rPr>
          <w:rFonts w:eastAsia="Times New Roman"/>
        </w:rPr>
      </w:pPr>
      <w:bookmarkStart w:id="88" w:name="_Toc232580611"/>
      <w:r w:rsidRPr="00556A8B">
        <w:rPr>
          <w:rFonts w:eastAsia="Times New Roman"/>
        </w:rPr>
        <w:lastRenderedPageBreak/>
        <w:t>Fase 6: Interpretación de efectos de subjetivación</w:t>
      </w:r>
      <w:bookmarkEnd w:id="88"/>
    </w:p>
    <w:p w14:paraId="2B182D40" w14:textId="6E0F7A61" w:rsidR="00357B2F" w:rsidRPr="00556A8B" w:rsidRDefault="00357B2F" w:rsidP="000162FA">
      <w:r w:rsidRPr="00556A8B">
        <w:t xml:space="preserve">Esta fase examina las formas de sujeto producidas o descalificadas por las prácticas discursivas analizadas. Se identifican las </w:t>
      </w:r>
      <w:r w:rsidR="009A7B04">
        <w:t>Técnicas de sí</w:t>
      </w:r>
      <w:r w:rsidR="00D5744D" w:rsidRPr="00D5744D">
        <w:t xml:space="preserve"> como </w:t>
      </w:r>
      <w:r w:rsidR="009A7B04">
        <w:t>prácticas de sí</w:t>
      </w:r>
      <w:r w:rsidR="00D5744D" w:rsidRPr="00D5744D">
        <w:t>: dispositivos que median</w:t>
      </w:r>
      <w:r w:rsidRPr="00556A8B">
        <w:t xml:space="preserve"> que incitan a los individuos a observarse, evaluarse y gobernarse según parámetros normativos específicos. Asimismo, se analizan los dispositivos de gubernamentalidad que operan en la conducción de conductas, regulando afectos, comportamientos y proyectos vitales mediante marcos que definen lo que significa ser un sujeto saludable, funcional o adaptado. El análisis permite comprender no solo qué se dice sobre la salud mental, sino cómo esos discursos configuran modos de experimentarse y conducirse en el presente.</w:t>
      </w:r>
    </w:p>
    <w:p w14:paraId="2D3BF232" w14:textId="16811160" w:rsidR="00DE23BF" w:rsidRPr="00556A8B" w:rsidRDefault="00DE23BF" w:rsidP="000162FA">
      <w:pPr>
        <w:pStyle w:val="Ttulo3"/>
        <w:numPr>
          <w:ilvl w:val="2"/>
          <w:numId w:val="6"/>
        </w:numPr>
        <w:spacing w:line="360" w:lineRule="auto"/>
        <w:rPr>
          <w:rFonts w:eastAsia="Times New Roman"/>
        </w:rPr>
      </w:pPr>
      <w:bookmarkStart w:id="89" w:name="_Toc232580612"/>
      <w:r w:rsidRPr="00556A8B">
        <w:rPr>
          <w:rFonts w:eastAsia="Times New Roman"/>
        </w:rPr>
        <w:t>Fase 7: Construcción de la grilla analítica final</w:t>
      </w:r>
      <w:bookmarkEnd w:id="89"/>
    </w:p>
    <w:p w14:paraId="420ACDBD" w14:textId="65AC4AFC" w:rsidR="00DE23BF" w:rsidRDefault="00357B2F" w:rsidP="00357B2F">
      <w:r w:rsidRPr="00556A8B">
        <w:t>Finalmente, los hallazgos se sistematizan en una grilla analítica que organiza las categorías emergentes y articula las relaciones teórico-empíricas. Esta grilla no es un esquema impuesto, sino el resultado del diálogo constante entre el corpus y el marco conceptual. En ella se integran las figuras discursivas identificadas, las gramáticas que las organizan, las oposiciones que las estructuran, las asociaciones que las sostienen y los efectos de subjetivación que producen. La grilla funciona como dispositivo de lectura que permite hacer inteligible la complejidad del campo discursivo analizado.</w:t>
      </w:r>
    </w:p>
    <w:p w14:paraId="23215A1C" w14:textId="77777777" w:rsidR="00552E9A" w:rsidRDefault="00552E9A" w:rsidP="00357B2F"/>
    <w:p w14:paraId="5185F7D3" w14:textId="77777777" w:rsidR="00552E9A" w:rsidRDefault="00552E9A" w:rsidP="00357B2F"/>
    <w:p w14:paraId="45B2A52E" w14:textId="77777777" w:rsidR="00552E9A" w:rsidRDefault="00552E9A" w:rsidP="00357B2F"/>
    <w:p w14:paraId="33ABC933" w14:textId="77777777" w:rsidR="00552E9A" w:rsidRDefault="00552E9A" w:rsidP="00357B2F"/>
    <w:p w14:paraId="7A7F8E4C" w14:textId="77777777" w:rsidR="00187C9E" w:rsidRPr="00187C9E" w:rsidRDefault="00187C9E" w:rsidP="00187C9E"/>
    <w:p w14:paraId="5A0D5C78" w14:textId="77777777" w:rsidR="00187C9E" w:rsidRPr="00187C9E" w:rsidRDefault="00187C9E" w:rsidP="00187C9E"/>
    <w:p w14:paraId="3F6EE474" w14:textId="77777777" w:rsidR="00187C9E" w:rsidRPr="00187C9E" w:rsidRDefault="00187C9E" w:rsidP="00187C9E"/>
    <w:p w14:paraId="37D99E70" w14:textId="77777777" w:rsidR="00187C9E" w:rsidRPr="00187C9E" w:rsidRDefault="00187C9E" w:rsidP="00187C9E"/>
    <w:p w14:paraId="3EE466B1" w14:textId="77777777" w:rsidR="00187C9E" w:rsidRPr="00187C9E" w:rsidRDefault="00187C9E" w:rsidP="00187C9E"/>
    <w:p w14:paraId="6ACC520D" w14:textId="77777777" w:rsidR="00187C9E" w:rsidRPr="00187C9E" w:rsidRDefault="00187C9E" w:rsidP="00187C9E"/>
    <w:p w14:paraId="0502A9FE" w14:textId="77777777" w:rsidR="00187C9E" w:rsidRDefault="00187C9E" w:rsidP="00187C9E"/>
    <w:p w14:paraId="04AFA52C" w14:textId="77777777" w:rsidR="00187C9E" w:rsidRDefault="00187C9E" w:rsidP="00187C9E"/>
    <w:p w14:paraId="4507A083" w14:textId="77777777" w:rsidR="00187C9E" w:rsidRDefault="00187C9E" w:rsidP="00187C9E"/>
    <w:p w14:paraId="1D523BFD" w14:textId="64A8E199" w:rsidR="00187C9E" w:rsidRPr="00187C9E" w:rsidRDefault="00187C9E" w:rsidP="00187C9E">
      <w:pPr>
        <w:pStyle w:val="Tablas"/>
        <w:rPr>
          <w:b/>
          <w:bCs/>
        </w:rPr>
      </w:pPr>
      <w:bookmarkStart w:id="90" w:name="_Toc235178352"/>
      <w:r>
        <w:rPr>
          <w:b/>
          <w:bCs/>
        </w:rPr>
        <w:lastRenderedPageBreak/>
        <w:t>Figura</w:t>
      </w:r>
      <w:r w:rsidRPr="00187C9E">
        <w:rPr>
          <w:b/>
          <w:bCs/>
        </w:rPr>
        <w:t xml:space="preserve"> 3: G</w:t>
      </w:r>
      <w:r w:rsidRPr="00187C9E">
        <w:rPr>
          <w:b/>
          <w:bCs/>
        </w:rPr>
        <w:t>rilla analítica final</w:t>
      </w:r>
      <w:bookmarkEnd w:id="90"/>
    </w:p>
    <w:p w14:paraId="7C45BCC2" w14:textId="76D424CF" w:rsidR="00187C9E" w:rsidRPr="00187C9E" w:rsidRDefault="00187C9E" w:rsidP="00187C9E"/>
    <w:p w14:paraId="4C0C10D2" w14:textId="138A1747" w:rsidR="00916F9F" w:rsidRDefault="00C8293E" w:rsidP="00357B2F">
      <w:r>
        <w:rPr>
          <w:noProof/>
        </w:rPr>
        <w:drawing>
          <wp:inline distT="0" distB="0" distL="0" distR="0" wp14:anchorId="1D68C1C2" wp14:editId="6E76D333">
            <wp:extent cx="4787818" cy="4981287"/>
            <wp:effectExtent l="0" t="0" r="0" b="0"/>
            <wp:docPr id="1939312366" name="Imagen 193931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12366" name="Imagen 193931236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17869" cy="5012553"/>
                    </a:xfrm>
                    <a:prstGeom prst="rect">
                      <a:avLst/>
                    </a:prstGeom>
                  </pic:spPr>
                </pic:pic>
              </a:graphicData>
            </a:graphic>
          </wp:inline>
        </w:drawing>
      </w:r>
    </w:p>
    <w:p w14:paraId="45753380" w14:textId="3AA865E3" w:rsidR="00552E9A" w:rsidRPr="00556A8B" w:rsidRDefault="00552E9A" w:rsidP="00E16CA7">
      <w:pPr>
        <w:ind w:firstLine="0"/>
      </w:pPr>
      <w:r>
        <w:t>Nota: Elaboración propia</w:t>
      </w:r>
    </w:p>
    <w:p w14:paraId="2A9E9F88" w14:textId="77777777" w:rsidR="000E5B14" w:rsidRPr="00556A8B" w:rsidRDefault="000E5B14" w:rsidP="00357B2F">
      <w:pPr>
        <w:pStyle w:val="Ttulo2"/>
        <w:rPr>
          <w:rFonts w:eastAsia="Times New Roman"/>
        </w:rPr>
      </w:pPr>
      <w:bookmarkStart w:id="91" w:name="_Toc232580613"/>
      <w:r w:rsidRPr="00556A8B">
        <w:rPr>
          <w:rFonts w:eastAsia="Times New Roman"/>
        </w:rPr>
        <w:t>Grilla de análisis y ensamblajes categoriales, en clave caleidoscópica</w:t>
      </w:r>
      <w:bookmarkEnd w:id="91"/>
      <w:r w:rsidRPr="00556A8B">
        <w:rPr>
          <w:rFonts w:eastAsia="Times New Roman"/>
        </w:rPr>
        <w:t xml:space="preserve"> </w:t>
      </w:r>
    </w:p>
    <w:p w14:paraId="5234F6BF" w14:textId="77777777" w:rsidR="00DE23BF" w:rsidRPr="00556A8B" w:rsidRDefault="00DE23BF" w:rsidP="00357B2F">
      <w:r w:rsidRPr="00556A8B">
        <w:t>Abordar la complejidad y el carácter dinámico de las prácticas discursivas implica reconocer que estas no responden a estructuras sólidas ni a sistemas cerrados, sino a ensamblajes contingentes que se articulan en determinados regímenes de verdad. Las gramáticas que organizan el discurso no son estáticas: se configuran mediante giros, desplazamientos y rearticulaciones que producen formas específicas de subjetividad. En este sentido, las formaciones discursivas deben comprenderse como composiciones transitorias cuya inteligibilidad depende tanto de las condiciones históricas de emergencia como de la posición desde la cual se las cartografía.</w:t>
      </w:r>
    </w:p>
    <w:p w14:paraId="54EAE589" w14:textId="77777777" w:rsidR="00DE23BF" w:rsidRPr="00556A8B" w:rsidRDefault="00DE23BF" w:rsidP="00357B2F">
      <w:r w:rsidRPr="00556A8B">
        <w:lastRenderedPageBreak/>
        <w:t>La grilla de análisis se construye, entonces, como un artefacto interpretativo que no pretende revelar una verdad oculta ni restituir una totalidad cerrada. Su función consiste en trazar desplazamientos, exclusiones y reconfiguraciones, registrando los movimientos del discurso en el campo de los saberes “psi” y la salud mental. Más que estabilizar sentidos, la grilla permite captar la movilidad de las configuraciones discursivas y sus efectos de naturalización.</w:t>
      </w:r>
    </w:p>
    <w:p w14:paraId="5274A50A" w14:textId="100F26F4" w:rsidR="00DE23BF" w:rsidRPr="00556A8B" w:rsidRDefault="00DE23BF" w:rsidP="00357B2F">
      <w:r w:rsidRPr="00556A8B">
        <w:t>Diseñar una grilla de análisis que dé cuenta de estos ensamblajes exige evitar la reducción del material empírico a categorías rígidas o taxonomías cerradas. El proceso analítico requiere un movimiento giratorio</w:t>
      </w:r>
      <w:r w:rsidR="00D25E6F" w:rsidRPr="00556A8B">
        <w:t xml:space="preserve">, </w:t>
      </w:r>
      <w:r w:rsidRPr="00556A8B">
        <w:t>en clave caleidoscópica</w:t>
      </w:r>
      <w:r w:rsidR="00D25E6F" w:rsidRPr="00556A8B">
        <w:t>,</w:t>
      </w:r>
      <w:r w:rsidRPr="00556A8B">
        <w:t xml:space="preserve"> que posibilite identificar patrones, regularidades y fracturas sin convertirlos en estructuras fijas. Como señala Foucault (1970), el análisis del discurso no busca determinar esencias, sino “mostrar las condiciones de existencia de las prácticas discursivas en su dispersión y en su historicidad” (p. 67).</w:t>
      </w:r>
    </w:p>
    <w:p w14:paraId="5FEC5C87" w14:textId="77777777" w:rsidR="00DE23BF" w:rsidRPr="00556A8B" w:rsidRDefault="00DE23BF" w:rsidP="00357B2F">
      <w:r w:rsidRPr="00556A8B">
        <w:t>En esta perspectiva, la grilla funciona como un caleidoscopio discursivo: cada giro reorganiza los fragmentos, haciendo visibles modulaciones del decir, zonas de tensión y lógicas de estabilización. Permite observar cómo determinadas prácticas de saber y subjetivación se legitiman, se sedimentan y adquieren estatuto de evidencia en contextos históricos específicos. De este modo, aquello que aparece como neutral, evidente o atemporal puede ser problematizado en su carácter situado y contingente.</w:t>
      </w:r>
    </w:p>
    <w:p w14:paraId="09A69677" w14:textId="77777777" w:rsidR="00DE23BF" w:rsidRPr="00556A8B" w:rsidRDefault="00DE23BF" w:rsidP="00357B2F">
      <w:r w:rsidRPr="00556A8B">
        <w:t>Articulada con el análisis estructural de contenido, la grilla centra su atención en el discurso como práctica productiva. Como advierte Foucault (1992), “el discurso debe ser tratado como una práctica que sistemáticamente forma los objetos de los que habla” (p. 56). Esto implica asumir que cada fragmento discursivo se encuentra atravesado por relaciones de saber y poder que organizan modos de pensar, decir y actuar. El análisis no se limita, por tanto, a describir el lenguaje, sino que indaga las condiciones de posibilidad de los enunciados, sus lógicas internas y su función en los procesos de subjetivación.</w:t>
      </w:r>
    </w:p>
    <w:p w14:paraId="56E70A87" w14:textId="77777777" w:rsidR="00DE23BF" w:rsidRPr="00556A8B" w:rsidRDefault="00DE23BF" w:rsidP="00357B2F">
      <w:r w:rsidRPr="00556A8B">
        <w:t>Desde esta perspectiva, resulta necesario desplazar las miradas que conciben los saberes psicológicos como neutrales, universales o meramente científicos. Tal desplazamiento abre un campo de problematización en torno a los mecanismos mediante los cuales estos saberes intervienen en la producción de subjetividades, regulan formas de vida, delimitan nociones de normalidad y prescriben modos legítimos de ser.</w:t>
      </w:r>
    </w:p>
    <w:p w14:paraId="788BB8D4" w14:textId="62D6C376" w:rsidR="00DE23BF" w:rsidRPr="00556A8B" w:rsidRDefault="00DE23BF" w:rsidP="00357B2F">
      <w:r w:rsidRPr="00556A8B">
        <w:t xml:space="preserve">El interés central de esta indagación radica en analizar cómo, a través de determinados regímenes discursivos, los saberes psicológicos contribuyen a la legitimación de formas </w:t>
      </w:r>
      <w:r w:rsidRPr="00556A8B">
        <w:lastRenderedPageBreak/>
        <w:t xml:space="preserve">específicas de subjetividad “saludable”, en estrecha articulación con dispositivos de poder, </w:t>
      </w:r>
      <w:r w:rsidR="009A7B04">
        <w:t>prácticas de sí</w:t>
      </w:r>
      <w:r w:rsidRPr="00556A8B">
        <w:t xml:space="preserve"> y racionalidades contemporáneas orientadas al gobierno de la conducta.</w:t>
      </w:r>
    </w:p>
    <w:p w14:paraId="233E8A6A" w14:textId="77777777" w:rsidR="00DE23BF" w:rsidRPr="00556A8B" w:rsidRDefault="00DE23BF" w:rsidP="00357B2F">
      <w:r w:rsidRPr="00556A8B">
        <w:t>Metodológicamente, la grilla articula los marcos teóricos con los datos empíricos mediante categorías que no se asumen como definitivas ni universales. Estas categorías se construyen progresivamente en el diálogo entre dimensiones gramaticales, semánticas y pragmáticas del discurso, siempre en relación con la pregunta de investigación. No constituyen fines en sí mismas, sino indicios analíticos que permiten acceder a las estructuras de sentido y a las formas de subjetividad que emergen en las dinámicas discursivas contemporáneas, reconociendo su carácter contingente, móvil y relacional.</w:t>
      </w:r>
    </w:p>
    <w:p w14:paraId="08AC8E70" w14:textId="77777777" w:rsidR="00DE23BF" w:rsidRPr="00556A8B" w:rsidRDefault="00DE23BF" w:rsidP="00357B2F">
      <w:r w:rsidRPr="00556A8B">
        <w:t>En consecuencia, la grilla no opera como un instrumento clasificatorio rígido, sino como un lente que permite mapear regularidades móviles en los modos de decir, hacer y ser. Su función consiste en visibilizar reglas de formación, estrategias discursivas y regímenes de enunciación que organizan el campo de la salud mental, interrogando críticamente cómo la psicología, en su posición de saber autorizado, participa en la producción de subjetividades acordes con racionalidades normativas del presente</w:t>
      </w:r>
      <w:r w:rsidR="000E5B14" w:rsidRPr="00556A8B">
        <w:t>.</w:t>
      </w:r>
    </w:p>
    <w:p w14:paraId="2F6E8898" w14:textId="272D1C89" w:rsidR="000E5B14" w:rsidRPr="00556A8B" w:rsidRDefault="000E5B14" w:rsidP="000162FA">
      <w:pPr>
        <w:spacing w:before="100" w:beforeAutospacing="1" w:after="100" w:afterAutospacing="1"/>
        <w:ind w:firstLine="720"/>
        <w:rPr>
          <w:rFonts w:eastAsia="Times New Roman" w:cs="Times New Roman"/>
        </w:rPr>
      </w:pPr>
      <w:r w:rsidRPr="00556A8B">
        <w:rPr>
          <w:rFonts w:cs="Times New Roman"/>
        </w:rPr>
        <w:t xml:space="preserve"> </w:t>
      </w:r>
    </w:p>
    <w:p w14:paraId="3E7AF055" w14:textId="77777777" w:rsidR="000E5B14" w:rsidRPr="00556A8B" w:rsidRDefault="000E5B14" w:rsidP="00357B2F">
      <w:pPr>
        <w:pStyle w:val="Ttulo2"/>
      </w:pPr>
      <w:bookmarkStart w:id="92" w:name="_Toc232580614"/>
      <w:r w:rsidRPr="00556A8B">
        <w:t>Lentes del caleidoscopio: la entrevista como técnica e instrumento de recolección de la información</w:t>
      </w:r>
      <w:bookmarkEnd w:id="92"/>
      <w:r w:rsidRPr="00556A8B">
        <w:t xml:space="preserve"> </w:t>
      </w:r>
    </w:p>
    <w:p w14:paraId="166CC07A" w14:textId="77777777" w:rsidR="00DE23BF" w:rsidRPr="00556A8B" w:rsidRDefault="00DE23BF" w:rsidP="00357B2F">
      <w:r w:rsidRPr="00556A8B">
        <w:t>El desarrollo del proceso investigativo exige técnicas que permitan captar la densidad y complejidad del discurso en su manifestación situada. Más que responder a una lógica acumulativa de datos, la recolección de información busca acceder a fragmentos discursivos significativos que expresen configuraciones de sentido vinculadas a modos de subjetivación. En este marco, la entrevista semiestructurada se configura como la herramienta principal, dado que posibilita una interacción flexible y abierta, favoreciendo la emergencia de narrativas que no quedan completamente reguladas por un guion previo.</w:t>
      </w:r>
    </w:p>
    <w:p w14:paraId="6520BE91" w14:textId="77777777" w:rsidR="00DE23BF" w:rsidRPr="00556A8B" w:rsidRDefault="00DE23BF" w:rsidP="00357B2F">
      <w:r w:rsidRPr="00556A8B">
        <w:t>Esta técnica permite la circulación de sentidos implícitos y la producción de material discursivo rico en matices, posteriormente abordado mediante operaciones analíticas como la segmentación, la codificación y la organización de unidades de sentido. Dichas operaciones están orientadas a visibilizar las gramáticas que estructuran las formas de enunciación subjetiva en el campo de la salud mental.</w:t>
      </w:r>
    </w:p>
    <w:p w14:paraId="343BADFF" w14:textId="77777777" w:rsidR="00DE23BF" w:rsidRPr="00556A8B" w:rsidRDefault="00DE23BF" w:rsidP="00357B2F">
      <w:r w:rsidRPr="00556A8B">
        <w:lastRenderedPageBreak/>
        <w:t>En coherencia con esta perspectiva, se elaboró un guion operativo concebido como una caja de herramientas orientadora de la interacción con las personas participantes. Este guion no impone una estructura rígida, sino que ofrece una base flexible que orienta la conversación en función de los objetivos del estudio. Como señala Vasilachis de Gialdino (2006), en la investigación cualitativa los instrumentos no se aplican de manera mecánica, sino que se configuran como dispositivos abiertos, susceptibles de ajustarse según el contexto y los sentidos que emergen en la interacción.</w:t>
      </w:r>
    </w:p>
    <w:p w14:paraId="708EE9FF" w14:textId="45324F63" w:rsidR="00DE23BF" w:rsidRPr="00556A8B" w:rsidRDefault="00DE23BF" w:rsidP="00357B2F">
      <w:r w:rsidRPr="00556A8B">
        <w:t>La entrevista semiestructurada, definida como una técnica que combina preguntas previamente diseñadas con la posibilidad de introducir nuevas en función del desarrollo del encuentro (Taylor y Bogdan, 1987), permite abordar los topos de enunciación</w:t>
      </w:r>
      <w:r w:rsidR="004F3849" w:rsidRPr="00556A8B">
        <w:t xml:space="preserve">, </w:t>
      </w:r>
      <w:r w:rsidRPr="00556A8B">
        <w:t>los lugares estructurales desde los cuales se organiza el discurso y se construye sentido (Hiernaux, 2008)</w:t>
      </w:r>
      <w:r w:rsidR="004F3849" w:rsidRPr="00556A8B">
        <w:t xml:space="preserve">, </w:t>
      </w:r>
      <w:r w:rsidRPr="00556A8B">
        <w:t xml:space="preserve"> sin restringir la aparición de ejes significativos no previstos inicialmente. Esta flexibilidad resulta fundamental cuando el interés no se limita a obtener información temática, sino a comprender cómo se configuran posiciones subjetivas en el acto mismo de enunciar.</w:t>
      </w:r>
    </w:p>
    <w:p w14:paraId="35B3DE16" w14:textId="77777777" w:rsidR="00DE23BF" w:rsidRPr="00556A8B" w:rsidRDefault="00DE23BF" w:rsidP="00357B2F">
      <w:r w:rsidRPr="00556A8B">
        <w:t>Desde esta perspectiva, la entrevista se concibe como un proceso dialogal y de co-construcción de sentido. Como plantea Kvale (2011), su propósito es “comprender el mundo desde la perspectiva del entrevistado, desentrañando el significado de sus experiencias” (p. 13). Lejos de funcionar como un simple instrumento de extracción de datos, la entrevista cualitativa constituye un espacio de interacción donde se ponen en juego múltiples voces y se producen sentidos situados (Vasilachis de Gialdino, 2006).</w:t>
      </w:r>
    </w:p>
    <w:p w14:paraId="505BD4F9" w14:textId="77777777" w:rsidR="00DE23BF" w:rsidRPr="00556A8B" w:rsidRDefault="00DE23BF" w:rsidP="00357B2F">
      <w:r w:rsidRPr="00556A8B">
        <w:t>En este intercambio, el discurso no solo describe experiencias, sino que las performa y las reinscribe en determinados marcos de inteligibilidad. Decir es también hacer (Foucault, 1984). Por ello, la entrevista opera como un dispositivo conversacional que no solo recoge discursos, sino que permite observar cómo estos se organizan, se legitiman y se articulan con tramas de poder y gubernamentalidad.</w:t>
      </w:r>
    </w:p>
    <w:p w14:paraId="6E062C45" w14:textId="77777777" w:rsidR="00DE23BF" w:rsidRPr="00556A8B" w:rsidRDefault="00DE23BF" w:rsidP="00357B2F">
      <w:r w:rsidRPr="00556A8B">
        <w:t xml:space="preserve">La implementación de esta técnica posibilita identificar no únicamente lo que el sujeto dice, sino también cómo lo dice y desde qué posición se enuncia. Se hace visible el lugar desde el cual se ejerce el saber psicológico, las formas en que este es transmitido y apropiado, y las modalidades mediante las cuales se integra a la experiencia profesional. Como afirma Kvale (2011), la entrevista semiestructurada permite explorar no solo lo que los participantes piensan o </w:t>
      </w:r>
      <w:r w:rsidRPr="00556A8B">
        <w:lastRenderedPageBreak/>
        <w:t>hacen, sino cómo construyen sentido sobre su mundo vivido (p. 42), dimensión central para analizar la producción contemporánea de subjetividades saludables.</w:t>
      </w:r>
    </w:p>
    <w:p w14:paraId="334A1CC4" w14:textId="0D43B919" w:rsidR="000E5B14" w:rsidRPr="00556A8B" w:rsidRDefault="00DE23BF" w:rsidP="00357B2F">
      <w:r w:rsidRPr="00556A8B">
        <w:t>En clave caleidoscópica, la entrevista funciona como uno de los lentes a través de los cuales se capturan fragmentos discursivos que, al ser reorganizados analíticamente, permiten identificar giros, ensamblajes y gramáticas de sentido. Así, la técnica de recolección se integra coherentemente con el dispositivo metodológico general, articulando interacción empírica y problematización crítica en el análisis de los saberes psicológicos y sus efectos de subjetivación</w:t>
      </w:r>
      <w:r w:rsidR="000E5B14" w:rsidRPr="00556A8B">
        <w:t>.</w:t>
      </w:r>
    </w:p>
    <w:p w14:paraId="4FCDFED4" w14:textId="77777777" w:rsidR="00D25E6F" w:rsidRPr="00556A8B" w:rsidRDefault="00D25E6F" w:rsidP="000162FA">
      <w:pPr>
        <w:spacing w:before="100" w:beforeAutospacing="1" w:after="100" w:afterAutospacing="1"/>
        <w:rPr>
          <w:rFonts w:eastAsia="Times New Roman" w:cs="Times New Roman"/>
          <w:b/>
          <w:bCs/>
        </w:rPr>
      </w:pPr>
    </w:p>
    <w:p w14:paraId="3D3E67BD" w14:textId="45935984" w:rsidR="000E5B14" w:rsidRPr="00556A8B" w:rsidRDefault="000E5B14" w:rsidP="00357B2F">
      <w:pPr>
        <w:pStyle w:val="Ttulo2"/>
        <w:rPr>
          <w:rFonts w:eastAsia="Times New Roman"/>
        </w:rPr>
      </w:pPr>
      <w:bookmarkStart w:id="93" w:name="_Toc232580615"/>
      <w:r w:rsidRPr="00556A8B">
        <w:rPr>
          <w:rFonts w:eastAsia="Times New Roman"/>
        </w:rPr>
        <w:t xml:space="preserve">Diseño Metodológico: </w:t>
      </w:r>
      <w:r w:rsidR="000B7FDD" w:rsidRPr="00556A8B">
        <w:rPr>
          <w:rFonts w:eastAsia="Times New Roman"/>
        </w:rPr>
        <w:t>l</w:t>
      </w:r>
      <w:r w:rsidRPr="00556A8B">
        <w:rPr>
          <w:rFonts w:eastAsia="Times New Roman"/>
        </w:rPr>
        <w:t xml:space="preserve">a </w:t>
      </w:r>
      <w:r w:rsidR="000B7FDD" w:rsidRPr="00556A8B">
        <w:rPr>
          <w:rFonts w:eastAsia="Times New Roman"/>
        </w:rPr>
        <w:t>c</w:t>
      </w:r>
      <w:r w:rsidRPr="00556A8B">
        <w:rPr>
          <w:rFonts w:eastAsia="Times New Roman"/>
        </w:rPr>
        <w:t xml:space="preserve">artografía </w:t>
      </w:r>
      <w:r w:rsidR="000B7FDD" w:rsidRPr="00556A8B">
        <w:rPr>
          <w:rFonts w:eastAsia="Times New Roman"/>
        </w:rPr>
        <w:t>d</w:t>
      </w:r>
      <w:r w:rsidRPr="00556A8B">
        <w:rPr>
          <w:rFonts w:eastAsia="Times New Roman"/>
        </w:rPr>
        <w:t xml:space="preserve">iscursiva de </w:t>
      </w:r>
      <w:r w:rsidR="000B7FDD" w:rsidRPr="00556A8B">
        <w:rPr>
          <w:rFonts w:eastAsia="Times New Roman"/>
        </w:rPr>
        <w:t>t</w:t>
      </w:r>
      <w:r w:rsidRPr="00556A8B">
        <w:rPr>
          <w:rFonts w:eastAsia="Times New Roman"/>
        </w:rPr>
        <w:t xml:space="preserve">rayectorias </w:t>
      </w:r>
      <w:r w:rsidR="000B7FDD" w:rsidRPr="00556A8B">
        <w:rPr>
          <w:rFonts w:eastAsia="Times New Roman"/>
        </w:rPr>
        <w:t>p</w:t>
      </w:r>
      <w:r w:rsidRPr="00556A8B">
        <w:rPr>
          <w:rFonts w:eastAsia="Times New Roman"/>
        </w:rPr>
        <w:t>rofesionales</w:t>
      </w:r>
      <w:bookmarkEnd w:id="93"/>
    </w:p>
    <w:p w14:paraId="60A146F6" w14:textId="77777777" w:rsidR="00DE23BF" w:rsidRPr="00556A8B" w:rsidRDefault="00DE23BF" w:rsidP="00357B2F">
      <w:r w:rsidRPr="00556A8B">
        <w:t>La selección de las experiencias discursivas que componen este estudio no respondió a un criterio meramente técnico o instrumental, sino a la construcción deliberada de un dispositivo metodológico orientado a identificar trayectorias profesionales significativas para los objetivos de la investigación. Este dispositivo, denominado cartografía discursiva de trayectorias profesionales en salud mental, permitió delimitar un mapa de enunciación que situara a los participantes no como simples informantes, sino como sujetos implicados en prácticas institucionales y discursivas que configuran formas contemporáneas de subjetivación.</w:t>
      </w:r>
    </w:p>
    <w:p w14:paraId="262C3C5C" w14:textId="2B2D67D3" w:rsidR="00DE23BF" w:rsidRPr="00556A8B" w:rsidRDefault="00DE23BF" w:rsidP="00357B2F">
      <w:r w:rsidRPr="00556A8B">
        <w:t>La noción de cartografía se inspira en la perspectiva de Deleuze y Guattari (</w:t>
      </w:r>
      <w:r w:rsidR="00DC02C2" w:rsidRPr="00556A8B">
        <w:t>2004</w:t>
      </w:r>
      <w:r w:rsidRPr="00556A8B">
        <w:t>), para quienes cartografiar no consiste en reproducir un territorio ya dado, sino en trazar un mapa en proceso, abierto, dinámico y productivo. A diferencia de los modelos arbóreos</w:t>
      </w:r>
      <w:r w:rsidR="00D25E6F" w:rsidRPr="00556A8B">
        <w:t xml:space="preserve">, </w:t>
      </w:r>
      <w:r w:rsidRPr="00556A8B">
        <w:t>lineales y jerárquicos, la cartografía rizomática reconoce multiplicidades, conexiones transversales y líneas de fuga que atraviesan los campos de saber. En palabras de estos autores, el rizoma “no tiene principio ni fin, sino siempre un medio por donde crece y desborda” (p. 14), lo que permite pensar las trayectorias profesionales no como recorridos lineales, sino como configuraciones móviles atravesadas por flujos de saber, poder y experiencia.</w:t>
      </w:r>
    </w:p>
    <w:p w14:paraId="0A146BF8" w14:textId="6415792E" w:rsidR="00DE23BF" w:rsidRPr="00556A8B" w:rsidRDefault="00DE23BF" w:rsidP="00357B2F">
      <w:r w:rsidRPr="00556A8B">
        <w:t>Asumida en esta clave, la cartografía discursiva no se limita a identificar participantes según atributos formales</w:t>
      </w:r>
      <w:r w:rsidR="00D25E6F" w:rsidRPr="00556A8B">
        <w:t xml:space="preserve">, </w:t>
      </w:r>
      <w:r w:rsidRPr="00556A8B">
        <w:t xml:space="preserve">años de experiencia, área de desempeño o adscripción institucional, sino que busca reconocerlos como agentes discursivos cuyas narrativas condensan saberes situados, prácticas de gobierno de sí y de los otros, y formas específicas de problematizar la salud mental. Como advierte Rose (1999), los sujetos no son meros portadores pasivos de discursos, sino actores que participan activamente en la producción y circulación de regímenes de verdad. </w:t>
      </w:r>
      <w:r w:rsidRPr="00556A8B">
        <w:lastRenderedPageBreak/>
        <w:t xml:space="preserve">Desde esta perspectiva, cada trayectoria profesional constituye un nodo dentro de una red más amplia de racionalidades psicológicas, </w:t>
      </w:r>
      <w:r w:rsidR="009A7B04">
        <w:t>prácticas de sí</w:t>
      </w:r>
      <w:r w:rsidRPr="00556A8B">
        <w:t xml:space="preserve"> y dispositivos de intervención.</w:t>
      </w:r>
    </w:p>
    <w:p w14:paraId="4C7EB4B4" w14:textId="77777777" w:rsidR="00DE23BF" w:rsidRPr="00556A8B" w:rsidRDefault="00DE23BF" w:rsidP="00357B2F">
      <w:r w:rsidRPr="00556A8B">
        <w:t>La cartografía discursiva permitió, así, situar las entrevistas dentro de un entramado más amplio de condiciones históricas e institucionales. No se trató únicamente de recoger relatos individuales, sino de ubicar esos relatos en relación con los campos de saber-poder que los hacen posibles. En consonancia con Foucault (1984), el análisis del discurso exige atender a las condiciones que posibilitan la emergencia de ciertos enunciados y no otros, así como a sus efectos dentro de un sistema determinado de saber.</w:t>
      </w:r>
    </w:p>
    <w:p w14:paraId="586A82F6" w14:textId="2FA26455" w:rsidR="000E5B14" w:rsidRPr="00556A8B" w:rsidRDefault="00DE23BF" w:rsidP="00357B2F">
      <w:r w:rsidRPr="00556A8B">
        <w:t>De este modo, el diseño metodológico adoptado permitió comprender las trayectorias profesionales como superficies de inscripción de racionalidades contemporáneas sobre la salud mental. Las voces seleccionadas no fueron consideradas testimonios aislados, sino puntos de condensación de prácticas discursivas que contribuyen a estabilizar, tensionar o reconfigurar determinadas formas de subjetividad saludable. La cartografía, en este sentido, operó como un dispositivo de localización crítica: permitió mapear posiciones de enunciación, identificar convergencias y divergencias discursivas, y situar cada relato dentro de un campo rizomático de relaciones, evitando lecturas individualizantes o esencialistas</w:t>
      </w:r>
      <w:r w:rsidR="000E5B14" w:rsidRPr="00556A8B">
        <w:t>.</w:t>
      </w:r>
    </w:p>
    <w:p w14:paraId="5B34638F" w14:textId="77777777" w:rsidR="000B7FDD" w:rsidRPr="00556A8B" w:rsidRDefault="000B7FDD" w:rsidP="00357B2F"/>
    <w:p w14:paraId="092EFCD3" w14:textId="66B44B24" w:rsidR="000E5B14" w:rsidRPr="00556A8B" w:rsidRDefault="000E5B14" w:rsidP="000162FA">
      <w:pPr>
        <w:pStyle w:val="Ttulo3"/>
        <w:numPr>
          <w:ilvl w:val="2"/>
          <w:numId w:val="6"/>
        </w:numPr>
        <w:spacing w:line="360" w:lineRule="auto"/>
        <w:rPr>
          <w:bCs/>
        </w:rPr>
      </w:pPr>
      <w:bookmarkStart w:id="94" w:name="_Toc232580616"/>
      <w:r w:rsidRPr="00556A8B">
        <w:t>Criterios de Selección de Participantes</w:t>
      </w:r>
      <w:bookmarkEnd w:id="94"/>
    </w:p>
    <w:p w14:paraId="6AA5DBE1" w14:textId="77777777" w:rsidR="000E5B14" w:rsidRPr="00556A8B" w:rsidRDefault="000E5B14" w:rsidP="000162FA">
      <w:pPr>
        <w:pStyle w:val="Ttulo3"/>
        <w:spacing w:line="360" w:lineRule="auto"/>
      </w:pPr>
    </w:p>
    <w:p w14:paraId="2D77B936" w14:textId="77777777" w:rsidR="00DE23BF" w:rsidRPr="00556A8B" w:rsidRDefault="00DE23BF" w:rsidP="00357B2F">
      <w:r w:rsidRPr="00556A8B">
        <w:t>La selección de los participantes respondió a criterios de inclusión previamente definidos, orientados a garantizar la pertinencia teórica y la densidad discursiva del material empírico. En primer lugar, se exigió que los participantes contaran con titulación profesional en Psicología y se encontraran ejerciendo activamente en espacios clínicos, académicos o institucionales vinculados directamente al campo de la salud mental. Este criterio buscó asegurar que las voces recogidas provinieran de prácticas reales de intervención y producción de saber.</w:t>
      </w:r>
    </w:p>
    <w:p w14:paraId="650922DC" w14:textId="77777777" w:rsidR="00DE23BF" w:rsidRPr="00556A8B" w:rsidRDefault="00DE23BF" w:rsidP="00357B2F">
      <w:r w:rsidRPr="00556A8B">
        <w:t>En segundo lugar, se estableció como requisito una experiencia profesional acumulada superior a siete años, tanto desde la obtención del título como en el ejercicio clínico y/o académico. Este umbral permitió seleccionar trayectorias consolidadas, capaces de ofrecer discursos sedimentados por la práctica sostenida y la reflexión profesional.</w:t>
      </w:r>
    </w:p>
    <w:p w14:paraId="2A8B2E63" w14:textId="77777777" w:rsidR="00DE23BF" w:rsidRPr="00556A8B" w:rsidRDefault="00DE23BF" w:rsidP="00357B2F">
      <w:r w:rsidRPr="00556A8B">
        <w:t xml:space="preserve">Asimismo, se priorizó la inclusión de profesionales pertenecientes a diversas orientaciones teóricas y ámbitos de intervención, con el propósito de captar la heterogeneidad del </w:t>
      </w:r>
      <w:r w:rsidRPr="00556A8B">
        <w:lastRenderedPageBreak/>
        <w:t>campo psicológico contemporáneo. La formación académica formal y la participación en procesos de actualización o formación continua fueron consideradas condiciones relevantes, en la medida en que aseguran un marco conceptual explícito desde el cual los participantes problematizan la salud mental.</w:t>
      </w:r>
    </w:p>
    <w:p w14:paraId="387F44FC" w14:textId="77777777" w:rsidR="00DE23BF" w:rsidRPr="00556A8B" w:rsidRDefault="00DE23BF" w:rsidP="00357B2F">
      <w:r w:rsidRPr="00556A8B">
        <w:t>Finalmente, se valoró la capacidad reflexiva de los profesionales respecto de su propia práctica, dado que la investigación no se orienta a describir técnicas de intervención, sino a analizar las configuraciones discursivas mediante las cuales se construyen nociones de normalidad, bienestar y subjetividad saludable.</w:t>
      </w:r>
    </w:p>
    <w:p w14:paraId="05865A28" w14:textId="77777777" w:rsidR="00DE23BF" w:rsidRPr="00556A8B" w:rsidRDefault="00DE23BF" w:rsidP="00357B2F">
      <w:r w:rsidRPr="00556A8B">
        <w:t>Se excluyeron aquellos profesionales que no cumplieran con estos requisitos o cuyo ejercicio se limitara exclusivamente a funciones administrativas sin contacto directo con prácticas clínicas, académicas o comunitarias.</w:t>
      </w:r>
    </w:p>
    <w:p w14:paraId="0E3D6582" w14:textId="77777777" w:rsidR="00DE23BF" w:rsidRPr="00556A8B" w:rsidRDefault="00DE23BF" w:rsidP="00357B2F">
      <w:r w:rsidRPr="00556A8B">
        <w:t>Estos criterios permitieron seleccionar agentes discursivos situados en el cruce entre práctica e institucionalidad, cuyas trayectorias posibilitan analizar cómo se producen, estabilizan o tensionan determinados regímenes de verdad en el campo de la salud mental.</w:t>
      </w:r>
    </w:p>
    <w:p w14:paraId="646BEFCF" w14:textId="1D432C04" w:rsidR="00DE23BF" w:rsidRPr="00556A8B" w:rsidRDefault="00DE23BF" w:rsidP="000162FA">
      <w:pPr>
        <w:autoSpaceDE w:val="0"/>
        <w:autoSpaceDN w:val="0"/>
        <w:adjustRightInd w:val="0"/>
        <w:spacing w:after="160"/>
        <w:ind w:firstLine="720"/>
        <w:rPr>
          <w:rFonts w:cs="Times New Roman"/>
        </w:rPr>
      </w:pPr>
    </w:p>
    <w:p w14:paraId="1BDBD243" w14:textId="26D6C875" w:rsidR="00DE23BF" w:rsidRPr="00556A8B" w:rsidRDefault="009959EB" w:rsidP="000162FA">
      <w:pPr>
        <w:pStyle w:val="Ttulo3"/>
        <w:numPr>
          <w:ilvl w:val="2"/>
          <w:numId w:val="6"/>
        </w:numPr>
        <w:spacing w:line="360" w:lineRule="auto"/>
      </w:pPr>
      <w:bookmarkStart w:id="95" w:name="_Toc232580617"/>
      <w:r>
        <w:t>Unidad de trabajo</w:t>
      </w:r>
      <w:r w:rsidR="00DE23BF" w:rsidRPr="00556A8B">
        <w:t>, Instrumentos y Procedimiento de Recolección</w:t>
      </w:r>
      <w:bookmarkEnd w:id="95"/>
    </w:p>
    <w:p w14:paraId="5B1E03B1" w14:textId="18D4F5D1" w:rsidR="00DE23BF" w:rsidRPr="00556A8B" w:rsidRDefault="00DE23BF" w:rsidP="00357B2F">
      <w:pPr>
        <w:pStyle w:val="Ttulo4"/>
      </w:pPr>
      <w:bookmarkStart w:id="96" w:name="_Toc222437773"/>
      <w:bookmarkStart w:id="97" w:name="_Toc232580618"/>
      <w:r w:rsidRPr="00556A8B">
        <w:t xml:space="preserve">Caracterización de la </w:t>
      </w:r>
      <w:bookmarkEnd w:id="96"/>
      <w:r w:rsidR="009959EB">
        <w:t>unidad de trabajo</w:t>
      </w:r>
      <w:bookmarkEnd w:id="97"/>
    </w:p>
    <w:p w14:paraId="298095B6" w14:textId="3CE70714" w:rsidR="00DE23BF" w:rsidRPr="00556A8B" w:rsidRDefault="00DE23BF" w:rsidP="00357B2F">
      <w:r w:rsidRPr="00556A8B">
        <w:t xml:space="preserve">La </w:t>
      </w:r>
      <w:r w:rsidR="009959EB">
        <w:t>unidad de trabajo</w:t>
      </w:r>
      <w:r w:rsidRPr="00556A8B">
        <w:t xml:space="preserve"> estuvo conformada por siete profesionales de la psicología con experiencia superior a siete años en el ejercicio clínico y/o académico. Todos los participantes alternan su práctica entre el ámbito terapéutico y el formativo, lo que permitió acceder a discursos producidos en la intersección entre intervención clínica y transmisión institucional del saber psicológico. Dos de ellos desarrollan, además, trabajo comunitario, ampliando el espectro de contextos de intervención.</w:t>
      </w:r>
    </w:p>
    <w:p w14:paraId="44FC3CFC" w14:textId="06074DEE" w:rsidR="00DE23BF" w:rsidRPr="00556A8B" w:rsidRDefault="00DE23BF" w:rsidP="00357B2F">
      <w:r w:rsidRPr="00556A8B">
        <w:t xml:space="preserve">En términos de orientación teórica, la </w:t>
      </w:r>
      <w:r w:rsidR="009959EB">
        <w:t>unidad</w:t>
      </w:r>
      <w:r w:rsidRPr="00556A8B">
        <w:t xml:space="preserve"> tres profesionales de enfoque cognitivo-conductual, tres de orientación psicodinámica y uno de orientación humanista. Esta configuración no respondió a un criterio de representatividad estadística, sino a la búsqueda de variabilidad discursiva que permitiera identificar tanto regularidades como discontinuidades en las formas de problematizar la salud mental.</w:t>
      </w:r>
    </w:p>
    <w:p w14:paraId="1BBC6F88" w14:textId="614557C2" w:rsidR="00DE23BF" w:rsidRPr="00556A8B" w:rsidRDefault="00DE23BF" w:rsidP="00357B2F">
      <w:r w:rsidRPr="00556A8B">
        <w:t xml:space="preserve">La heterogeneidad de la </w:t>
      </w:r>
      <w:r w:rsidR="009959EB">
        <w:t xml:space="preserve">unidad de trabajo </w:t>
      </w:r>
      <w:r w:rsidRPr="00556A8B">
        <w:t xml:space="preserve">se justifica metodológicamente en el objetivo de mapear posiciones enunciativas diversas dentro del campo psicológico contemporáneo, </w:t>
      </w:r>
      <w:r w:rsidRPr="00556A8B">
        <w:lastRenderedPageBreak/>
        <w:t>atendiendo a la coexistencia de marcos conceptuales que, aunque distintos, pueden compartir gramáticas comunes o disputar definiciones sobre lo saludable, lo normal y lo patológico.</w:t>
      </w:r>
    </w:p>
    <w:p w14:paraId="4D44871B" w14:textId="77777777" w:rsidR="00DE23BF" w:rsidRPr="00556A8B" w:rsidRDefault="00DE23BF" w:rsidP="000162FA">
      <w:pPr>
        <w:autoSpaceDE w:val="0"/>
        <w:autoSpaceDN w:val="0"/>
        <w:adjustRightInd w:val="0"/>
        <w:ind w:firstLine="720"/>
        <w:rPr>
          <w:rFonts w:cs="Times New Roman"/>
        </w:rPr>
      </w:pPr>
    </w:p>
    <w:p w14:paraId="18FC4DA4" w14:textId="34FC4735" w:rsidR="00DE23BF" w:rsidRPr="00556A8B" w:rsidRDefault="00DE23BF" w:rsidP="00357B2F">
      <w:pPr>
        <w:pStyle w:val="Ttulo4"/>
      </w:pPr>
      <w:bookmarkStart w:id="98" w:name="_Toc222437774"/>
      <w:bookmarkStart w:id="99" w:name="_Toc232580619"/>
      <w:r w:rsidRPr="00556A8B">
        <w:t>Instrumento de recolección de información</w:t>
      </w:r>
      <w:bookmarkEnd w:id="98"/>
      <w:bookmarkEnd w:id="99"/>
    </w:p>
    <w:p w14:paraId="223B532A" w14:textId="77777777" w:rsidR="00DE23BF" w:rsidRPr="00556A8B" w:rsidRDefault="00DE23BF" w:rsidP="00357B2F">
      <w:r w:rsidRPr="00556A8B">
        <w:t>El instrumento seleccionado fue la entrevista semiestructurada en profundidad, entendida como una técnica cualitativa que combina preguntas orientadoras previamente diseñadas con la posibilidad de introducir repreguntas y exploraciones emergentes durante el encuentro (Taylor y Bogdan, 1987).</w:t>
      </w:r>
    </w:p>
    <w:p w14:paraId="58F229C7" w14:textId="77777777" w:rsidR="00DE23BF" w:rsidRPr="00556A8B" w:rsidRDefault="00DE23BF" w:rsidP="00357B2F">
      <w:r w:rsidRPr="00556A8B">
        <w:t>Se realizó una entrevista por participante, totalizando siete entrevistas, con una duración aproximada entre 45 y 90 minutos. Todas fueron llevadas a cabo de manera presencial, lo que permitió atender no solo al contenido verbal, sino también a matices paralingüísticos relevantes para el análisis discursivo.</w:t>
      </w:r>
    </w:p>
    <w:p w14:paraId="5D39A7FC" w14:textId="77777777" w:rsidR="00DE23BF" w:rsidRPr="00556A8B" w:rsidRDefault="00DE23BF" w:rsidP="00357B2F">
      <w:r w:rsidRPr="00556A8B">
        <w:t>El guion se organizó en torno a doce preguntas agrupadas en tres macro-ejes conceptuales derivados del marco teórico:</w:t>
      </w:r>
    </w:p>
    <w:p w14:paraId="07EE4F95" w14:textId="77777777" w:rsidR="00DE23BF" w:rsidRPr="00556A8B" w:rsidRDefault="00DE23BF" w:rsidP="00357B2F">
      <w:r w:rsidRPr="00556A8B">
        <w:rPr>
          <w:b/>
          <w:bCs/>
        </w:rPr>
        <w:t>Salud Mental:</w:t>
      </w:r>
      <w:r w:rsidRPr="00556A8B">
        <w:t xml:space="preserve"> concepciones de bienestar, normalidad, diagnóstico, funcionalidad y adaptabilidad.</w:t>
      </w:r>
    </w:p>
    <w:p w14:paraId="5C6FC338" w14:textId="77777777" w:rsidR="00DE23BF" w:rsidRPr="00556A8B" w:rsidRDefault="00DE23BF" w:rsidP="00357B2F">
      <w:r w:rsidRPr="00556A8B">
        <w:rPr>
          <w:b/>
          <w:bCs/>
        </w:rPr>
        <w:t>Prácticas Discursivas:</w:t>
      </w:r>
      <w:r w:rsidRPr="00556A8B">
        <w:t xml:space="preserve"> producción de saber psicológico, procesos de subjetivación y legitimación de discursos.</w:t>
      </w:r>
    </w:p>
    <w:p w14:paraId="46A12F1C" w14:textId="3C44A570" w:rsidR="00DE23BF" w:rsidRPr="00556A8B" w:rsidRDefault="00DE23BF" w:rsidP="00357B2F">
      <w:r w:rsidRPr="00556A8B">
        <w:rPr>
          <w:b/>
          <w:bCs/>
        </w:rPr>
        <w:t>Gubernamentalidad:</w:t>
      </w:r>
      <w:r w:rsidRPr="00556A8B">
        <w:t xml:space="preserve"> </w:t>
      </w:r>
      <w:r w:rsidR="009A7B04">
        <w:t>prácticas de sí</w:t>
      </w:r>
      <w:r w:rsidRPr="00556A8B">
        <w:t>, regímenes de verdad y modos de regulación de la conducta.</w:t>
      </w:r>
    </w:p>
    <w:p w14:paraId="30991100" w14:textId="77777777" w:rsidR="00DE23BF" w:rsidRPr="00556A8B" w:rsidRDefault="00DE23BF" w:rsidP="00357B2F">
      <w:r w:rsidRPr="00556A8B">
        <w:t>Las preguntas funcionaron como dispositivos de activación discursiva, más que como instrumentos de extracción de información objetiva, favoreciendo la emergencia de posicionamientos, justificaciones y gramáticas implícitas en torno a la salud mental.</w:t>
      </w:r>
    </w:p>
    <w:p w14:paraId="7B2DFFF1" w14:textId="4FAF9064" w:rsidR="00DE23BF" w:rsidRPr="00556A8B" w:rsidRDefault="00DE23BF" w:rsidP="000162FA">
      <w:pPr>
        <w:autoSpaceDE w:val="0"/>
        <w:autoSpaceDN w:val="0"/>
        <w:adjustRightInd w:val="0"/>
        <w:spacing w:after="160"/>
        <w:ind w:firstLine="720"/>
        <w:rPr>
          <w:rFonts w:cs="Times New Roman"/>
        </w:rPr>
      </w:pPr>
    </w:p>
    <w:p w14:paraId="2EC0C3AD" w14:textId="77777777" w:rsidR="00DE23BF" w:rsidRPr="00556A8B" w:rsidRDefault="00DE23BF" w:rsidP="00357B2F">
      <w:pPr>
        <w:pStyle w:val="Ttulo4"/>
      </w:pPr>
      <w:bookmarkStart w:id="100" w:name="_Toc222437775"/>
      <w:bookmarkStart w:id="101" w:name="_Toc232580620"/>
      <w:r w:rsidRPr="00556A8B">
        <w:t>Estrategia de muestreo: muestreo intencional</w:t>
      </w:r>
      <w:bookmarkEnd w:id="100"/>
      <w:bookmarkEnd w:id="101"/>
    </w:p>
    <w:p w14:paraId="50175017" w14:textId="748AE084" w:rsidR="00AB6AA0" w:rsidRPr="00556A8B" w:rsidRDefault="00AB6AA0" w:rsidP="00E16CA7">
      <w:pPr>
        <w:ind w:firstLine="0"/>
      </w:pPr>
      <w:r w:rsidRPr="00AB6AA0">
        <w:t xml:space="preserve">La investigación adoptó una estrategia de muestreo intencional por interés (Flick, 2007), orientada a seleccionar casos que aportaran variabilidad discursiva y riqueza analítica al fenómeno estudiado, antes que representatividad estadística. La selección respondió a criterios de relevancia teórica y accesibilidad, privilegiando participantes cuyas trayectorias y </w:t>
      </w:r>
      <w:r w:rsidRPr="00AB6AA0">
        <w:lastRenderedPageBreak/>
        <w:t>posicionamientos permitieran acceder a la diversidad de gramáticas discursivas que organizan el campo de la salud mental en el presente histórico.</w:t>
      </w:r>
      <w:r w:rsidRPr="00AB6AA0" w:rsidDel="00AB6AA0">
        <w:t xml:space="preserve"> </w:t>
      </w:r>
    </w:p>
    <w:p w14:paraId="3B3942E3" w14:textId="77777777" w:rsidR="00DE23BF" w:rsidRPr="00556A8B" w:rsidRDefault="00DE23BF" w:rsidP="00357B2F">
      <w:r w:rsidRPr="00556A8B">
        <w:t>La selección de profesionales con doble inserción (clínica y académica), pertenecientes a distintas escuelas teóricas y con trayectorias consolidadas, respondió a la necesidad de captar la diversidad interna del campo psicológico. El objetivo no fue identificar un discurso homogéneo de “la psicología”, sino mapear la multiplicidad de posiciones enunciativas que coexisten y se articulan en torno a la definición de lo saludable.</w:t>
      </w:r>
    </w:p>
    <w:p w14:paraId="3BC412EF" w14:textId="3CA985B4" w:rsidR="00DE23BF" w:rsidRPr="00556A8B" w:rsidRDefault="00DE23BF" w:rsidP="00357B2F">
      <w:r w:rsidRPr="00556A8B">
        <w:t>El criterio de cierre no fue la cantidad de entrevistas en sí misma, sino la saturación analítica: el punto en el cual las categorías construidas mostraron suficiente densidad y las variaciones identificadas no introdujeron configuraciones discursivas sustancialmente nuevas para los objetivos del estudio.</w:t>
      </w:r>
    </w:p>
    <w:p w14:paraId="7A6CE910" w14:textId="4E7B1FE2" w:rsidR="000E5B14" w:rsidRPr="00556A8B" w:rsidRDefault="000E5B14" w:rsidP="00357B2F">
      <w:pPr>
        <w:rPr>
          <w:lang w:val="es-MX"/>
        </w:rPr>
      </w:pPr>
      <w:r w:rsidRPr="00556A8B">
        <w:rPr>
          <w:lang w:val="es-MX"/>
        </w:rPr>
        <w:t>Para la selección de los participantes en este estudio, se establecieron criterios de inclusión rigurosos. Primero, se exigió la inscripción profesional en espacios clínicos, académicos o institucionales directamente vinculados al campo de la salud mental, asegurando que los sujetos fueran psicólogos activos en contextos de práctica real. Se priorizó, además, la participación de profesionales que representaran diversas escuelas psicológicas y ámbitos de intervención, con el fin de captar una multiplicidad de perspectivas y discursos.</w:t>
      </w:r>
    </w:p>
    <w:p w14:paraId="3F35F43D" w14:textId="77777777" w:rsidR="000E5B14" w:rsidRPr="00556A8B" w:rsidRDefault="000E5B14" w:rsidP="00357B2F">
      <w:pPr>
        <w:rPr>
          <w:lang w:val="es-MX"/>
        </w:rPr>
      </w:pPr>
      <w:r w:rsidRPr="00556A8B">
        <w:rPr>
          <w:lang w:val="es-MX"/>
        </w:rPr>
        <w:t>Un requisito fundamental fue que los participantes contaran con una experiencia acumulada superior a siete años, tanto como egresados universitarios como en ejercicio clínico, lo que garantiza un conocimiento profundo y sostenido del campo. La formación académica formal se consideró otro criterio esencial para asegurar un marco teórico y metodológico sólido que respalde sus intervenciones. Por último, se valoró la participación activa de los psicólogos en procesos de formación continua, intervención práctica y producción de saber, así como su capacidad para reflexionar críticamente sobre su propia práctica profesional.</w:t>
      </w:r>
    </w:p>
    <w:p w14:paraId="35C64820" w14:textId="77777777" w:rsidR="000E5B14" w:rsidRPr="00556A8B" w:rsidRDefault="000E5B14" w:rsidP="00357B2F">
      <w:pPr>
        <w:rPr>
          <w:lang w:val="es-MX"/>
        </w:rPr>
      </w:pPr>
      <w:r w:rsidRPr="00556A8B">
        <w:rPr>
          <w:lang w:val="es-MX"/>
        </w:rPr>
        <w:t>Estos criterios buscan seleccionar agentes discursivos que, desde su experiencia situada, puedan aportar significativamente a la comprensión de las configuraciones discursivas y modos de subjetivación presentes en el campo de la salud mental. Por otro lado, se excluyeron aquellos profesionales que no cumplieran con estos requisitos o que se desempeñaran exclusivamente en roles administrativos sin contacto directo con las prácticas clínicas o académicas.</w:t>
      </w:r>
    </w:p>
    <w:p w14:paraId="377C515E" w14:textId="77777777" w:rsidR="000E5B14" w:rsidRPr="00556A8B" w:rsidRDefault="000E5B14" w:rsidP="00E16CA7">
      <w:pPr>
        <w:ind w:firstLine="0"/>
        <w:rPr>
          <w:rFonts w:cs="Times New Roman"/>
        </w:rPr>
      </w:pPr>
    </w:p>
    <w:p w14:paraId="374A4DB4" w14:textId="77777777" w:rsidR="000E5B14" w:rsidRPr="00556A8B" w:rsidRDefault="000E5B14" w:rsidP="00357B2F">
      <w:pPr>
        <w:pStyle w:val="Ttulo2"/>
      </w:pPr>
      <w:bookmarkStart w:id="102" w:name="_Toc232580621"/>
      <w:r w:rsidRPr="00556A8B">
        <w:lastRenderedPageBreak/>
        <w:t>Consideraciones Éticas.</w:t>
      </w:r>
      <w:bookmarkEnd w:id="102"/>
      <w:r w:rsidRPr="00556A8B">
        <w:t xml:space="preserve"> </w:t>
      </w:r>
    </w:p>
    <w:p w14:paraId="39ED177A" w14:textId="77777777" w:rsidR="00DE23BF" w:rsidRPr="00556A8B" w:rsidRDefault="00DE23BF" w:rsidP="00357B2F">
      <w:bookmarkStart w:id="103" w:name="_Toc440985138"/>
      <w:r w:rsidRPr="00556A8B">
        <w:t>Esta investigación se rige por los principios éticos fundamentales que orientan la investigación con seres humanos, en concordancia con la Resolución 8430 de 1993 del Ministerio de Salud de Colombia, que establece las normas científicas, técnicas y administrativas para la investigación en salud. El proyecto fue evaluado y aprobado por el Comité de Bioética de la Universidad de Manizales, obteniendo concepto favorable mediante acta CBE09_2024 del 6 de septiembre de 2024, clasificándose como investigación de riesgo mínimo, conforme al artículo 11 de la mencionada resolución.</w:t>
      </w:r>
    </w:p>
    <w:p w14:paraId="57AA68ED" w14:textId="77777777" w:rsidR="00DE23BF" w:rsidRPr="00556A8B" w:rsidRDefault="00DE23BF" w:rsidP="00357B2F">
      <w:r w:rsidRPr="00556A8B">
        <w:t>La clasificación de riesgo mínimo reconoce que, aunque la investigación implica la participación de profesionales de la psicología en entrevistas sobre sus prácticas y concepciones en torno a la salud mental, los procedimientos aplicados no incluyen intervenciones invasivas ni representan riesgos significativos para la integridad física, psicológica o social de los participantes. No obstante, se consideró que la reflexión sobre experiencias profesionales y concepciones en salud mental podría suscitar movilizaciones afectivas o cuestionamientos personales. Por ello, se garantizó el derecho a suspender o finalizar la entrevista en cualquier momento sin justificación alguna, y se adoptó una actitud de cuidado y contención durante el proceso conversacional.</w:t>
      </w:r>
    </w:p>
    <w:p w14:paraId="3F88427C" w14:textId="45DCC3DE" w:rsidR="00DE23BF" w:rsidRPr="00556A8B" w:rsidRDefault="00DE23BF" w:rsidP="000162FA">
      <w:pPr>
        <w:pStyle w:val="Ttulo3"/>
        <w:numPr>
          <w:ilvl w:val="2"/>
          <w:numId w:val="6"/>
        </w:numPr>
        <w:spacing w:line="360" w:lineRule="auto"/>
      </w:pPr>
      <w:bookmarkStart w:id="104" w:name="_Toc232580622"/>
      <w:r w:rsidRPr="00556A8B">
        <w:t>Consentimiento informado y autonomía</w:t>
      </w:r>
      <w:bookmarkEnd w:id="104"/>
    </w:p>
    <w:p w14:paraId="696B6895" w14:textId="77777777" w:rsidR="00DE23BF" w:rsidRPr="00556A8B" w:rsidRDefault="00DE23BF" w:rsidP="00357B2F">
      <w:r w:rsidRPr="00556A8B">
        <w:t>El proceso de participación se fundamentó en el respeto por la autonomía y el principio de consentimiento informado, entendido no como un requisito formal, sino como un proceso dialógico que garantiza la comprensión clara de los objetivos, procedimientos, posibles riesgos y usos de la información (Emanuel y Grady, 2008).</w:t>
      </w:r>
    </w:p>
    <w:p w14:paraId="58981EA7" w14:textId="77777777" w:rsidR="00DE23BF" w:rsidRPr="00556A8B" w:rsidRDefault="00DE23BF" w:rsidP="00357B2F">
      <w:r w:rsidRPr="00556A8B">
        <w:t>Antes de cada entrevista, se entregó a los participantes un documento que explicitaba:</w:t>
      </w:r>
    </w:p>
    <w:p w14:paraId="5EDCD68A" w14:textId="77777777" w:rsidR="00DE23BF" w:rsidRPr="00556A8B" w:rsidRDefault="00DE23BF" w:rsidP="00357B2F">
      <w:r w:rsidRPr="00556A8B">
        <w:t>El título y los objetivos de la investigación.</w:t>
      </w:r>
    </w:p>
    <w:p w14:paraId="591F5F39" w14:textId="77777777" w:rsidR="00DE23BF" w:rsidRPr="00556A8B" w:rsidRDefault="00DE23BF" w:rsidP="00357B2F">
      <w:r w:rsidRPr="00556A8B">
        <w:t>La metodología empleada, incluyendo la grabación de audio.</w:t>
      </w:r>
    </w:p>
    <w:p w14:paraId="2394E78C" w14:textId="77777777" w:rsidR="00DE23BF" w:rsidRPr="00556A8B" w:rsidRDefault="00DE23BF" w:rsidP="00357B2F">
      <w:r w:rsidRPr="00556A8B">
        <w:t>El carácter voluntario de la participación y el derecho a retirarse en cualquier momento sin consecuencias.</w:t>
      </w:r>
    </w:p>
    <w:p w14:paraId="7EB789EB" w14:textId="77777777" w:rsidR="00B10ABB" w:rsidRPr="00556A8B" w:rsidRDefault="00B10ABB" w:rsidP="00357B2F"/>
    <w:p w14:paraId="2283B789" w14:textId="3CD2D163" w:rsidR="00DE23BF" w:rsidRPr="00556A8B" w:rsidRDefault="00DE23BF" w:rsidP="00357B2F">
      <w:r w:rsidRPr="00556A8B">
        <w:t>Las medidas de confidencialidad y anonimato.</w:t>
      </w:r>
    </w:p>
    <w:p w14:paraId="3224B5CC" w14:textId="77777777" w:rsidR="00DE23BF" w:rsidRPr="00556A8B" w:rsidRDefault="00DE23BF" w:rsidP="00357B2F">
      <w:r w:rsidRPr="00556A8B">
        <w:t>El uso exclusivamente académico de la información.</w:t>
      </w:r>
    </w:p>
    <w:p w14:paraId="455F2156" w14:textId="77777777" w:rsidR="00DE23BF" w:rsidRPr="00556A8B" w:rsidRDefault="00DE23BF" w:rsidP="00357B2F">
      <w:r w:rsidRPr="00556A8B">
        <w:lastRenderedPageBreak/>
        <w:t>Los datos de contacto del investigador, director de tesis y Comité de Bioética.</w:t>
      </w:r>
    </w:p>
    <w:p w14:paraId="6D8EABFE" w14:textId="77777777" w:rsidR="00DE23BF" w:rsidRPr="00556A8B" w:rsidRDefault="00DE23BF" w:rsidP="00357B2F">
      <w:r w:rsidRPr="00556A8B">
        <w:t>Los participantes firmaron el consentimiento de manera libre e informada, disponiendo de tiempo suficiente para resolver dudas y tomar una decisión sin presiones externas.</w:t>
      </w:r>
    </w:p>
    <w:p w14:paraId="09D1E008" w14:textId="77777777" w:rsidR="000B7FDD" w:rsidRPr="00556A8B" w:rsidRDefault="000B7FDD" w:rsidP="000162FA">
      <w:pPr>
        <w:spacing w:after="160"/>
        <w:ind w:firstLine="720"/>
        <w:rPr>
          <w:rFonts w:cs="Times New Roman"/>
          <w:b/>
          <w:bCs/>
        </w:rPr>
      </w:pPr>
    </w:p>
    <w:p w14:paraId="1569219E" w14:textId="1372F19F" w:rsidR="00DE23BF" w:rsidRPr="00556A8B" w:rsidRDefault="00DE23BF" w:rsidP="000162FA">
      <w:pPr>
        <w:pStyle w:val="Ttulo3"/>
        <w:numPr>
          <w:ilvl w:val="2"/>
          <w:numId w:val="6"/>
        </w:numPr>
        <w:spacing w:line="360" w:lineRule="auto"/>
      </w:pPr>
      <w:bookmarkStart w:id="105" w:name="_Toc232580623"/>
      <w:r w:rsidRPr="00556A8B">
        <w:t>Confidencialidad y manejo de la información</w:t>
      </w:r>
      <w:bookmarkEnd w:id="105"/>
    </w:p>
    <w:p w14:paraId="7D3B6510" w14:textId="4EF43C61" w:rsidR="00DE23BF" w:rsidRPr="00556A8B" w:rsidRDefault="00DE23BF" w:rsidP="00357B2F">
      <w:r w:rsidRPr="00556A8B">
        <w:t>La confidencialidad fue garantizada mediante la asignación de códigos alfanuméricos (P1, P2, P3…) que reemplazan cualquier dato identificatorio en transcripciones, análisis y publicaciones.</w:t>
      </w:r>
    </w:p>
    <w:p w14:paraId="6AA11FA1" w14:textId="77777777" w:rsidR="00DE23BF" w:rsidRPr="00556A8B" w:rsidRDefault="00DE23BF" w:rsidP="00357B2F">
      <w:r w:rsidRPr="00556A8B">
        <w:t>Las grabaciones de audio fueron almacenadas en dispositivos protegidos con contraseña, con acceso exclusivo del investigador principal. Las transcripciones fueron realizadas directamente por el investigador, evitando intermediarios y asegurando el control del material sensible.</w:t>
      </w:r>
    </w:p>
    <w:p w14:paraId="42475767" w14:textId="77777777" w:rsidR="00DE23BF" w:rsidRPr="00556A8B" w:rsidRDefault="00DE23BF" w:rsidP="00357B2F">
      <w:r w:rsidRPr="00556A8B">
        <w:t>Una vez concluido el proceso de análisis y publicación de resultados, las grabaciones serán eliminadas de manera permanente. Las transcripciones codificadas se conservarán únicamente con fines académicos y de auditoría científica, sin incluir datos que permitan la identificación directa o indirecta de los participantes.</w:t>
      </w:r>
    </w:p>
    <w:p w14:paraId="33849000" w14:textId="77777777" w:rsidR="000B7FDD" w:rsidRPr="00556A8B" w:rsidRDefault="000B7FDD" w:rsidP="000162FA">
      <w:pPr>
        <w:spacing w:after="160"/>
        <w:ind w:firstLine="720"/>
        <w:rPr>
          <w:rFonts w:cs="Times New Roman"/>
          <w:b/>
          <w:bCs/>
        </w:rPr>
      </w:pPr>
    </w:p>
    <w:p w14:paraId="45F0E42F" w14:textId="2F2C80B3" w:rsidR="00DE23BF" w:rsidRPr="00556A8B" w:rsidRDefault="00DE23BF" w:rsidP="000162FA">
      <w:pPr>
        <w:pStyle w:val="Ttulo3"/>
        <w:numPr>
          <w:ilvl w:val="2"/>
          <w:numId w:val="6"/>
        </w:numPr>
        <w:spacing w:line="360" w:lineRule="auto"/>
      </w:pPr>
      <w:bookmarkStart w:id="106" w:name="_Toc232580624"/>
      <w:r w:rsidRPr="00556A8B">
        <w:t>Ética relacional y reflexividad crítica</w:t>
      </w:r>
      <w:bookmarkEnd w:id="106"/>
    </w:p>
    <w:p w14:paraId="456EA9C7" w14:textId="77777777" w:rsidR="00DE23BF" w:rsidRPr="00556A8B" w:rsidRDefault="00DE23BF" w:rsidP="00357B2F">
      <w:r w:rsidRPr="00556A8B">
        <w:t>Más allá de la ética procedimental, esta investigación asume una ética relacional, reconociendo que todo proceso investigativo implica asimetrías de poder que deben ser explicitadas y problematizadas (Haraway, 1988; Guillemin y Gillam, 2004).</w:t>
      </w:r>
    </w:p>
    <w:p w14:paraId="417414CE" w14:textId="77777777" w:rsidR="00DE23BF" w:rsidRPr="00556A8B" w:rsidRDefault="00DE23BF" w:rsidP="00357B2F">
      <w:r w:rsidRPr="00556A8B">
        <w:t>Desde esta perspectiva, la entrevista fue concebida no como un simple instrumento de extracción de información, sino como un encuentro intersubjetivo donde circulan saberes, afectos y posicionamientos. En consecuencia, se adoptó una postura de reflexividad crítica permanente, reconociendo que el investigador no ocupa un lugar neutral, sino situado, atravesado por marcos teóricos y compromisos epistemológicos (Denzin, 2003).</w:t>
      </w:r>
    </w:p>
    <w:p w14:paraId="1D4EF0B0" w14:textId="77777777" w:rsidR="00DE23BF" w:rsidRPr="00556A8B" w:rsidRDefault="00DE23BF" w:rsidP="00357B2F">
      <w:r w:rsidRPr="00556A8B">
        <w:t>Esta reflexividad implicó:</w:t>
      </w:r>
    </w:p>
    <w:p w14:paraId="78745F35" w14:textId="77777777" w:rsidR="00DE23BF" w:rsidRPr="00556A8B" w:rsidRDefault="00DE23BF" w:rsidP="00357B2F">
      <w:r w:rsidRPr="00556A8B">
        <w:t>Evitar la instrumentalización de las voces participantes.</w:t>
      </w:r>
    </w:p>
    <w:p w14:paraId="23757B34" w14:textId="77777777" w:rsidR="00DE23BF" w:rsidRPr="00556A8B" w:rsidRDefault="00DE23BF" w:rsidP="00357B2F">
      <w:r w:rsidRPr="00556A8B">
        <w:t>Reconocerlas como sujetos epistémicos y no como meros datos.</w:t>
      </w:r>
    </w:p>
    <w:p w14:paraId="6D04329C" w14:textId="77777777" w:rsidR="00DE23BF" w:rsidRPr="00556A8B" w:rsidRDefault="00DE23BF" w:rsidP="00357B2F">
      <w:r w:rsidRPr="00556A8B">
        <w:lastRenderedPageBreak/>
        <w:t>Representar sus discursos sin distorsiones estratégicas que los reduzcan a ilustraciones de categorías predefinidas.</w:t>
      </w:r>
    </w:p>
    <w:p w14:paraId="551677C4" w14:textId="7219C4A4" w:rsidR="00DE23BF" w:rsidRPr="00556A8B" w:rsidRDefault="00DE23BF" w:rsidP="00357B2F"/>
    <w:p w14:paraId="3B4AAB1E" w14:textId="245B5AE1" w:rsidR="000E5B14" w:rsidRPr="00556A8B" w:rsidRDefault="00DE23BF" w:rsidP="00B10ABB">
      <w:r w:rsidRPr="00556A8B">
        <w:t>En coherencia con el paradigma postestructuralista que orienta esta investigación, la ética no se concibe únicamente como cumplimiento normativo, sino como práctica crítica que interroga las condiciones mismas de producción de conocimiento. Analizar discursos sobre salud mental implica también asumir responsabilidad frente a los efectos que tal análisis puede producir. Por ello, este estudio se compromete no solo con la protección de los participantes, sino con una producción de conocimiento situada, respetuosa y consciente de sus implicaciones políticas en el campo de la subjetividad y el gobierno de la vida</w:t>
      </w:r>
      <w:r w:rsidR="000E5B14" w:rsidRPr="00556A8B">
        <w:t>.</w:t>
      </w:r>
      <w:bookmarkStart w:id="107" w:name="_Toc440985140"/>
      <w:bookmarkEnd w:id="103"/>
    </w:p>
    <w:p w14:paraId="7AED29F9" w14:textId="77777777" w:rsidR="00816DB2" w:rsidRDefault="00816DB2">
      <w:pPr>
        <w:spacing w:after="160" w:line="278" w:lineRule="auto"/>
        <w:ind w:firstLine="0"/>
        <w:contextualSpacing w:val="0"/>
      </w:pPr>
    </w:p>
    <w:p w14:paraId="68AB132C" w14:textId="2A33C501" w:rsidR="00816DB2" w:rsidRPr="00187C9E" w:rsidRDefault="00187C9E" w:rsidP="00187C9E">
      <w:pPr>
        <w:pStyle w:val="Tablas"/>
        <w:ind w:firstLine="0"/>
        <w:rPr>
          <w:b/>
          <w:bCs/>
        </w:rPr>
      </w:pPr>
      <w:bookmarkStart w:id="108" w:name="_Toc235178353"/>
      <w:r>
        <w:rPr>
          <w:b/>
          <w:bCs/>
        </w:rPr>
        <w:t>Figura</w:t>
      </w:r>
      <w:r w:rsidRPr="00187C9E">
        <w:rPr>
          <w:b/>
          <w:bCs/>
        </w:rPr>
        <w:t xml:space="preserve"> 4: </w:t>
      </w:r>
      <w:r w:rsidR="00816DB2" w:rsidRPr="00187C9E">
        <w:rPr>
          <w:b/>
          <w:bCs/>
        </w:rPr>
        <w:t>Esquema actancial del dispositivo psi</w:t>
      </w:r>
      <w:bookmarkEnd w:id="108"/>
    </w:p>
    <w:p w14:paraId="6D8C8EC5" w14:textId="0B96EC02" w:rsidR="00816DB2" w:rsidRDefault="00567360">
      <w:pPr>
        <w:spacing w:after="160" w:line="278" w:lineRule="auto"/>
        <w:ind w:firstLine="0"/>
        <w:contextualSpacing w:val="0"/>
      </w:pPr>
      <w:r>
        <w:rPr>
          <w:noProof/>
        </w:rPr>
        <w:drawing>
          <wp:anchor distT="0" distB="0" distL="114300" distR="114300" simplePos="0" relativeHeight="251675648" behindDoc="1" locked="0" layoutInCell="1" allowOverlap="1" wp14:anchorId="1C800DF3" wp14:editId="78F89858">
            <wp:simplePos x="0" y="0"/>
            <wp:positionH relativeFrom="column">
              <wp:posOffset>203224</wp:posOffset>
            </wp:positionH>
            <wp:positionV relativeFrom="paragraph">
              <wp:posOffset>133207</wp:posOffset>
            </wp:positionV>
            <wp:extent cx="5971540" cy="2188596"/>
            <wp:effectExtent l="0" t="0" r="0" b="2540"/>
            <wp:wrapTight wrapText="bothSides">
              <wp:wrapPolygon edited="0">
                <wp:start x="1792" y="0"/>
                <wp:lineTo x="0" y="940"/>
                <wp:lineTo x="0" y="7522"/>
                <wp:lineTo x="2550" y="9026"/>
                <wp:lineTo x="1516" y="10342"/>
                <wp:lineTo x="1516" y="10907"/>
                <wp:lineTo x="2550" y="12035"/>
                <wp:lineTo x="0" y="14855"/>
                <wp:lineTo x="0" y="20497"/>
                <wp:lineTo x="620" y="21437"/>
                <wp:lineTo x="20259" y="21437"/>
                <wp:lineTo x="20396" y="14479"/>
                <wp:lineTo x="18605" y="13915"/>
                <wp:lineTo x="10612" y="12035"/>
                <wp:lineTo x="11370" y="11095"/>
                <wp:lineTo x="11370" y="10342"/>
                <wp:lineTo x="10612" y="9026"/>
                <wp:lineTo x="15917" y="9026"/>
                <wp:lineTo x="20396" y="7710"/>
                <wp:lineTo x="20396" y="1692"/>
                <wp:lineTo x="20121" y="940"/>
                <wp:lineTo x="19225" y="0"/>
                <wp:lineTo x="1792" y="0"/>
              </wp:wrapPolygon>
            </wp:wrapTight>
            <wp:docPr id="1939312372" name="Imagen 193931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12372" name="Imagen 193931237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71540" cy="2188596"/>
                    </a:xfrm>
                    <a:prstGeom prst="rect">
                      <a:avLst/>
                    </a:prstGeom>
                  </pic:spPr>
                </pic:pic>
              </a:graphicData>
            </a:graphic>
          </wp:anchor>
        </w:drawing>
      </w:r>
    </w:p>
    <w:p w14:paraId="5DF2D24A" w14:textId="5AB7D14B" w:rsidR="00816DB2" w:rsidRDefault="00816DB2">
      <w:pPr>
        <w:spacing w:after="160" w:line="278" w:lineRule="auto"/>
        <w:ind w:firstLine="0"/>
        <w:contextualSpacing w:val="0"/>
      </w:pPr>
    </w:p>
    <w:p w14:paraId="6261C62D" w14:textId="77777777" w:rsidR="00816DB2" w:rsidRDefault="00816DB2">
      <w:pPr>
        <w:spacing w:after="160" w:line="278" w:lineRule="auto"/>
        <w:ind w:firstLine="0"/>
        <w:contextualSpacing w:val="0"/>
      </w:pPr>
    </w:p>
    <w:p w14:paraId="03786A36" w14:textId="77777777" w:rsidR="00816DB2" w:rsidRDefault="00816DB2">
      <w:pPr>
        <w:spacing w:after="160" w:line="278" w:lineRule="auto"/>
        <w:ind w:firstLine="0"/>
        <w:contextualSpacing w:val="0"/>
      </w:pPr>
    </w:p>
    <w:p w14:paraId="032836A8" w14:textId="77777777" w:rsidR="00187C9E" w:rsidRPr="00187C9E" w:rsidRDefault="00187C9E" w:rsidP="00187C9E">
      <w:pPr>
        <w:spacing w:after="105"/>
        <w:ind w:firstLine="0"/>
        <w:rPr>
          <w:color w:val="000000" w:themeColor="text1"/>
        </w:rPr>
      </w:pPr>
      <w:r w:rsidRPr="00187C9E">
        <w:rPr>
          <w:rFonts w:eastAsia="Times New Roman" w:cs="Times New Roman"/>
          <w:b/>
          <w:color w:val="000000" w:themeColor="text1"/>
          <w:sz w:val="16"/>
        </w:rPr>
        <w:t xml:space="preserve">Nota: </w:t>
      </w:r>
      <w:r w:rsidRPr="00187C9E">
        <w:rPr>
          <w:rFonts w:eastAsia="Times New Roman" w:cs="Times New Roman"/>
          <w:color w:val="000000" w:themeColor="text1"/>
          <w:sz w:val="16"/>
        </w:rPr>
        <w:t>Producción discursiva del sujeto saludable - MAEC - Greimas (1966)</w:t>
      </w:r>
    </w:p>
    <w:p w14:paraId="17D86C81" w14:textId="38C577B0" w:rsidR="00187C9E" w:rsidRDefault="00187C9E" w:rsidP="00A93E84">
      <w:pPr>
        <w:tabs>
          <w:tab w:val="left" w:pos="7785"/>
        </w:tabs>
        <w:spacing w:after="80"/>
        <w:ind w:firstLine="0"/>
        <w:rPr>
          <w:rFonts w:eastAsia="Times New Roman" w:cs="Times New Roman"/>
          <w:b/>
          <w:sz w:val="16"/>
        </w:rPr>
      </w:pPr>
    </w:p>
    <w:p w14:paraId="73BD2ECB" w14:textId="78A2C7D0" w:rsidR="00567360" w:rsidRPr="005605E4" w:rsidRDefault="00567360" w:rsidP="00A93E84">
      <w:pPr>
        <w:tabs>
          <w:tab w:val="left" w:pos="7785"/>
        </w:tabs>
        <w:spacing w:after="80"/>
        <w:ind w:firstLine="0"/>
      </w:pPr>
      <w:r w:rsidRPr="005605E4">
        <w:rPr>
          <w:rFonts w:eastAsia="Times New Roman" w:cs="Times New Roman"/>
          <w:b/>
          <w:sz w:val="16"/>
        </w:rPr>
        <w:t>Lectura del esquema:</w:t>
      </w:r>
      <w:r w:rsidRPr="005605E4">
        <w:rPr>
          <w:rFonts w:eastAsia="Times New Roman" w:cs="Times New Roman"/>
          <w:b/>
          <w:sz w:val="16"/>
        </w:rPr>
        <w:tab/>
      </w:r>
    </w:p>
    <w:p w14:paraId="3BB91C54" w14:textId="77777777" w:rsidR="00567360" w:rsidRPr="005605E4" w:rsidRDefault="00567360" w:rsidP="00A93E84">
      <w:pPr>
        <w:spacing w:line="311" w:lineRule="auto"/>
        <w:ind w:firstLine="0"/>
      </w:pPr>
      <w:r w:rsidRPr="005605E4">
        <w:rPr>
          <w:rFonts w:eastAsia="Times New Roman" w:cs="Times New Roman"/>
          <w:sz w:val="16"/>
        </w:rPr>
        <w:t>El destinador (régimen psi) interpela al sujeto (psicólogo) para producir el objeto (sujeto saludable) mediante los adyuvantes (técnicas - manuales). El destinatario (paciente) recibe el efecto de subjetivación.</w:t>
      </w:r>
    </w:p>
    <w:p w14:paraId="059F8B5B" w14:textId="77777777" w:rsidR="00567360" w:rsidRDefault="00567360" w:rsidP="00A93E84">
      <w:pPr>
        <w:spacing w:after="80"/>
        <w:ind w:firstLine="0"/>
      </w:pPr>
      <w:r w:rsidRPr="005605E4">
        <w:rPr>
          <w:rFonts w:eastAsia="Times New Roman" w:cs="Times New Roman"/>
          <w:sz w:val="16"/>
        </w:rPr>
        <w:t>El oponente (fisuras - contraconductas) tensiona, pero no cancela la operación del dispositivo.</w:t>
      </w:r>
    </w:p>
    <w:p w14:paraId="03F6A206" w14:textId="5C5FF21D" w:rsidR="00B10ABB" w:rsidRPr="00556A8B" w:rsidRDefault="00567360" w:rsidP="00A93E84">
      <w:pPr>
        <w:spacing w:after="80"/>
        <w:ind w:firstLine="0"/>
      </w:pPr>
      <w:r>
        <w:rPr>
          <w:rFonts w:eastAsia="Times New Roman" w:cs="Times New Roman"/>
          <w:sz w:val="14"/>
        </w:rPr>
        <w:t>R</w:t>
      </w:r>
      <w:r w:rsidRPr="005605E4">
        <w:rPr>
          <w:rFonts w:eastAsia="Times New Roman" w:cs="Times New Roman"/>
          <w:sz w:val="14"/>
        </w:rPr>
        <w:t>eferencia: Greimas, A. J. (1966). Semantique structurale. Larousse. Adaptado al corpus de esta tesis</w:t>
      </w:r>
      <w:r>
        <w:rPr>
          <w:rFonts w:eastAsia="Times New Roman" w:cs="Times New Roman"/>
          <w:sz w:val="14"/>
        </w:rPr>
        <w:t xml:space="preserve"> doctoral</w:t>
      </w:r>
      <w:r w:rsidR="00B10ABB" w:rsidRPr="00556A8B">
        <w:br w:type="page"/>
      </w:r>
    </w:p>
    <w:p w14:paraId="74B4A880" w14:textId="124F2E23" w:rsidR="000E5B14" w:rsidRPr="00556A8B" w:rsidRDefault="000E5B14" w:rsidP="000162FA">
      <w:pPr>
        <w:pStyle w:val="Ttulo1"/>
        <w:numPr>
          <w:ilvl w:val="0"/>
          <w:numId w:val="6"/>
        </w:numPr>
        <w:spacing w:line="360" w:lineRule="auto"/>
        <w:ind w:left="426"/>
      </w:pPr>
      <w:bookmarkStart w:id="109" w:name="_Toc232580625"/>
      <w:r w:rsidRPr="00556A8B">
        <w:lastRenderedPageBreak/>
        <w:t>Resultados</w:t>
      </w:r>
      <w:bookmarkEnd w:id="107"/>
      <w:bookmarkEnd w:id="109"/>
    </w:p>
    <w:p w14:paraId="153C1859" w14:textId="77777777" w:rsidR="000E5B14" w:rsidRPr="00556A8B" w:rsidRDefault="000E5B14" w:rsidP="000162FA">
      <w:pPr>
        <w:ind w:firstLine="0"/>
        <w:rPr>
          <w:rFonts w:cs="Times New Roman"/>
          <w:b/>
        </w:rPr>
      </w:pPr>
      <w:bookmarkStart w:id="110" w:name="_Toc440985141"/>
    </w:p>
    <w:p w14:paraId="5BE3F847" w14:textId="77777777" w:rsidR="00DE23BF" w:rsidRPr="00556A8B" w:rsidRDefault="00DE23BF" w:rsidP="00B10ABB">
      <w:r w:rsidRPr="00556A8B">
        <w:t>El presente capítulo expone los hallazgos derivados del análisis discursivo de las entrevistas realizadas a profesionales en psicología, con el propósito de comprender cómo se configuran, tensionan y reproducen determinadas concepciones de salud mental en el ejercicio clínico contemporáneo. Más que describir opiniones individuales, el análisis se orienta a identificar regularidades, desplazamientos y ambivalencias en los modos de nombrar, intervenir y problematizar el malestar, entendiendo los discursos como prácticas que producen efectos de verdad y formas específicas de subjetivación.</w:t>
      </w:r>
    </w:p>
    <w:p w14:paraId="53B8AF7B" w14:textId="77777777" w:rsidR="00DE23BF" w:rsidRPr="00556A8B" w:rsidRDefault="00DE23BF" w:rsidP="00B10ABB">
      <w:r w:rsidRPr="00556A8B">
        <w:t>Los resultados no se presentan como categorías cerradas ni como verdades definitivas sobre la disciplina, sino como configuraciones discursivas que emergen en un campo atravesado por múltiples racionalidades: biomédicas, psicológicas, institucionales, neoliberales y éticas. En este entramado, la salud mental aparece menos como un objeto estable y más como un espacio de disputa donde convergen saberes expertos, exigencias normativas, condiciones estructurales y prácticas de intervención que delimitan lo que puede ser reconocido como sufrimiento legítimo, bienestar posible o normalidad aceptable.</w:t>
      </w:r>
    </w:p>
    <w:p w14:paraId="6F30ECE7" w14:textId="77777777" w:rsidR="00DE23BF" w:rsidRPr="00556A8B" w:rsidRDefault="00DE23BF" w:rsidP="00B10ABB">
      <w:r w:rsidRPr="00556A8B">
        <w:t>La organización del capítulo responde a núcleos temáticos que emergieron del proceso de codificación y análisis, los cuales permiten articular tres grandes dimensiones: los discursos hegemónicos que estructuran la comprensión de la salud mental; las condiciones sociales, políticas y económicas que la atraviesan; y las prácticas clínicas y técnicas mediante las cuales se interviene y se produce subjetividad. A lo largo de estos apartados se evidencian tensiones persistentes entre cuidado y regulación, singularidad y estandarización, autonomía y normalización, mostrando que la psicología opera en un terreno ambivalente donde acompañar el sufrimiento implica también participar en la definición de los marcos desde los cuales este puede ser comprendido.</w:t>
      </w:r>
    </w:p>
    <w:p w14:paraId="75F87A37" w14:textId="08040287" w:rsidR="00DE23BF" w:rsidRPr="00556A8B" w:rsidRDefault="00DE23BF" w:rsidP="00B10ABB">
      <w:r w:rsidRPr="00556A8B">
        <w:t>En este sentido, el capítulo no busca resolver dichas tensiones, sino hacerlas visibles. Al situar el análisis en las intersecciones entre saber, poder y subjetividad, los resultados permiten problematizar la aparente neutralidad técnica del ejercicio profesional y abrir preguntas sobre las implicaciones éticas y políticas que acompañan la producción contemporánea de la salud mental.</w:t>
      </w:r>
    </w:p>
    <w:p w14:paraId="2E9A95E3" w14:textId="592BFFDF" w:rsidR="000E5B14" w:rsidRPr="00556A8B" w:rsidRDefault="000B7FDD" w:rsidP="00357B2F">
      <w:pPr>
        <w:pStyle w:val="Ttulo2"/>
      </w:pPr>
      <w:bookmarkStart w:id="111" w:name="_Toc232580626"/>
      <w:r w:rsidRPr="00556A8B">
        <w:lastRenderedPageBreak/>
        <w:t>D</w:t>
      </w:r>
      <w:r w:rsidR="000E5B14" w:rsidRPr="00556A8B">
        <w:t>iscursos hegemónicos sobre salud mental: el lugar del diagnóstico</w:t>
      </w:r>
      <w:bookmarkEnd w:id="111"/>
    </w:p>
    <w:p w14:paraId="556E4011" w14:textId="77777777" w:rsidR="007606A4" w:rsidRPr="00556A8B" w:rsidRDefault="007606A4" w:rsidP="00B10ABB">
      <w:r w:rsidRPr="00556A8B">
        <w:t>Dentro de los relatos de los participantes, el diagnóstico emerge como un eje estructurante en la configuración contemporánea de la salud mental, operando simultáneamente como práctica hegemónica y como dispositivo de regulación. En las concepciones predominantes, la salud mental se encuentra atravesada por el discurso biomédico, cuya racionalidad se caracteriza por la tendencia a patologizar la experiencia y a definir a los sujetos mediante etiquetas diagnósticas. Esta lógica no solo clasifica el sufrimiento, sino que lo valida en la medida en que lo inscribe en una categoría reconocida por el saber psicológico. Así, el diagnóstico se consolida como práctica dominante que organiza el campo profesional y legitima determinadas formas de nombrar y comprender el malestar, tal como lo expresa el participante 7: "dentro de una de las funciones de la psicología como disciplina eminentemente clínica implica un proceso de evaluación y de diagnóstico, es necesario ponerle un nombre… para poder intervenir un fenómeno."</w:t>
      </w:r>
    </w:p>
    <w:p w14:paraId="019CA831" w14:textId="77777777" w:rsidR="007606A4" w:rsidRPr="00556A8B" w:rsidRDefault="007606A4" w:rsidP="00B10ABB">
      <w:r w:rsidRPr="00556A8B">
        <w:t>Al mismo tiempo, el diagnóstico es percibido como un mecanismo que puede estigmatizar y condicionar la identidad de quienes lo reciben. La etiqueta diagnóstica no se limita a describir una situación clínica, sino que delimita horizontes de sentido, restringiendo otras formas posibles de comprender la salud mental. El participante 1 lo ilustra con claridad: "muchas veces el diagnóstico se convierte en un punto de partida y de llegada. Es como si todo girara alrededor del nombre que se le da al malestar… una vez se dice que tiene ansiedad o depresión parece que no hay nada más que comprender, eso tranquiliza porque organiza la intervención." Al codificar la experiencia bajo categorías previamente establecidas, refuerza una visión dicotómica entre normalidad y anormalidad, salud y patología, funcionalidad y disfunción. En este sentido, el diagnóstico no solo clasifica, sino que inscribe al sujeto en un régimen de verdad que define qué formas de experiencia son legítimas y cuáles deben ser corregidas o intervenidas, como señala el participante 3: "cuando se da la etiqueta y se le pone a la persona ese título… ya tengo un diagnóstico… y se empieza como a negar la posibilidad de una salud mental adecuada."</w:t>
      </w:r>
    </w:p>
    <w:p w14:paraId="71ED155F" w14:textId="77777777" w:rsidR="007606A4" w:rsidRPr="00556A8B" w:rsidRDefault="007606A4" w:rsidP="00B10ABB">
      <w:r w:rsidRPr="00556A8B">
        <w:t xml:space="preserve">No obstante, en los discursos también se advierte un desplazamiento hacia el reconocimiento de la subjetividad, que cuestiona la postura tradicional en la cual el profesional determina de manera unilateral qué es o no es salud mental. El participante 4 sitúa esta tensión al señalar que "la salud mental anteriormente estaba más concebida como… lo que un externo manifiesta como es salud mental o no es salud mental." Esta apertura supone el reconocimiento de la experiencia del sujeto como criterio relevante en la delimitación del bienestar, tensionando </w:t>
      </w:r>
      <w:r w:rsidRPr="00556A8B">
        <w:lastRenderedPageBreak/>
        <w:t>el dominio histórico del saber experto. Desde esta perspectiva, comienzan a visibilizarse fisuras en el entramado hegemónico disciplinar: aunque el diagnóstico continúa siendo un eje estructurante y normalizado, emergen posicionamientos que buscan reconfigurar el lugar del profesional y ampliar la comprensión del malestar más allá de la mera clasificación.</w:t>
      </w:r>
    </w:p>
    <w:p w14:paraId="2F59D8D9" w14:textId="77777777" w:rsidR="007606A4" w:rsidRPr="00556A8B" w:rsidRDefault="007606A4" w:rsidP="00B10ABB">
      <w:r w:rsidRPr="00556A8B">
        <w:t>Sin embargo, estas aperturas no eliminan la fuerza de la lógica diagnóstica. En la práctica, el diagnóstico persiste con frecuencia como etiqueta aplicada de manera automática, reduciendo la singularidad del sujeto a un conjunto de síntomas previamente codificados y desatendiendo las condiciones contextuales de la experiencia, como ilustra el participante 5: "a usted puede llegar un paciente que tiene una remisión porque tiene una depresión, porque llegó donde el médico y le dijo que tengo estas y estas características. Él no preguntó más… pero lo diagnostica con depresión." De este modo, la práctica diagnóstica tiende a reproducirse como procedimiento técnico anclado al modelo biomédico, privilegiando la nomenclatura y la estandarización por encima de la comprensión situada del sufrimiento. La complejidad de la vida psíquica se traduce así en categorías clínicas que prometen objetividad y claridad, pero que al mismo tiempo simplifican la densidad de la experiencia humana.</w:t>
      </w:r>
    </w:p>
    <w:p w14:paraId="24E0BB19" w14:textId="77777777" w:rsidR="007606A4" w:rsidRPr="00556A8B" w:rsidRDefault="007606A4" w:rsidP="00B10ABB">
      <w:r w:rsidRPr="00556A8B">
        <w:t>En varios relatos se evidencia, además, que la práctica psicoterapéutica se organiza en torno a esta lógica estructural de patologización. El diagnóstico no solo orienta la intervención, sino que la condiciona y la hace posible dentro de los marcos institucionales vigentes, como reconoce el participante 6: "en este momento… trabajo desde ese enfoque de salud mental centrado más en el discurso de patología normalidad." A esto se suma lo que el participante 2 identifica como la seducción del modelo: "el discurso hegemónico del modelo biomédico... inevitablemente la patologización es un tema de categorización y, como comprenderás, eso es algo muy seductor en los chicos." Se consolida, entonces, como requisito técnico indispensable que legitima la acción profesional y asegura la continuidad de un régimen de verdad centrado en la clasificación. Esta dinámica reproduce una concepción ambivalente de la salud mental, definida en términos de normalidad y anormalidad, y reafirma el poder clasificatorio de la psicología en el campo clínico.</w:t>
      </w:r>
    </w:p>
    <w:p w14:paraId="5C7685BF" w14:textId="77777777" w:rsidR="007606A4" w:rsidRPr="00556A8B" w:rsidRDefault="007606A4" w:rsidP="00B10ABB">
      <w:r w:rsidRPr="00556A8B">
        <w:t xml:space="preserve">En síntesis, el diagnóstico ocupa un lugar central en la arquitectura discursiva de la salud mental. Se instituye como práctica hegemónica que organiza el quehacer profesional y, simultáneamente, como marca que puede condicionar la experiencia subjetiva. Opera tanto como estrategia legitimada de intervención como mecanismo de homogeneización del malestar. Si bien </w:t>
      </w:r>
      <w:r w:rsidRPr="00556A8B">
        <w:lastRenderedPageBreak/>
        <w:t>se reconocen fisuras que reivindican la subjetividad y cuestionan la rigidez del modelo biomédico, estas no desmantelan la hegemonía diagnóstica; más bien revelan un campo en disputa, donde se abre la posibilidad, aún incipiente, de reconfigurar sus alcances y problematizar su monopolio en la construcción científica de la salud mental.</w:t>
      </w:r>
    </w:p>
    <w:p w14:paraId="55FE33F8" w14:textId="730CCC20" w:rsidR="000E5B14" w:rsidRPr="00556A8B" w:rsidRDefault="007606A4" w:rsidP="00B10ABB">
      <w:pPr>
        <w:rPr>
          <w:rFonts w:cs="Times New Roman"/>
        </w:rPr>
      </w:pPr>
      <w:r w:rsidRPr="00556A8B">
        <w:t>Las citas presentadas permiten observar cómo el diagnóstico se configura discursivamente como un punto nodal que organiza el campo de la salud mental. En ellas se advierte su doble operación: por un lado, como herramienta que ofrece orden, claridad y legitimidad técnica a la intervención; y por otro, como etiqueta que puede clausurar la exploración de la singularidad, fijando al sujeto en una categoría que tiende a naturalizar su malestar. Esta ambivalencia evidencia que el diagnóstico no funciona únicamente como instrumento clínico, sino como tecnología discursiva que articula saber, poder y subjetivación, definiendo los límites de lo comprensible, lo tratable y lo aceptable en el horizonte contemporáneo de la salud mental.</w:t>
      </w:r>
    </w:p>
    <w:p w14:paraId="151AC148" w14:textId="6F92D7EB" w:rsidR="00481356" w:rsidRPr="00556A8B" w:rsidRDefault="000E5B14" w:rsidP="00357B2F">
      <w:pPr>
        <w:pStyle w:val="Ttulo2"/>
      </w:pPr>
      <w:bookmarkStart w:id="112" w:name="_Toc232580627"/>
      <w:r w:rsidRPr="00556A8B">
        <w:t>Discursos hegemónicos sobre salud mental</w:t>
      </w:r>
      <w:r w:rsidR="00481356" w:rsidRPr="00556A8B">
        <w:t>:</w:t>
      </w:r>
      <w:r w:rsidRPr="00556A8B">
        <w:t xml:space="preserve"> Manual diagnóstico como regulador</w:t>
      </w:r>
      <w:bookmarkEnd w:id="112"/>
    </w:p>
    <w:p w14:paraId="2BDE62E1" w14:textId="77777777" w:rsidR="007606A4" w:rsidRPr="00556A8B" w:rsidRDefault="007606A4" w:rsidP="00B10ABB">
      <w:r w:rsidRPr="00556A8B">
        <w:t>Los discursos analizados permiten advertir que los manuales diagnósticos, especialmente el DSM y la CIE, no funcionan únicamente como instrumentos técnicos de clasificación clínica, sino como verdaderos dispositivos reguladores del campo de la salud mental. Su operación trasciende la enumeración de síntomas o la delimitación de categorías nosológicas: instauran parámetros, jerarquías y criterios de inteligibilidad que organizan la distinción entre lo saludable y lo patológico. En este sentido, el diagnóstico, en tanto extensión práctica de estos manuales, no se limita a nombrar un estado, sino que produce efectos de subjetivación, en la medida en que invita, o induce, al sujeto a reconocerse, narrarse y comprenderse a partir de la categoría asignada, como lo ilustra el participante 3: "cuando tiene un diagnóstico… ya sea sacado desde cualquier manual diagnóstico… ahí es donde la persona comienza a nombrarse y a verse como que no tengo una salud mental adecuada." Así, los manuales se constituyen como tecnologías discursivas que ordenan no solo la intervención clínica, sino también las posibilidades de experimentar y significar la propia salud mental, hasta el punto en que, como señala el participante 1, "la persona hoy se mira en el DSM y dice 'juepucha', a vos no te pasó que tenías todos los trastornos."</w:t>
      </w:r>
    </w:p>
    <w:p w14:paraId="62BAA1BC" w14:textId="77777777" w:rsidR="001711E0" w:rsidRPr="00556A8B" w:rsidRDefault="007606A4" w:rsidP="00B10ABB">
      <w:r w:rsidRPr="00556A8B">
        <w:t xml:space="preserve">Un aspecto particularmente significativo es la estandarización temporal que imponen sobre el sufrimiento. Al establecer umbrales cronológicos y criterios cuantificables, los manuales introducen una lógica de medición que determina cuándo una vivencia adquiere estatus clínico. </w:t>
      </w:r>
      <w:r w:rsidRPr="00556A8B">
        <w:lastRenderedPageBreak/>
        <w:t>El participante 5 lo describe con precisión: "vos sabes que un episodio depresivo debe diagnosticarse después de dos semanas, de que usted tiene ciertas respuestas fisiológicas, cognitivas, emocionales y comportamentales", lo que evidencia cómo el malestar es sometido a una grilla normativa que fija duraciones, intensidades y combinaciones sintomáticas válidas. Esta cronologización del sufrimiento no solo busca homogeneidad diagnóstica, sino que refuerza un modelo objetivante que aspira a universalizar la vivencia, consolidando la hegemonía de una racionalidad biomédica centrada en la clasificación y el control. El participante 4 advierte precisamente esta tensión al señalar que "los manuales diagnósticos… no se puede tomar al pie de la letra… la experiencia subjetiva nunca va a ser una depresión igual a la otra."</w:t>
      </w:r>
    </w:p>
    <w:p w14:paraId="7FCF6262" w14:textId="77777777" w:rsidR="001711E0" w:rsidRPr="00556A8B" w:rsidRDefault="007606A4" w:rsidP="00B10ABB">
      <w:r w:rsidRPr="00556A8B">
        <w:t>En el plano profesional, los manuales operan como gramáticas institucionales que estructuran la práctica psicológica. El participante 6 lo describe de manera directa: "trabajamos mucho desde… los manuales clasificatorios… CIE-10, DSM… marcan un modelo muy médico… criterios clínicos para determinar el cumplimiento." Funcionan como guías que delimitan criterios de cumplimiento, orientan decisiones técnicas y aseguran cierta uniformidad en las intervenciones. Sin embargo, esa misma normatividad que promete coherencia y comunicación disciplinar puede convertirse en un límite para la singularidad, como advierte el participante 2: "cuando tú estás en un consultorio clínico, que tienes que hacerte un famoso RIST, y ahí te dicen que debes colocar un diagnóstico... si llevas más de dos sesiones ya debería ser un diagnóstico confirmado y diagnóstico repetido." Al imponer una arquitectura conceptual cerrada, los manuales no solo organizan la acción del profesional, sino que también influyen en la manera en que los sujetos interpretan su experiencia, internalizando lenguajes y esquemas que modelan su autopercepción.</w:t>
      </w:r>
    </w:p>
    <w:p w14:paraId="5DF70C9A" w14:textId="77777777" w:rsidR="001711E0" w:rsidRPr="00556A8B" w:rsidRDefault="007606A4" w:rsidP="00B10ABB">
      <w:r w:rsidRPr="00556A8B">
        <w:t>Al mismo tiempo, estos sistemas clasificatorios son asumidos como un lenguaje común que posibilita la intercomunicación entre profesionales, instituciones y contextos diversos. El participante 7 lo expresa en estos términos: "poder circunscribirlo desde el lenguaje compartido por todos los que se muevan… en la psicoterapia." Esta función unificadora fortalece su legitimidad y asegura la continuidad de prácticas estandarizadas, consolidando el diagnóstico como código compartido del saber psicológico. No obstante, dicha estandarización también reproduce una forma particular de verdad sobre la salud mental, en la que la homogeneidad técnica se impone como garantía de validez científica, reforzando la hegemonía de un marco interpretativo específico.</w:t>
      </w:r>
    </w:p>
    <w:p w14:paraId="272A0EB8" w14:textId="77777777" w:rsidR="00003263" w:rsidRPr="00556A8B" w:rsidRDefault="001711E0" w:rsidP="00B10ABB">
      <w:r w:rsidRPr="00556A8B">
        <w:lastRenderedPageBreak/>
        <w:t>Así</w:t>
      </w:r>
      <w:r w:rsidR="007606A4" w:rsidRPr="00556A8B">
        <w:t>, los manuales diagnósticos emergen en los discursos como marcos normativos que articulan poder, saber y regulación. No solo clasifican y ordenan, sino que delimitan los márgenes de lo pensable y lo tratable, produciendo subjetividades ajustadas a los criterios de normalidad vigentes. Su centralidad en el campo de la salud mental confirma que, bajo la apariencia de neutralidad técnica, operan como dispositivos que legitiman determinados regímenes de verdad acerca de lo que significa estar, o no estar, mentalmente sano.</w:t>
      </w:r>
    </w:p>
    <w:p w14:paraId="57DF7A3F" w14:textId="4563F7E6" w:rsidR="007606A4" w:rsidRPr="00556A8B" w:rsidRDefault="007606A4" w:rsidP="00B10ABB">
      <w:r w:rsidRPr="00556A8B">
        <w:t>Las voces recogidas permiten observar cómo los manuales diagnósticos no son vividos únicamente como herramientas técnicas de apoyo clínico, sino como marcos que orientan, condicionan y, en ocasiones, tensionan la práctica profesional. En los relatos se entrecruzan posiciones que reconocen su utilidad para organizar la intervención y facilitar un lenguaje compartido, con otras que cuestionan su aplicación rígida y su impacto en la autopercepción del sujeto. Esta ambivalencia evidencia que los manuales operan simultáneamente como recursos de legitimación científica y como dispositivos que delimitan la comprensión del malestar, reafirmando su lugar central en la configuración contemporánea de la salud mental.</w:t>
      </w:r>
    </w:p>
    <w:p w14:paraId="000DA14B" w14:textId="77777777" w:rsidR="00DE23BF" w:rsidRPr="00556A8B" w:rsidRDefault="00DE23BF" w:rsidP="00B10ABB">
      <w:pPr>
        <w:rPr>
          <w:rFonts w:cs="Times New Roman"/>
          <w:lang w:val="es-MX"/>
        </w:rPr>
      </w:pPr>
    </w:p>
    <w:p w14:paraId="028D42D2" w14:textId="13C432E2" w:rsidR="000E5B14" w:rsidRPr="00556A8B" w:rsidRDefault="000E5B14" w:rsidP="00357B2F">
      <w:pPr>
        <w:pStyle w:val="Ttulo2"/>
        <w:rPr>
          <w:rFonts w:eastAsia="Times New Roman"/>
          <w:lang w:val="es-MX"/>
        </w:rPr>
      </w:pPr>
      <w:bookmarkStart w:id="113" w:name="_Toc232580628"/>
      <w:r w:rsidRPr="00556A8B">
        <w:rPr>
          <w:rFonts w:eastAsia="Times New Roman"/>
          <w:lang w:val="es-MX"/>
        </w:rPr>
        <w:t xml:space="preserve">Discursos hegemónicos sobre salud mental: </w:t>
      </w:r>
      <w:r w:rsidRPr="00556A8B">
        <w:t>del bienestar y la funcionalidad a la adaptación como fórmulas de normalidad</w:t>
      </w:r>
      <w:r w:rsidRPr="00556A8B">
        <w:rPr>
          <w:rFonts w:eastAsia="Times New Roman"/>
          <w:lang w:val="es-MX"/>
        </w:rPr>
        <w:t xml:space="preserve"> </w:t>
      </w:r>
      <w:r w:rsidRPr="00556A8B">
        <w:t>(SM = B + (F × A)ᴺ)</w:t>
      </w:r>
      <w:bookmarkEnd w:id="113"/>
    </w:p>
    <w:p w14:paraId="4D2B17DC" w14:textId="77777777" w:rsidR="00003263" w:rsidRPr="00556A8B" w:rsidRDefault="00440D21" w:rsidP="00B10ABB">
      <w:r w:rsidRPr="00556A8B">
        <w:t>En los discursos analizados, la salud mental se configura predominantemente a partir de una tríada normativa compuesta por bienestar, funcionalidad y adaptación. Esta articulación, que podría sintetizarse metafóricamente como una fórmula de normalidad, instala la idea de que estar "mentalmente sano" implica alcanzar un equilibrio integral entre las distintas dimensiones de la vida: espiritual, familiar, laboral, emocional, académica y social. El participante 1 lo expresa en estos términos: "para mí salud mental es el bienestar… con todas las dimensiones del ser humano: espiritual, laboral, familiar, personal, emocional, académico… buscar de alguna manera el bienestar y el equilibrio en alguna de estas dimensiones." Bajo esta perspectiva, la salud mental se representa como un estado de armonía global, una suerte de plenitud regulada que responde a ideales de balance y coherencia interna. La noción de bienestar, así entendida, deja de ser una experiencia situada para convertirse en un horizonte prescriptivo que orienta la evaluación de sí y de los otros.</w:t>
      </w:r>
    </w:p>
    <w:p w14:paraId="28A9AF70" w14:textId="77777777" w:rsidR="00003263" w:rsidRPr="00556A8B" w:rsidRDefault="00440D21" w:rsidP="00B10ABB">
      <w:r w:rsidRPr="00556A8B">
        <w:t xml:space="preserve">De manera complementaria, emerge un énfasis marcado en la funcionalidad personal y social. La salud mental aparece asociada a la capacidad de cumplir roles, sostener vínculos </w:t>
      </w:r>
      <w:r w:rsidRPr="00556A8B">
        <w:lastRenderedPageBreak/>
        <w:t>productivos y responder eficazmente a las demandas del entorno, como lo señala el participante 4: "la salud mental… como las herramientas y los recursos que las personas tienen para poder vivir… interactuar con otros, para ser funcionales." En determinados contextos institucionales, particularmente laborales, esta concepción adquiere un matiz instrumental: el bienestar se valora en la medida en que garantiza rendimiento, eficiencia y estabilidad conductual. El participante 7 ilustra esta lógica al describir la salud mental como "el funcionamiento de ese sujeto, la adaptación a esos espacios y el logro de los objetivos que tiene planteados en la vida", subrayando que "no es un estado constante; es un estado continuo en el que bajamos, subimos, bajamos." Así, la categoría se desplaza hacia una lógica utilitarista donde el sujeto saludable es aquel que logra mantenerse operativo, regulado y productivo, incluso en escenarios adversos.</w:t>
      </w:r>
    </w:p>
    <w:p w14:paraId="7A61CCE4" w14:textId="77777777" w:rsidR="00003263" w:rsidRPr="00556A8B" w:rsidRDefault="00440D21" w:rsidP="00B10ABB">
      <w:r w:rsidRPr="00556A8B">
        <w:t>Otro eje relevante es el del equilibrio emocional. Para varios discursos, la salud mental se vincula con la capacidad de regular estados internos, gestionar emociones y sostener una estabilidad afectiva que evite los extremos. El participante 2 lo formula como "un equilibrio entre el malestar y el bienestar... regulación de los estados emocionales... momentos de bienestar", mientras que el participante 3 la describe como "una estabilidad… cómo esas habilidades que tenemos cada uno dentro de lo emocional o los recursos para poder afrontar lo que tenemos y poder experimentar diferentes formas de llevar la vida." No obstante, esta lectura tiende a simplificar la complejidad del sufrimiento al equiparar salud con ausencia de emociones "negativas" o con la administración adecuada de aquellas consideradas disfuncionales. De este modo, se refuerza una visión que privilegia la autorregulación constante y minimiza la historicidad, las condiciones sociales y las tensiones estructurales que atraviesan la experiencia emocional.</w:t>
      </w:r>
    </w:p>
    <w:p w14:paraId="6C9E32FE" w14:textId="77777777" w:rsidR="00003263" w:rsidRPr="00556A8B" w:rsidRDefault="00440D21" w:rsidP="00B10ABB">
      <w:r w:rsidRPr="00556A8B">
        <w:t>La adaptabilidad se consolida, a su vez, como un criterio central. El participante 6 lo expresa con claridad: "el concepto de salud mental en la actualidad para mí tiene que ver con la capacidad de adaptarnos y ser flexibles… poder transitar de una manera adecuada y funcional todas esas exigencias que el entorno nos va a citar." Esta perspectiva, sin embargo, tiende a naturalizar el contexto social, económico y político como un dato incuestionable, trasladando al sujeto la responsabilidad de acomodarse a condiciones que, en ocasiones, constituyen la fuente misma de su malestar. La adaptación deviene así en mandato: quien no logra ajustarse queda expuesto a la sospecha de inadecuación o déficit.</w:t>
      </w:r>
    </w:p>
    <w:p w14:paraId="3D321098" w14:textId="77777777" w:rsidR="00003263" w:rsidRPr="00556A8B" w:rsidRDefault="00440D21" w:rsidP="00B10ABB">
      <w:r w:rsidRPr="00556A8B">
        <w:lastRenderedPageBreak/>
        <w:t>También se identifica una concepción negativa de la salud mental, entendida como ausencia de enfermedad, crisis o síntomas. El participante 5 lo ilustra al señalar que "hay suicidios, violencia, agresión, depresión, ansiedad y entonces a raíz de todos esos desajustes que encontramos, pudiéramos decir que a nivel psicopatológico hablamos de que hay poca salud mental en la población", lo que revela cómo lo saludable se define por contraste con lo patológico, reproduciendo un modelo binario que traza fronteras rígidas entre normalidad y anormalidad.</w:t>
      </w:r>
    </w:p>
    <w:p w14:paraId="762F61B4" w14:textId="77777777" w:rsidR="00003263" w:rsidRPr="00556A8B" w:rsidRDefault="00003263" w:rsidP="00B10ABB">
      <w:r w:rsidRPr="00556A8B">
        <w:t>Así</w:t>
      </w:r>
      <w:r w:rsidR="00440D21" w:rsidRPr="00556A8B">
        <w:t>, estas configuraciones discursivas revelan la consolidación de un modelo hegemónico que articula saberes biomédicos y psicológicos en torno a ideales de equilibrio, funcionalidad y adaptación. La salud mental se instituye como un campo normativo que ordena, clasifica y regula, produciendo taxonomías de lo aceptable y lo desviado. Sin embargo, las propias tensiones presentes en los relatos, entre estabilidad y dinamismo, entre bienestar integral e instrumentalización del sujeto, entre adaptación y cuestionamiento del contexto, abren fisuras en esta arquitectura hegemónica. Tales contradicciones permiten problematizar la reducción de la salud mental a una fórmula normativa y evidencian que su definición no es neutra, sino resultado de regímenes de saber, exigencias institucionales y expectativas sociales que configuran quién es reconocido como sano y quién es situado en el margen de la anormalidad.</w:t>
      </w:r>
    </w:p>
    <w:p w14:paraId="799B1AEF" w14:textId="77777777" w:rsidR="00003263" w:rsidRPr="00556A8B" w:rsidRDefault="00003263" w:rsidP="00B10ABB">
      <w:r w:rsidRPr="00556A8B">
        <w:t>Ahora bien</w:t>
      </w:r>
      <w:r w:rsidR="00440D21" w:rsidRPr="00556A8B">
        <w:t>, más que un estado a alcanzar, la salud mental emerge como un imperativo regulado por discursos disciplinares que orientan prácticas, modelan subjetividades y promueven formas específicas de autovigilancia. Los sujetos internalizan estos criterios y se evalúan a sí mismos bajo parámetros de bienestar, productividad y adaptación, inscribiendo su experiencia en una lógica de normalización que trasciende el ámbito clínico para instalarse en la vida cotidiana</w:t>
      </w:r>
      <w:r w:rsidRPr="00556A8B">
        <w:t>.</w:t>
      </w:r>
    </w:p>
    <w:p w14:paraId="314C3F87" w14:textId="6A271D47" w:rsidR="00440D21" w:rsidRPr="00556A8B" w:rsidRDefault="00440D21" w:rsidP="00B10ABB">
      <w:r w:rsidRPr="00556A8B">
        <w:t>Los discursos analizados permiten comprender que la salud mental no opera únicamente como una categoría descriptiva, sino como una matriz normativa que articula bienestar, funcionalidad y adaptación bajo parámetros socialmente validados. Esta fórmula, que aparenta neutralidad técnica, delimita horizontes de inteligibilidad y establece criterios desde los cuales los sujetos son evaluados, clasificados y convocados a autorregularse. No obstante, las tensiones internas identificadas en los relatos muestran que dicha matriz no es homogénea ni incuestionable: en sus fisuras se abre la posibilidad de interrogar críticamente los imperativos de equilibrio y productividad que la sostienen, así como de reconfigurar la comprensión de la salud mental más allá de su reducción a estándares de normalidad funcional.</w:t>
      </w:r>
    </w:p>
    <w:p w14:paraId="296CDA44" w14:textId="4A3581E8" w:rsidR="000E5B14" w:rsidRPr="00556A8B" w:rsidRDefault="000E5B14" w:rsidP="00357B2F">
      <w:pPr>
        <w:pStyle w:val="Ttulo2"/>
      </w:pPr>
      <w:bookmarkStart w:id="114" w:name="_Toc232580629"/>
      <w:r w:rsidRPr="00556A8B">
        <w:rPr>
          <w:rFonts w:eastAsia="Times New Roman"/>
          <w:lang w:val="es-MX"/>
        </w:rPr>
        <w:lastRenderedPageBreak/>
        <w:t xml:space="preserve">Factores estructurales y sociales: </w:t>
      </w:r>
      <w:r w:rsidRPr="00556A8B">
        <w:t>Dispositivos de regulación y control social</w:t>
      </w:r>
      <w:bookmarkEnd w:id="114"/>
    </w:p>
    <w:p w14:paraId="3A6CE7BF" w14:textId="77777777" w:rsidR="00003263" w:rsidRPr="00556A8B" w:rsidRDefault="008A6FA8" w:rsidP="00B10ABB">
      <w:r w:rsidRPr="00556A8B">
        <w:t>Los discursos analizados en torno a los factores estructurales y sociales permiten reconocer que la salud mental no se configura únicamente en el plano clínico o individual, sino que se encuentra atravesada por una red de dispositivos institucionales, administrativos y normativos que orientan su definición y gestión. El participante 7 lo señala con precisión: "lo definen la OMS, la OPS y las instituciones de salud que rigen todas las políticas de salud globalizadas", lo que evidencia cómo organismos transnacionales operan como instancias de regulación que homogenizan criterios y promueven marcos interpretativos que, en ocasiones, desatienden las particularidades contextuales. Las políticas públicas, los sistemas de aseguramiento, los protocolos de atención y los mecanismos de reporte epidemiológico introducen una racionalidad burocrática que traduce el bienestar en indicadores, códigos y estadísticas, como lo expresa el participante 6: "tenemos que rendir cuentas ante un sistema de salud… para hacer vigilancia epidemiológica… marcan unos códigos y unas estadísticas." Bajo esta lógica, el cuidado se articula a exigencias de control, seguimiento y rendición de cuentas, desplazando la experiencia singular del malestar hacia un</w:t>
      </w:r>
      <w:r w:rsidR="00003263" w:rsidRPr="00556A8B">
        <w:t xml:space="preserve"> </w:t>
      </w:r>
      <w:r w:rsidRPr="00556A8B">
        <w:t>registro objetivado que privilegia la medición por encima de la comprensión situada</w:t>
      </w:r>
      <w:r w:rsidR="00003263" w:rsidRPr="00556A8B">
        <w:t>.</w:t>
      </w:r>
    </w:p>
    <w:p w14:paraId="0D6500AE" w14:textId="77777777" w:rsidR="00003263" w:rsidRPr="00556A8B" w:rsidRDefault="008A6FA8" w:rsidP="00B10ABB">
      <w:r w:rsidRPr="00556A8B">
        <w:t>En este sentido, el modelo biomédico continúa ocupando un lugar central. El participante 2 describe con claridad esta tensión: "acá en la academia hacemos crítica... pero cuando uno ve en la realidad fuera de la academia, uno ve, ejemplo, EPS, consultorios privados, que rápidamente nos conectamos mucho con los servicios del modelo biomédico", señalando que esta dinámica "tiene que ver un tema político" relacionado con la forma en que se configura el sistema de salud. Aunque en el ámbito académico se formulan críticas a su reduccionismo, en la práctica institucional persisten estructuras que privilegian la intervención psicofarmacológica y la estandarización de procedimientos. El participante 4 reconoce esta captura al afirmar que "es un modelo médico… que nosotros como psicólogos… cogemos… por ser profesionales de la salud", revelando cómo la inserción de la psicología en marcos regulatorios sanitarios la legitima como saber científico pero simultáneamente restringe su margen de acción, subordinándola a lógicas administrativas y a criterios de eficiencia propios del sistema sanitario.</w:t>
      </w:r>
    </w:p>
    <w:p w14:paraId="13FC5902" w14:textId="77777777" w:rsidR="00003263" w:rsidRPr="00556A8B" w:rsidRDefault="008A6FA8" w:rsidP="00B10ABB">
      <w:r w:rsidRPr="00556A8B">
        <w:t xml:space="preserve">De manera complementaria, los discursos evidencian cómo diversos saberes participan en la consolidación de este entramado. El participante 1 señala que "todas las ciencias sociales… siempre tienen inmerso el discurso de salud mental… ahora todos realmente como que están </w:t>
      </w:r>
      <w:r w:rsidRPr="00556A8B">
        <w:lastRenderedPageBreak/>
        <w:t>aportando a la construcción", lo que sugiere que lejos de generar necesariamente una pluralidad crítica, en muchos casos estos saberes refuerzan el predominio del modelo médico al adoptar sus categorías y marcos de referencia. Por su parte, el participante 3 advierte que los sistemas clasificatorios "son una clasificación necesaria para efectos investigativos, para efectos de salud por países, por contextos. Para poder saber rutas y que la población no se salga de las manos", enunciado que revela con transparencia la función de control poblacional que subyace a la racionalidad clasificatoria. El participante 5 lo confirma al reconocer que la institucionalidad opera, en algunos contextos, como "un lugar de control, más desde la institucionalidad."</w:t>
      </w:r>
    </w:p>
    <w:p w14:paraId="13FC7D60" w14:textId="77777777" w:rsidR="00003263" w:rsidRPr="00556A8B" w:rsidRDefault="00003263" w:rsidP="00B10ABB">
      <w:r w:rsidRPr="00556A8B">
        <w:t>E</w:t>
      </w:r>
      <w:r w:rsidR="008A6FA8" w:rsidRPr="00556A8B">
        <w:t>stos elementos muestran que la salud mental se produce en un campo atravesado por regulaciones legales, institucionales y disciplinares que reproducen una lógica de control y estandarización. Las tensiones identificadas, entre la retórica del bienestar y la primacía de la normatividad, entre la crítica académica y la inercia institucional, entre la diversidad disciplinar y la hegemonía biomédica, revelan que este campo funciona como un dispositivo de normalización de la subjetividad. Al mismo tiempo, dichas tensiones abren la posibilidad de cuestionar críticamente las formas en que se gobierna el malestar y de pensar alternativas que sitúen el cuidado más allá de la mera regulación administrativa.</w:t>
      </w:r>
    </w:p>
    <w:p w14:paraId="112E59F9" w14:textId="00C4ABB9" w:rsidR="008A6FA8" w:rsidRPr="00556A8B" w:rsidRDefault="008A6FA8" w:rsidP="00B10ABB">
      <w:r w:rsidRPr="00556A8B">
        <w:t>Así, entonces, los factores estructurales y sociales evidencian que la salud mental no puede comprenderse al margen de las tramas institucionales, políticas y económicas que la producen y la administran. Lejos de ser un ámbito exclusivamente clínico, se configura como un campo estratégico donde convergen saberes expertos, normativas estatales y dispositivos globales que ordenan, clasifican y gestionan la vida psíquica. Esta articulación entre conocimiento y regulación muestra que el cuidado se encuentra tensionado por lógicas de control que, al tiempo que buscan garantizar atención y cobertura, delimitan los modos legítimos de nombrar y abordar el malestar. Reconocer esta dimensión estructural no implica negar la importancia de la intervención profesional, sino situarla críticamente en el entramado de poder en el que opera, abriendo la posibilidad de pensar prácticas que, más allá de reproducir la estandarización, logren interpelar las condiciones sociales que configuran el sufrimiento.</w:t>
      </w:r>
    </w:p>
    <w:p w14:paraId="54767596" w14:textId="77777777" w:rsidR="00DE23BF" w:rsidRPr="00556A8B" w:rsidRDefault="00DE23BF" w:rsidP="000162FA">
      <w:pPr>
        <w:rPr>
          <w:rFonts w:eastAsia="Times New Roman" w:cs="Times New Roman"/>
          <w:b/>
          <w:lang w:val="es-MX"/>
        </w:rPr>
      </w:pPr>
    </w:p>
    <w:p w14:paraId="46262A57" w14:textId="3D0C455C" w:rsidR="000E5B14" w:rsidRPr="00556A8B" w:rsidRDefault="000E5B14" w:rsidP="00357B2F">
      <w:pPr>
        <w:pStyle w:val="Ttulo2"/>
      </w:pPr>
      <w:bookmarkStart w:id="115" w:name="_Toc232580630"/>
      <w:r w:rsidRPr="00556A8B">
        <w:rPr>
          <w:rFonts w:eastAsia="Times New Roman"/>
          <w:lang w:val="es-MX"/>
        </w:rPr>
        <w:lastRenderedPageBreak/>
        <w:t>Factores estructurales y sociales:</w:t>
      </w:r>
      <w:r w:rsidRPr="00556A8B">
        <w:t xml:space="preserve"> la salud mental como construcción relacional y material</w:t>
      </w:r>
      <w:bookmarkEnd w:id="115"/>
    </w:p>
    <w:p w14:paraId="376415AC" w14:textId="77777777" w:rsidR="008A6FA8" w:rsidRPr="00556A8B" w:rsidRDefault="000E5B14" w:rsidP="00B10ABB">
      <w:r w:rsidRPr="00556A8B">
        <w:rPr>
          <w:rFonts w:cs="Times New Roman"/>
        </w:rPr>
        <w:tab/>
      </w:r>
      <w:r w:rsidR="008A6FA8" w:rsidRPr="00556A8B">
        <w:t>Los discursos analizados permiten comprender la salud mental como una realidad profundamente atravesada por los contextos de socialización en los que se configuran los sujetos. Los ámbitos familiar, educativo, laboral y social no solo intervienen en la conformación de la identidad, sino que también delimitan los marcos desde los cuales se interpreta y se experimenta el malestar. El participante 1 lo expresa así: "tiene que ver con asuntos familiares… como la experiencia que ha tenido desde lo familiar… en todos los contextos donde se mueve… contexto familiar, laboral, social", señalando que la experiencia subjetiva no puede desvincularse de las tramas relacionales que la constituyen. En este sentido, la salud mental emerge como una construcción relacional y situada, distante de aquellas perspectivas individualistas que atribuyen exclusivamente al sujeto la responsabilidad de gestionar su bienestar. Reconocer el peso del entorno implica comprender el sufrimiento no como una falla individual, sino como el efecto de dinámicas históricas, culturales y colectivas que condicionan las trayectorias vitales.</w:t>
      </w:r>
    </w:p>
    <w:p w14:paraId="15A0466C" w14:textId="77777777" w:rsidR="008A6FA8" w:rsidRPr="00556A8B" w:rsidRDefault="008A6FA8" w:rsidP="00B10ABB">
      <w:r w:rsidRPr="00556A8B">
        <w:t>De manera reiterada, los relatos subrayan que las condiciones materiales constituyen un fundamento para la posibilidad misma del bienestar. El participante 4 lo plantea de manera contundente: "no le puedes pedir a una persona que no tiene sus necesidades básicas cubiertas… que tenga salud mental", mientras que el participante 2 vincula directamente el bienestar con la posibilidad de "tener condiciones adecuadas para vivir… poder existir con condiciones adecuadas y dignas." El participante 5 radicaliza esta lectura al afirmar que "la salud mental está completamente ligada a la precariedad. Es imposible estar bien cuando la única meta del día es ver cómo pagas el arriendo y la comida. El estrés de la deuda es una enfermedad silenciosa." Desde esta perspectiva, los discursos cuestionan los enfoques que reducen el cuidado a la gestión emocional individual, señalando que el autocuidado se vuelve insuficiente cuando no están garantizadas las bases materiales mínimas para sostener la vida. Así, la dimensión económica y social deja de ser un contexto periférico para convertirse en un elemento constitutivo de la experiencia subjetiva.</w:t>
      </w:r>
    </w:p>
    <w:p w14:paraId="40BA5608" w14:textId="77777777" w:rsidR="008A6FA8" w:rsidRPr="00556A8B" w:rsidRDefault="008A6FA8" w:rsidP="00B10ABB">
      <w:r w:rsidRPr="00556A8B">
        <w:t xml:space="preserve">Asimismo, las presiones asociadas al mercado laboral y a las exigencias de rendimiento aparecen como factores determinantes en la producción contemporánea del malestar. El participante 3 lo señala con claridad: "influyen factores en el adulto muy determinantes como el tema económico, como el lugar que tienen que ocupar en términos laborales y en términos </w:t>
      </w:r>
      <w:r w:rsidRPr="00556A8B">
        <w:lastRenderedPageBreak/>
        <w:t>sociales." El lugar que los sujetos ocupan en la estructura económica influye directamente en sus posibilidades de experimentar estabilidad o angustia. Las demandas de productividad, eficiencia y éxito tienden a transformar el estrés y el agotamiento en indicadores de inadecuación personal, invisibilizando las condiciones estructurales que los generan. El participante 6 lo describe en estos términos: "no es solo lo que uno trae de casa, sino cómo la sociedad te exige que seas. El constante juicio, la presión por el éxito, por tener 'la vida perfecta' que ves en redes, eso es una carga social enorme que termina agobiando tu cabeza." Bajo esta lógica, el malestar se privatiza y se interpreta como incapacidad individual para adaptarse, desplazando la atención de las dinámicas sociales que lo producen.</w:t>
      </w:r>
    </w:p>
    <w:p w14:paraId="47833E9B" w14:textId="77777777" w:rsidR="008A6FA8" w:rsidRPr="00556A8B" w:rsidRDefault="008A6FA8" w:rsidP="00B10ABB">
      <w:r w:rsidRPr="00556A8B">
        <w:t>En este escenario, la subjetividad queda permanentemente evaluada según su capacidad de ser funcional y productiva. El bienestar se convierte en un privilegio condicionado por el rendimiento, mientras que el sufrimiento es rápidamente patologizado. La salud mental se configura entonces como un campo privilegiado para la producción de subjetividades autorreguladas, alineadas con las exigencias de una racionalidad neoliberal que exige adaptación constante y autogestión emocional.</w:t>
      </w:r>
    </w:p>
    <w:p w14:paraId="1105A803" w14:textId="0ED419B3" w:rsidR="008A6FA8" w:rsidRPr="00556A8B" w:rsidRDefault="008A6FA8" w:rsidP="00B10ABB">
      <w:r w:rsidRPr="00556A8B">
        <w:t xml:space="preserve">De forma consistente, los participantes señalan que no es posible exigir estándares de estabilidad psicológica a quienes enfrentan precariedad estructural. La falta de recursos económicos, la inestabilidad laboral y las condiciones de vida indignas operan como límites materiales que condicionan cualquier discurso sobre promoción del bienestar. En este sentido, la salud mental aparece no como una conquista exclusivamente personal, sino como una posibilidad dependiente de condiciones sociales que deben ser garantizadas colectivamente. Esta lectura interpela directamente a las políticas públicas y a los sistemas de atención, al evidenciar que no puede recaer únicamente en el </w:t>
      </w:r>
      <w:r w:rsidR="00914AB5">
        <w:t>sujet</w:t>
      </w:r>
      <w:r w:rsidR="00914AB5" w:rsidRPr="00556A8B">
        <w:t xml:space="preserve">o </w:t>
      </w:r>
      <w:r w:rsidRPr="00556A8B">
        <w:t>la responsabilidad de sostener su equilibrio emocional.</w:t>
      </w:r>
    </w:p>
    <w:p w14:paraId="210B3D8E" w14:textId="77777777" w:rsidR="008A6FA8" w:rsidRPr="00556A8B" w:rsidRDefault="008A6FA8" w:rsidP="00B10ABB">
      <w:r w:rsidRPr="00556A8B">
        <w:t>Así, el análisis permite afirmar que la salud mental no se reduce a la resiliencia individual, sino que se inscribe en un entramado complejo de determinantes estructurales, políticos y socioculturales. La apelación constante a la resiliencia puede operar como estrategia de despolitización, al trasladar al sujeto la responsabilidad de adaptarse a condiciones que exceden su control. Así, este apartado muestra cómo la categoría de salud mental se articula inseparablemente con la materialidad de la vida social, revelando la necesidad de comprender el bienestar no solo como experiencia subjetiva, sino como resultado de condiciones históricas concretas.</w:t>
      </w:r>
    </w:p>
    <w:p w14:paraId="4745287B" w14:textId="77777777" w:rsidR="008A6FA8" w:rsidRPr="00556A8B" w:rsidRDefault="008A6FA8" w:rsidP="00B10ABB">
      <w:r w:rsidRPr="00556A8B">
        <w:lastRenderedPageBreak/>
        <w:t>Las citas presentadas refuerzan esta lectura al situar la salud mental en una trama donde familia, economía, trabajo y expectativas sociales se entrelazan en la experiencia cotidiana del malestar y el bienestar. Los participantes no la describen como un estado aislado del contexto, sino como una condición profundamente condicionada por las posibilidades materiales de existencia y por las exigencias culturales de rendimiento y éxito. De este modo, los testimonios evidencian que la salud mental no puede pensarse al margen de la precariedad, la desigualdad y las presiones sociales contemporáneas, consolidando la idea de que se trata de una construcción relacional y material, antes que de un atributo estrictamente individual.</w:t>
      </w:r>
    </w:p>
    <w:p w14:paraId="3C6A1C4E" w14:textId="77777777" w:rsidR="002D61C9" w:rsidRPr="00556A8B" w:rsidRDefault="002D61C9" w:rsidP="00357B2F"/>
    <w:p w14:paraId="43B4A20C" w14:textId="751789AB" w:rsidR="000E5B14" w:rsidRPr="00556A8B" w:rsidRDefault="000E5B14" w:rsidP="00357B2F">
      <w:pPr>
        <w:pStyle w:val="Ttulo2"/>
        <w:rPr>
          <w:rFonts w:eastAsia="Times New Roman"/>
          <w:lang w:val="es-MX"/>
        </w:rPr>
      </w:pPr>
      <w:bookmarkStart w:id="116" w:name="_Toc232580631"/>
      <w:r w:rsidRPr="00556A8B">
        <w:rPr>
          <w:rFonts w:eastAsia="Times New Roman"/>
          <w:lang w:val="es-MX"/>
        </w:rPr>
        <w:t xml:space="preserve">Factores estructurales y sociales:  </w:t>
      </w:r>
      <w:r w:rsidRPr="00556A8B">
        <w:t>Subjetivación neoliberal</w:t>
      </w:r>
      <w:bookmarkEnd w:id="116"/>
    </w:p>
    <w:p w14:paraId="3A357A06" w14:textId="77777777" w:rsidR="00003263" w:rsidRPr="00556A8B" w:rsidRDefault="00003263" w:rsidP="00B10ABB">
      <w:r w:rsidRPr="00556A8B">
        <w:t>L</w:t>
      </w:r>
      <w:r w:rsidR="008A6FA8" w:rsidRPr="00556A8B">
        <w:t>a salud mental aparece fuertemente atravesada por una racionalidad neoliberal que redefine el bienestar como mandato y no como experiencia situada. Tranquilidad, felicidad, productividad y funcionalidad emergen menos como estados posibles y más como exigencias normativas que el sujeto debe encarnar, como lo expresa el participante 7: "la cultura contemporánea… le propone a la gente… felicidad, la adaptación, la riqueza, el logro, la facilidad, el alcanzar todo lo que uno quiere… eso enferma a la gente." Bajo esta lógica, el malestar deja de comprenderse como respuesta legítima a condiciones sociales, históricas o vinculares, y pasa a leerse como signo de inadecuación individual frente a un ideal hegemónico de éxito y autorrealización. El participante 4 lo describe como "un discurso… que termina siendo discurso de prácticas saludables… que las personas tienen que encontrar ese estado de bienestar", revelando cómo el bienestar se instituye como imperativo antes que como posibilidad. Así, la salud mental se convierte en un indicador de ajuste al modelo cultural dominante, donde la adaptabilidad constante y el logro personal funcionan como criterios implícitos de normalidad.</w:t>
      </w:r>
    </w:p>
    <w:p w14:paraId="040BE5C4" w14:textId="77777777" w:rsidR="00003263" w:rsidRPr="00556A8B" w:rsidRDefault="00003263" w:rsidP="00B10ABB">
      <w:r w:rsidRPr="00556A8B">
        <w:t>S</w:t>
      </w:r>
      <w:r w:rsidR="008A6FA8" w:rsidRPr="00556A8B">
        <w:t>e evidencia</w:t>
      </w:r>
      <w:r w:rsidRPr="00556A8B">
        <w:t>, también,</w:t>
      </w:r>
      <w:r w:rsidR="008A6FA8" w:rsidRPr="00556A8B">
        <w:t xml:space="preserve"> un proceso de tecnificación y mercantilización del bienestar. El participante 1 ilustra esta transformación al señalar que "mi psicólogo es mi amiga, ya es el chat GPT, ya es meta, ya son las aplicaciones", evidenciando cómo el cuidado migra hacia plataformas digitales y dispositivos tecnológicos que prometen soluciones rápidas y accesibles. El participante 3 profundiza en esta lógica al advertir que "se está volviendo una necesidad que tengo que estar bien… y como tengo que estar bien, busco lo que sea para estar bien", añadiendo que "hay un acceso gigante a reconocer o a ver… técnicas para pasar la depresión, técnicas para pasar una ansiedad… pero nos estamos olvidando del humano que hay ahí." Esta lógica </w:t>
      </w:r>
      <w:r w:rsidR="008A6FA8" w:rsidRPr="00556A8B">
        <w:lastRenderedPageBreak/>
        <w:t>transforma el cuidado en consumo y el sufrimiento en problema técnico susceptible de optimización, subordinando la dimensión humana, relacional y política del malestar a una narrativa de autogestión instrumental donde el objetivo no es comprender la experiencia sino administrarla eficazmente para mantener la funcionalidad.</w:t>
      </w:r>
    </w:p>
    <w:p w14:paraId="206F3D19" w14:textId="77777777" w:rsidR="00003263" w:rsidRPr="00556A8B" w:rsidRDefault="008A6FA8" w:rsidP="00B10ABB">
      <w:r w:rsidRPr="00556A8B">
        <w:t>Otro rasgo distintivo es el debilitamiento de los vínculos comunitarios y el fortalecimiento del individualismo como principio organizador de la subjetividad. El participante 5 lo señala al obsevar que "tenemos mucha necesidad de aprobación. Necesitamos, creemos que el otro es muy importante en la vida. La gente, por ejemplo, a la gente le cuesta vivir en soledad", describiendo cómo la aprobación externa y la visibilidad social se convierten en reguladores del valor personal. En este escenario, la subjetividad se configura como proyecto individual que debe ser gestionado estratégicamente, situando al sujeto en una tensión constante entre la dependencia de la mirada del otro y el imperativo de autosuficiencia.</w:t>
      </w:r>
    </w:p>
    <w:p w14:paraId="6D9EF7CE" w14:textId="77777777" w:rsidR="00003263" w:rsidRPr="00556A8B" w:rsidRDefault="008A6FA8" w:rsidP="00B10ABB">
      <w:r w:rsidRPr="00556A8B">
        <w:t>Se perfila la figura del sujeto hiperproductivo, emocionalmente competente y permanentemente autorregulado, responsable de optimizar sus pensamientos, emociones y relaciones para responder a las exigencias del entorno. El participante 6 lo expresa con claridad: "siempre va a tener exigencias que lo desbordan… transitar de manera funcional todas esas exigencias que el entorno nos va a citar", mientras que el participante 2 articula el bienestar a la posibilidad de "tener buenas relaciones, tener un buen manejo emocional, tener como gratuidad las necesidades básicas… que les genera a ellos como el tema de estar bien." Lejos de garantizar salud mental, esta racionalidad produce nuevas formas de malestar al imponer estándares inalcanzables de equilibrio y rendimiento.</w:t>
      </w:r>
    </w:p>
    <w:p w14:paraId="42777AC3" w14:textId="65C91106" w:rsidR="008A6FA8" w:rsidRPr="00556A8B" w:rsidRDefault="008A6FA8" w:rsidP="00B10ABB">
      <w:r w:rsidRPr="00556A8B">
        <w:t>En este sentido, el neoliberalismo opera como dispositivo de subjetivación que convierte la salud mental en un proyecto empresarial del yo. El sujeto es llamado a monitorear, evaluar y mejorar continuamente su estado emocional como si se tratara de un capital que debe invertirse y rentabilizarse. El sufrimiento se privatiza y se despolitiza: deja de entenderse como fenómeno socialmente producido para convertirse en responsabilidad individual. De este modo, la promesa de bienestar se transforma en mandato moral, y cualquier fisura emocional es leída como falla personal que debe corregirse mediante técnicas de autogestión. La salud mental se consolida, entonces, como un régimen de verdad atravesado por lógicas mercantiles que moldean los modos legítimos de sentir, adaptarse y existir.</w:t>
      </w:r>
    </w:p>
    <w:p w14:paraId="1775C0D0" w14:textId="1B72AF86" w:rsidR="00003263" w:rsidRPr="00556A8B" w:rsidRDefault="008A6FA8" w:rsidP="00B10ABB">
      <w:r w:rsidRPr="00556A8B">
        <w:lastRenderedPageBreak/>
        <w:t>Las citas expuestas permiten observar cómo esta racionalidad neoliberal no opera únicamente en el plano teórico, sino que se encarna en prácticas cotidianas, lenguajes y expectativas concretas sobre lo que significa "estar bien". En ellas se evidencia la internalización del mandato de felicidad, la búsqueda incesante de técnicas de optimización emocional y la naturalización de la exigencia de adaptación permanente. De este modo, la salud mental aparece configurada como un ideal regulador que organiza la experiencia subjetiva bajo parámetros de logro, eficiencia y autogestión, confirmando que el bienestar contemporáneo se encuentra profundamente imbricado con las lógicas culturales y económicas que estructuran el presente.</w:t>
      </w:r>
    </w:p>
    <w:p w14:paraId="0780C545" w14:textId="3964FD3D" w:rsidR="000E5B14" w:rsidRPr="00556A8B" w:rsidRDefault="000E5B14" w:rsidP="00003263">
      <w:pPr>
        <w:pStyle w:val="Ttulo2"/>
      </w:pPr>
      <w:bookmarkStart w:id="117" w:name="_Toc232580632"/>
      <w:r w:rsidRPr="00556A8B">
        <w:t>Intervención y clínica: la terapia como espacio de ajuste y normalización</w:t>
      </w:r>
      <w:bookmarkEnd w:id="117"/>
    </w:p>
    <w:p w14:paraId="3232F921" w14:textId="79EA914F" w:rsidR="00F73346" w:rsidRPr="00556A8B" w:rsidRDefault="008A6FA8" w:rsidP="00B10ABB">
      <w:r w:rsidRPr="00556A8B">
        <w:t xml:space="preserve">La intervención psicoterapéutica emerge en los discursos como un espacio privilegiado de reorganización subjetiva, en el que el sujeto es convocado a asumir una posición activa frente a su malestar. La terapia se configura como un escenario de ajuste adaptativo donde comprender el sufrimiento, identificar recursos personales y redefinir metas vitales se convierten en tareas centrales. El participante 1 lo expresa en estos términos: "cuando yo me responsabilizo… paso a ver cuáles son los recursos que tengo… para mantener mi salud mental, o para reacomodarla, o readaptarme", enunciado que revela cómo la práctica terapéutica orienta al sujeto hacia una posición de autogestión y readaptación. Bajo esta lógica, el trabajo clínico no se limita a escuchar o acompañar el dolor, sino que lo traduce en un proceso de readaptación que busca restablecer el equilibrio del </w:t>
      </w:r>
      <w:r w:rsidR="0052782C">
        <w:t>sujeto</w:t>
      </w:r>
      <w:r w:rsidR="0052782C" w:rsidRPr="00556A8B">
        <w:t xml:space="preserve"> </w:t>
      </w:r>
      <w:r w:rsidRPr="00556A8B">
        <w:t>frente a las demandas del entorno. La práctica terapéutica, en este sentido, opera como una tecnología de reacomodación subjetiva orientada a garantizar funcionalidad y capacidad de respuesta ante contextos cambiantes.</w:t>
      </w:r>
    </w:p>
    <w:p w14:paraId="1EE1E2C1" w14:textId="77777777" w:rsidR="008A6FA8" w:rsidRPr="00556A8B" w:rsidRDefault="008A6FA8" w:rsidP="00B10ABB">
      <w:r w:rsidRPr="00556A8B">
        <w:t>Al mismo tiempo, los relatos reconocen que la terapia también se presenta como un espacio de aceptación e integración del malestar. El participante 2 lo problematiza al preguntar: "si la ansiedad no se va a ir, ¿qué?… si el objetivo… es ya no volver a sentir ansiedad… hay un cuestionamiento desde allí", señalando una tensión entre la promesa de eliminar el síntoma y la posibilidad de aprender a convivir con él. El participante 6 describe con precisión este desplazamiento: "la terapia hoy te enseña que el problema no es que tengas ansiedad, sino que no has encontrado tu método para gestionarla. Te dicen: okay, no puedo cambiar al otro, pero sí puedo administrar mi reacción", lo que evidencia cómo incluso esta apertura puede inscribirse en una lógica reguladora, en la medida en que el objetivo continúa siendo lograr una adaptación viable y funcional dentro de los parámetros socialmente establecidos.</w:t>
      </w:r>
    </w:p>
    <w:p w14:paraId="5AC4D097" w14:textId="77777777" w:rsidR="008A6FA8" w:rsidRPr="00556A8B" w:rsidRDefault="008A6FA8" w:rsidP="00B10ABB">
      <w:r w:rsidRPr="00556A8B">
        <w:lastRenderedPageBreak/>
        <w:t>De forma paralela, la psicoterapia aparece como una práctica que produce y consolida estándares de normalidad. El participante 3 lo formula de manera directa: "yo pienso que la psicología le da soporte teórico y técnico a la sociedad para la construcción de unos estándares de adaptación o no adaptación", mientras que el participante 5 lo describe desde la experiencia del propio sujeto: "todo el mundo está buscando un diagnóstico para justificar por qué no encaja en la norma de ser feliz y productivo. Se ha vuelto una especie de policía de la normalidad. La psicología te da el manual de cómo debes comportarte, y si sientes algo 'incómodo' o 'disfuncional', inmediatamente es una falla que hay que enmendar con una herramienta o una etiqueta." Al apoyarse en marcos teóricos, diagnósticos y técnicas validadas disciplinariamente, la intervención delimita qué modos de sentir, pensar y actuar son considerados adecuados o desajustados. El participante 4 ilustra esta diferenciación técnica al señalar que es necesario distinguir "pacientes de conflicto… pacientes que tienen patologías de órdenes estructural… utilizaremos… psicoterapia psicoanalítica de apoyo más reafirmativo", evidenciando cómo la clasificación continúa orientando la intervención incluso dentro de marcos que se reconocen como más complejos.</w:t>
      </w:r>
    </w:p>
    <w:p w14:paraId="4B831FD3" w14:textId="52670EDF" w:rsidR="008A6FA8" w:rsidRPr="00556A8B" w:rsidRDefault="00003263" w:rsidP="00B10ABB">
      <w:r w:rsidRPr="00556A8B">
        <w:t>L</w:t>
      </w:r>
      <w:r w:rsidR="008A6FA8" w:rsidRPr="00556A8B">
        <w:t>a terapia se configura</w:t>
      </w:r>
      <w:r w:rsidRPr="00556A8B">
        <w:t>, entonces,</w:t>
      </w:r>
      <w:r w:rsidR="008A6FA8" w:rsidRPr="00556A8B">
        <w:t xml:space="preserve"> como un escenario ambivalente: espacio de acompañamiento y, simultáneamente, de regulación. El participante 7 lo expresa con contundencia: "cuando el terapeuta te dice que 'tienes que ser resiliente', te está pidiendo que te cambies las condiciones que te enferman. Es un mandato de adaptación forzada", enunciado que desnuda la función normalizadora que puede operar bajo el lenguaje del cuidado. Las estrategias clínicas promueven la autorresponsabilidad, la autogestión emocional y la resiliencia, configurando sujetos capaces de administrarse a sí mismos frente a la adversidad. De este modo, la intervención psicológica no solo busca aliviar el sufrimiento, sino que contribuye a producir subjetividades funcionales y adaptativas, alineadas con los imperativos contemporáneos de equilibrio, productividad y autocontrol. La clínica, así entendida, se convierte en un dispositivo que articula cuidado y normalización, transformación personal y ajuste social.</w:t>
      </w:r>
    </w:p>
    <w:p w14:paraId="235ECF92" w14:textId="07406465" w:rsidR="00DE23BF" w:rsidRPr="00556A8B" w:rsidRDefault="008A6FA8" w:rsidP="00B10ABB">
      <w:r w:rsidRPr="00556A8B">
        <w:t xml:space="preserve">Las citas evidencian la ambivalencia que atraviesa la práctica clínica: mientras la terapia es concebida como un espacio de apoyo, comprensión y crecimiento, también aparece vinculada a la producción de estándares de adaptación y funcionamiento. Los fragmentos muestran cómo la responsabilidad individual, la gestión emocional y la necesidad de "ajustarse" a ciertos parámetros se instalan como ejes centrales del proceso terapéutico. De este modo, la clínica no </w:t>
      </w:r>
      <w:r w:rsidRPr="00556A8B">
        <w:lastRenderedPageBreak/>
        <w:t>solo acompaña el sufrimiento, sino que participa activamente en la configuración de modos legítimos de ser y de habitar el malestar, reafirmando su lugar como práctica situada en la intersección entre cuidado y regulación.</w:t>
      </w:r>
    </w:p>
    <w:p w14:paraId="689DA3E9" w14:textId="5F8AF026" w:rsidR="000E5B14" w:rsidRPr="00556A8B" w:rsidRDefault="000E5B14" w:rsidP="00357B2F">
      <w:pPr>
        <w:pStyle w:val="Ttulo2"/>
        <w:rPr>
          <w:rFonts w:eastAsia="Times New Roman"/>
          <w:lang w:val="es-MX"/>
        </w:rPr>
      </w:pPr>
      <w:bookmarkStart w:id="118" w:name="_Toc232580633"/>
      <w:r w:rsidRPr="00556A8B">
        <w:rPr>
          <w:rFonts w:eastAsia="Times New Roman"/>
          <w:lang w:val="es-MX"/>
        </w:rPr>
        <w:t xml:space="preserve">Intervención y clínica: </w:t>
      </w:r>
      <w:r w:rsidRPr="00556A8B">
        <w:t>Tecnologías de subjetivación y control</w:t>
      </w:r>
      <w:bookmarkEnd w:id="118"/>
    </w:p>
    <w:p w14:paraId="21632986" w14:textId="77777777" w:rsidR="008B0E25" w:rsidRPr="00556A8B" w:rsidRDefault="008B0E25" w:rsidP="00B10ABB">
      <w:r w:rsidRPr="00556A8B">
        <w:t>En la práctica clínica, la intervención no se reduce a la transformación de síntomas ni al desarrollo de estrategias de afrontamiento frente al malestar. Se configura, más bien, como un entramado relacional donde se producen efectos de subjetivación tanto en el paciente como en el psicoterapeuta. El espacio terapéutico instituye una forma particular de sujeción, mediada por el vínculo, la transferencia y la contratransferencia, en la que las emociones y las posiciones asumidas por cada uno influyen en la dirección del proceso, como lo señala el participante 1: "cuando hay una contratransferencia negativa, eso obstaculiza el proceso, entonces, por lo tanto, afecta al paciente." Lejos de constituirse como un escenario neutral u horizontal, la clínica se despliega como un campo atravesado por relaciones de saber y poder que orientan modos específicos de pensar, sentir y actuar.</w:t>
      </w:r>
    </w:p>
    <w:p w14:paraId="743CB3D2" w14:textId="77777777" w:rsidR="008B0E25" w:rsidRPr="00556A8B" w:rsidRDefault="008B0E25" w:rsidP="00B10ABB">
      <w:r w:rsidRPr="00556A8B">
        <w:t>La estructura misma de la intervención evidencia que la práctica clínica está inevitablemente impregnada por la subjetividad del terapeuta. El participante 2 lo describe con claridad: "cómo se inicia la sesión terapéutica… los encuadres que se hacen al principio, la forma que se invita a cerrar… yo creo que en cada una de esas partes de la sesión está esa opinión personal", revelando cómo cada decisión técnica y cada gesto contienen una dimensión discursiva que incide en la manera en que el sujeto se comprende a sí mismo. Así, la clínica no opera como un simple espacio de descubrimiento de una verdad interior preexistente, sino como un campo relacional donde convergen biografías, marcos teóricos, posicionamientos éticos y racionalidades profesionales que delimitan lo que puede ser dicho, pensado y sentido como saludable o patológico.</w:t>
      </w:r>
    </w:p>
    <w:p w14:paraId="57CB7DB1" w14:textId="38ADA12E" w:rsidR="008B0E25" w:rsidRPr="00556A8B" w:rsidRDefault="008B0E25" w:rsidP="00B10ABB">
      <w:r w:rsidRPr="00556A8B">
        <w:t xml:space="preserve">En este contexto, las técnicas psicológicas pueden comprenderse como </w:t>
      </w:r>
      <w:r w:rsidR="00D5744D">
        <w:t xml:space="preserve">tecncias de sí; </w:t>
      </w:r>
      <w:r w:rsidRPr="00556A8B">
        <w:t xml:space="preserve">dispositivos que median la producción de subjetividad al invitar al sujeto a examinarse, autorregularse y ajustarse a determinados parámetros de funcionamiento. El participante 3 ilustra esta pluralidad técnica al señalar que existen "opciones de prácticas o técnicas… pero siempre los invito a que no todo el mundo le sirven las mismas cosas… explorar qué me funciona a mí", mencionando entre ellas el "mindfulness… relajación, introspección, observación, técnicas cognitivas, conductuales, diálogo." En el mismo sentido, el participante 4 describe el trabajo </w:t>
      </w:r>
      <w:r w:rsidRPr="00556A8B">
        <w:lastRenderedPageBreak/>
        <w:t>terapéutico como un proceso orientado a "aceptar esas emociones o… transitar esas emociones que le van siendo más displacenteras", mientras que el participante 6 señala que la construcción de un programa implica "una revisión sistemática… analizamos ventajas, desventajas, efectos adversos… y ese es un criterio fundamental para la toma de decisiones." Aunque suelen presentarse como herramientas flexibles y personalizadas, estas estrategias continúan ancladas a estándares normativos que definen lo que se considera adaptación, equilibrio o bienestar, constituyendo prácticas que promueven una ética de autogestión emocional y autocontrol.</w:t>
      </w:r>
    </w:p>
    <w:p w14:paraId="03C53914" w14:textId="77777777" w:rsidR="00471440" w:rsidRPr="00556A8B" w:rsidRDefault="008B0E25" w:rsidP="00B10ABB">
      <w:r w:rsidRPr="00556A8B">
        <w:t>Si bien el espacio terapéutico se describe como un proceso de construcción conjunta, la bidireccionalidad del vínculo no elimina la asimetría inherente al lugar del terapeuta. El participante 5 reconoce esta dimensión al afirmar que "eso implica un crecimiento mutuo, usted me enseña, yo aprendo, yo le enseño y usted aprende", mientras que el participante 7 lo describe como "un proceso donde alguien necesita entender algo que le es enigmático… y él va para ir preguntándose por eso, y empieza a trasegar ese camino", enunciado que sugiere que es el terapeuta quien delimita el marco interpretativo desde un saber legitimado, validando narrativas y otorgando sentido a la experiencia del consultante. En consecuencia, la subjetividad no aparece como un dato que simplemente se revela, sino como una configuración dinámica que se co-produce en el intercambio clínico, donde el paciente aprende a narrarse a partir de categorías psicológicas —trauma, resiliencia, apego, empoderamiento— que funcionan como matrices de inteligibilidad desde las cuales se organiza la identidad.</w:t>
      </w:r>
    </w:p>
    <w:p w14:paraId="40269F4C" w14:textId="6E02FD88" w:rsidR="008B0E25" w:rsidRPr="00556A8B" w:rsidRDefault="008B0E25" w:rsidP="00B10ABB">
      <w:r w:rsidRPr="00556A8B">
        <w:t>En conjunto, la intervención clínica articula dimensión técnica y experiencia subjetiva en un equilibrio tenso entre control y apertura interpretativa. Los criterios científicos, las decisiones informadas y la racionalidad metodológica otorgan legitimidad al quehacer profesional; sin embargo, al mismo tiempo, participan en la configuración de modos de subjetivación acordes con los regímenes contemporáneos de normalidad. De este modo, la práctica clínica se consolida como un dispositivo que no solo acompaña procesos de transformación, sino que también produce sujetos reflexivos, autorregulados y funcionales, en consonancia con las racionalidades psicológicas vigentes.</w:t>
      </w:r>
    </w:p>
    <w:p w14:paraId="1D732E50" w14:textId="04266D62" w:rsidR="002D61C9" w:rsidRPr="00556A8B" w:rsidRDefault="008B0E25" w:rsidP="00B10ABB">
      <w:pPr>
        <w:rPr>
          <w:rFonts w:cs="Times New Roman"/>
        </w:rPr>
      </w:pPr>
      <w:r w:rsidRPr="00556A8B">
        <w:t xml:space="preserve">Las narrativas recogidas en las entrevistas permiten evidenciar que la intervención clínica no se limita a la aplicación de técnicas, sino que constituye un espacio donde se negocian sentidos, posiciones y formas de comprender el malestar. Los relatos muestran cómo el encuadre, la elección metodológica y el lugar asumido por el terapeuta inciden directamente en la </w:t>
      </w:r>
      <w:r w:rsidRPr="00556A8B">
        <w:lastRenderedPageBreak/>
        <w:t>construcción de la experiencia subjetiva del paciente. De este modo, la clínica se revela como un escenario en el que confluyen acompañamiento y regulación, apertura y direccionamiento, confirmando que las tecnologías terapéuticas operan simultáneamente como herramientas de cuidado y como mecanismos de producción de subjetividad.</w:t>
      </w:r>
    </w:p>
    <w:p w14:paraId="22BE641B" w14:textId="490C0B3E" w:rsidR="000E5B14" w:rsidRPr="00556A8B" w:rsidRDefault="000E5B14" w:rsidP="00357B2F">
      <w:pPr>
        <w:pStyle w:val="Ttulo2"/>
      </w:pPr>
      <w:bookmarkStart w:id="119" w:name="_Toc232580634"/>
      <w:r w:rsidRPr="00556A8B">
        <w:rPr>
          <w:rFonts w:eastAsia="Times New Roman"/>
          <w:lang w:val="es-MX"/>
        </w:rPr>
        <w:t xml:space="preserve">Intervención y clínica: </w:t>
      </w:r>
      <w:r w:rsidRPr="00556A8B">
        <w:t>Saberes expertos, la producción de verdad</w:t>
      </w:r>
      <w:bookmarkEnd w:id="119"/>
    </w:p>
    <w:p w14:paraId="38FB7168" w14:textId="77777777" w:rsidR="008B0E25" w:rsidRPr="00556A8B" w:rsidRDefault="008B0E25" w:rsidP="00B10ABB">
      <w:r w:rsidRPr="00556A8B">
        <w:t>El ejercicio clínico aparece atravesado por una relación constante entre poder, saber y subjetividad. Esta tríada se materializa especialmente en el diagnóstico, que opera como bisagra entre la investigación y la intervención, tal como lo enuncia el participante 1: "el diagnóstico es la bisagra entre la investigación y la intervención… el diagnóstico lo define la misma comunidad académica o social", señalando así que su autoridad no proviene de una objetividad natural sino de una legitimación colectiva y disciplinar. Bajo el amparo del discurso científico, el diagnóstico otorga legitimidad a la práctica psicológica y se constituye en un mecanismo regulador del conocimiento, orientando las decisiones terapéuticas y delimitando el campo de acción profesional. Lo que podría entenderse como una herramienta técnica se revela, así, como un acto discursivo que produce realidad y articula la práctica clínica con determinados regímenes de verdad sobre la salud mental.</w:t>
      </w:r>
    </w:p>
    <w:p w14:paraId="446AAB17" w14:textId="77777777" w:rsidR="00471440" w:rsidRPr="00556A8B" w:rsidRDefault="008B0E25" w:rsidP="00B10ABB">
      <w:r w:rsidRPr="00556A8B">
        <w:t>A su vez, el quehacer psicológico se encuentra tensionado entre la aplicación de un saber experto y el compromiso ético de reconocer la singularidad del paciente. El participante 5 describe este movimiento al señalar que va "primero en ese ejercicio como de poder identificar qué es lo que necesita el paciente, cuáles son sus objetivos", mientras que el participante 2 lo expresa en términos de una tensión entre orientación y autonomía: "yo acomodo un plan de intervención… pero es para que Juan Sebastián llegue por su propio psiquismo y por propia decisión, no porque yo se lo imponga." El participante 6 añade que lo más importante es "el vínculo terapéutico… implica aceptación incondicional… responsabilidad teórica", subrayando que la dimensión relacional y ética constituye el fundamento desde el cual se despliega la intervención. Aunque el ideal profesional apunta a trascender la mera prescripción de etiquetas, la estructura misma del ejercicio clínico se inscribe en un régimen disciplinario que dificulta sustraerse completamente de dichas categorías.</w:t>
      </w:r>
    </w:p>
    <w:p w14:paraId="3130B03F" w14:textId="77777777" w:rsidR="00471440" w:rsidRPr="00556A8B" w:rsidRDefault="008B0E25" w:rsidP="00B10ABB">
      <w:r w:rsidRPr="00556A8B">
        <w:t xml:space="preserve">En este escenario, los terapeutas reconocen que la práctica clínica transforma también su propia subjetividad. El participante 3 lo describe con claridad: "inevitablemente, uno como psicólogo... el discurso psicológico en esos temas inevitablemente te transforma también o te </w:t>
      </w:r>
      <w:r w:rsidRPr="00556A8B">
        <w:lastRenderedPageBreak/>
        <w:t>pone en un lugar en donde, si uno se comienza a transformar, eso va a redundar al paciente", evidenciando cómo la exposición constante a discursos sobre normalidad, bienestar y patología genera efectos en quienes ejercen la profesión. El participante 4 profundiza en esta reflexividad al señalar la dificultad de "poder ver al otro sin verse a sí mismo en el otro… eso es lo que para mí frena muchísimas veces el proceso del otro", reconociendo que la implicación subjetiva del terapeuta puede tanto facilitar como obstaculizar el proceso. De este modo, no solo disciplina al otro, sino que se disciplina a sí mismo, encarnando la racionalidad contemporánea del sujeto clínico.</w:t>
      </w:r>
    </w:p>
    <w:p w14:paraId="59E7F872" w14:textId="68FC46B0" w:rsidR="008B0E25" w:rsidRPr="00556A8B" w:rsidRDefault="008B0E25" w:rsidP="00B10ABB">
      <w:r w:rsidRPr="00556A8B">
        <w:t>La vocación terapéutica constituye otro elemento central en la configuración del saber psicológico. El participante 7 la describe en estos términos: "la clínica no la hacemos por plata… la hacemos porque amamos eso… y poder estar al servicio de las personas", enunciado que revela cómo el deseo genuino de cuidado se articula con un modelo técnico-científico que tiende a normalizar y funcionalizar al sujeto. Lejos de ser únicamente una inclinación personal hacia la ayuda, la vocación se inscribe en una demanda social de intervención eficaz sobre el malestar. La vocación, entonces, opera también como mecanismo de legitimación de la autoridad epistémica del psicólogo, quien define, interpreta y valida aquello que se considera saludable o patológico.</w:t>
      </w:r>
    </w:p>
    <w:p w14:paraId="333300A9" w14:textId="77777777" w:rsidR="008B0E25" w:rsidRPr="00556A8B" w:rsidRDefault="008B0E25" w:rsidP="00B10ABB">
      <w:r w:rsidRPr="00556A8B">
        <w:t>En conjunto, los saberes expertos y la producción de verdad configuran un entramado donde conocimiento, ética y reflexividad sostienen el discurso clínico. La psicología no solo interviene sobre la subjetividad del paciente, sino que modela la del propio profesional. La figura del terapeuta encarna así un doble movimiento: productor y producto de los regímenes de verdad que definen lo que significa estar mentalmente sano. De este modo, la práctica clínica se consolida como un espacio privilegiado de producción de subjetividad, donde se articulan autoridad científica, ética del cuidado y dinámicas de poder.</w:t>
      </w:r>
    </w:p>
    <w:p w14:paraId="6C4DB1FD" w14:textId="33E6205A" w:rsidR="00DE23BF" w:rsidRPr="00556A8B" w:rsidRDefault="008B0E25" w:rsidP="00B10ABB">
      <w:pPr>
        <w:rPr>
          <w:rFonts w:cs="Times New Roman"/>
        </w:rPr>
      </w:pPr>
      <w:r w:rsidRPr="00556A8B">
        <w:t xml:space="preserve">En los fragmentos presentados se hace visible cómo el saber experto no opera únicamente como un conjunto de herramientas técnicas, sino como una instancia autorizada para nombrar, interpretar y validar la experiencia del otro. Las voces de los participantes permiten advertir que el ejercicio clínico se sostiene en un delicado equilibrio entre la autoridad epistémica y la sensibilidad ética, mostrando cómo el psicólogo, al mismo tiempo que aplica categorías y marcos conceptuales, reflexiona sobre su propio lugar en la producción de verdad. De este modo, el discurso clínico se revela como un espacio donde se articulan legitimidad científica, vocación de </w:t>
      </w:r>
      <w:r w:rsidRPr="00556A8B">
        <w:lastRenderedPageBreak/>
        <w:t>cuidado y ejercicio de poder, configurando tanto la subjetividad del paciente como la del propio profesional.</w:t>
      </w:r>
    </w:p>
    <w:p w14:paraId="75CF2860" w14:textId="1DA58CF7" w:rsidR="000E5B14" w:rsidRPr="00556A8B" w:rsidRDefault="000E5B14" w:rsidP="00471440">
      <w:pPr>
        <w:pStyle w:val="Ttulo2"/>
      </w:pPr>
      <w:bookmarkStart w:id="120" w:name="_Toc232580635"/>
      <w:r w:rsidRPr="00556A8B">
        <w:t>Modelos teóricos y posiciones epistemológicas: configuraciones del saber en salud mental</w:t>
      </w:r>
      <w:bookmarkEnd w:id="120"/>
    </w:p>
    <w:p w14:paraId="33B66842" w14:textId="77777777" w:rsidR="008B0E25" w:rsidRPr="00556A8B" w:rsidRDefault="008B0E25" w:rsidP="00B10ABB">
      <w:r w:rsidRPr="00556A8B">
        <w:t>La práctica en salud mental se configura sobre un campo multiparadigmático en el que convergen diversos modelos teóricos y posiciones epistemológicas. Estos marcos no solo orientan la comprensión del psiquismo y la delimitación de la patología, sino que definen las formas legítimas de intervención y los modos posibles de entender al sujeto. Más que coexistir de manera armónica, estos enfoques se articulan en un terreno de disputas donde diferentes racionalidades compiten por establecer qué cuenta como evidencia, qué se reconoce como malestar y qué se valida como intervención adecuada. El participante 2 lo describe con precisión: "no hay duda de que el modelo biomédico... es muy imperante, tan imperante que anula al otro grupo de discurso", señalando además que "la salud mental es más bien un constructo que han hecho las teorías a partir de las realidades que se observan entre los seres humanos", y que "hoy por hoy necesitamos apostar por una salud mental más interactiva." En este escenario, los discursos profesionales revelan una tensión persistente entre la pretensión de cientificidad técnica y la necesidad de reconocer la historicidad, la cultura y la singularidad como dimensiones constitutivas de la experiencia subjetiva.</w:t>
      </w:r>
    </w:p>
    <w:p w14:paraId="3E90298C" w14:textId="77777777" w:rsidR="008B0E25" w:rsidRPr="00556A8B" w:rsidRDefault="008B0E25" w:rsidP="00B10ABB"/>
    <w:p w14:paraId="51A0392D" w14:textId="25AB3CA8" w:rsidR="008B0E25" w:rsidRPr="00556A8B" w:rsidRDefault="008B0E25" w:rsidP="00B10ABB">
      <w:r w:rsidRPr="00556A8B">
        <w:t>Lejos de operar como sistemas cerrados, los modelos aparecen en la práctica como formaciones discursivas en tensión. La salud y la enfermedad mental no emergen como categorías estables, sino como construcciones atravesadas por luchas interpretativas que tienen efectos concretos en la intervención clínica, la asignación de recursos, la legitimación de técnicas y la autoridad profesional. El participante 1 lo formula en estos términos: "no somos máquinas, sino un territorio en el que se escriben ciertas historias, y la psicología le ha dado ese lugar a la salud mental. Es precisamente esta visión la que nos permite entender que la cultura es la construcción de los procesos del colectivo; cuando las personas empiezan a generar esos procesos, se va construyendo una cultura sobre la salud mental y el bienestar." La disputa no es meramente conceptual: define qué formas de sufrimiento son reconocidas, qué tratamientos se consideran válidos y qué modos de subjetividad se promueven o descalifican.</w:t>
      </w:r>
    </w:p>
    <w:p w14:paraId="2B7762E6" w14:textId="77777777" w:rsidR="008B0E25" w:rsidRPr="00556A8B" w:rsidRDefault="008B0E25" w:rsidP="00B10ABB">
      <w:r w:rsidRPr="00556A8B">
        <w:lastRenderedPageBreak/>
        <w:t>El modelo histórico-cultural se presenta como una racionalidad que cuestiona la comprensión individualizante del malestar. El participante 6 lo expresa al señalar que "para mí ha sido muy importante entender un poquito esos enfoques histórico-culturales… cómo el vínculo, el ambiente, lo cultural, lo histórico… marcan desarrollos neurológicos… que impactan en problemas de salud mental", evidenciando cómo esta perspectiva sitúa el sufrimiento en el entramado de prácticas culturales, condiciones materiales y normas colectivas que delimitan lo sano y lo patológico. La subjetividad, en este marco, no es una entidad autónoma, sino el efecto de discursos, instituciones y formas de gobierno que configuran modos de ser y de sentir.</w:t>
      </w:r>
    </w:p>
    <w:p w14:paraId="1E19D61E" w14:textId="77777777" w:rsidR="008B0E25" w:rsidRPr="00556A8B" w:rsidRDefault="008B0E25" w:rsidP="00B10ABB">
      <w:r w:rsidRPr="00556A8B">
        <w:t>En contraste, el modelo médico, hegemónico en el campo, organiza la salud mental a partir de criterios de normalidad estadística, ausencia de sintomatología y funcionamiento neurobiológico adecuado. El participante 7 lo describe al señalar que "la psicología, obviamente, se inscribe en el marco biológico de las ciencias médicas… parte de un modelo conductual médico", mientras que el participante 6 advierte que "la intervención psicológica y la salud mental están muy atravesados por el modelo médico… el concepto médico de salud-enfermedad… determina unas características de lo que es ser sano y lo que no." El participante 5 defiende, sin embargo, la función de ese lenguaje común al afirmar que "el DSM o la CIE no son perfectos, pero son el único lenguaje común que tenemos. Nos permiten entender un síntoma aquí y en cualquier parte del mundo, consolidan una base objetiva en el campo de la salud mental." Así, el modelo médico opera como un dispositivo de ordenamiento que promueve una concepción funcional y normativizada del sujeto.</w:t>
      </w:r>
    </w:p>
    <w:p w14:paraId="303E2D16" w14:textId="77777777" w:rsidR="008B0E25" w:rsidRPr="00556A8B" w:rsidRDefault="008B0E25" w:rsidP="00B10ABB"/>
    <w:p w14:paraId="3654641A" w14:textId="5C6D4B8A" w:rsidR="008B0E25" w:rsidRPr="00556A8B" w:rsidRDefault="008B0E25" w:rsidP="00B10ABB">
      <w:r w:rsidRPr="00556A8B">
        <w:t xml:space="preserve">En relación con esta racionalidad, el enfoque biologicista refuerza la tendencia a traducir la experiencia subjetiva en correlatos fisiológicos, consolidando una lectura que privilegia la objetivación del cuerpo y la tecnificación del cuidado. Frente a estas posturas normativas, emergen enfoques que reivindican la experiencia y el sentido como ejes del cuidado. El participante 3 lo expresa al describir la psicología humanista existencial como "un enfoque uno a uno… orientado al darse cuenta… al sentido de vida… desde una percepción más subjetiva que objetiva porque entendemos que la salud mental es un proceso narrativo y singular que se resiste a cualquier intento de homogenización o clasificación externa." En el mismo horizonte, el participante 7 señala que su formación clínica lo ha perfilado "en la línea dinámica", ya que "estas teorías me permiten acercarme a una salud mental que no se agota en el síntoma, sino que </w:t>
      </w:r>
      <w:r w:rsidRPr="00556A8B">
        <w:lastRenderedPageBreak/>
        <w:t>exige la exploración de las capas más profundas de la subjetividad y la historia. Es un trabajo que se sostiene enteramente en el poder de la palabra para darle sentido a lo inconsciente."</w:t>
      </w:r>
    </w:p>
    <w:p w14:paraId="666FE400" w14:textId="77777777" w:rsidR="00471440" w:rsidRPr="00556A8B" w:rsidRDefault="008B0E25" w:rsidP="00B10ABB">
      <w:r w:rsidRPr="00556A8B">
        <w:t>El modelo cognitivo-conductual, ampliamente difundido en contextos institucionales, introduce una racionalidad orientada a la medición, la evidencia y la modificación de pensamientos y conductas. El participante 4 lo describe con claridad: "como yo trabajo desde la cognitiva, digamos que hay un proceso allí de exploración de los patrones de malestar. Se trata de dar herramientas: estrategias muy concretas en temas de hábitos, de cambio de pensamiento y de autorregulación. Al final, el foco es que el sujeto logre esa adaptabilidad y autoeficacia", enunciado que revela cómo su énfasis en la autorregulación y la autoeficacia puede articularse con ideales contemporáneos de productividad y rendimiento, favoreciendo una concepción del bienestar alineada con lógicas de funcionalidad social.</w:t>
      </w:r>
    </w:p>
    <w:p w14:paraId="6D8C0493" w14:textId="77777777" w:rsidR="00471440" w:rsidRPr="00556A8B" w:rsidRDefault="008B0E25" w:rsidP="00B10ABB">
      <w:r w:rsidRPr="00556A8B">
        <w:t>En los discursos analizados, se advierte una necesidad de búsqueda constante por eliminar las barreras disciplinares que históricamente han delimitado el saber psicológico. Los profesionales reconocen la necesidad de desprenderse de una mirada biologicista de la salud mental que no se reduzca a la aplicación de técnicas, el encasillamiento del sufrimiento o la validación científica del malestar, sino que contemple las condiciones subjetivas que la configuran. Sin embargo, esta apertura no se produce sin tensiones, porque mientras se nombra la importancia de comprender al sujeto desde su particularidad, persiste la necesidad de traducir dicha comprensión en procedimientos estandarizados o categorías predefinidas. De este modo, los discursos reflejan una oscilación entre el repensar el quehacer psicológico o sostenerse en la lógica institucional que mantiene la práctica dentro de las lógicas de poder, control y verdad, exhibiendo que la salud mental continúa siendo un campo atravesado por disputas entre la experiencia subjetiva y las exigencias de objetivación técnica.</w:t>
      </w:r>
    </w:p>
    <w:p w14:paraId="5DE4325C" w14:textId="1C791E4C" w:rsidR="008B0E25" w:rsidRPr="00556A8B" w:rsidRDefault="008B0E25" w:rsidP="00B10ABB">
      <w:r w:rsidRPr="00556A8B">
        <w:t xml:space="preserve">Tras la revisión de las posiciones teóricas y epistemológicas presentes en los discursos, se evidencia que la salud mental no se sostiene sobre un paradigma único ni estable, sino sobre un campo de fuerzas donde convergen, se superponen y se disputan múltiples racionalidades. Esta pluralidad no implica necesariamente apertura emancipadora; por el contrario, muestra cómo los distintos modelos pueden funcionar tanto como marcos de comprensión crítica del sufrimiento como dispositivos de normalización y regulación. En este escenario, la práctica psicológica se configura como un espacio atravesado por tensiones entre objetivación y sentido, técnica y experiencia, evidencia y singularidad. La configuración del saber en salud mental aparece así </w:t>
      </w:r>
      <w:r w:rsidRPr="00556A8B">
        <w:lastRenderedPageBreak/>
        <w:t>como una construcción histórica y política, en la que cada modelo no solo explica el malestar, sino que produce determinadas formas de subjetividad y delimita los modos legítimos de ser, sentir y narrarse en el presente.</w:t>
      </w:r>
    </w:p>
    <w:p w14:paraId="4B55541B" w14:textId="77777777" w:rsidR="008B0E25" w:rsidRPr="00556A8B" w:rsidRDefault="008B0E25" w:rsidP="000162FA">
      <w:pPr>
        <w:shd w:val="clear" w:color="auto" w:fill="FFFFFF"/>
        <w:spacing w:before="60" w:after="60"/>
        <w:ind w:firstLine="708"/>
      </w:pPr>
    </w:p>
    <w:p w14:paraId="3A372AB9" w14:textId="03C08606" w:rsidR="000E5B14" w:rsidRPr="00556A8B" w:rsidRDefault="000E5B14" w:rsidP="00357B2F">
      <w:pPr>
        <w:pStyle w:val="Ttulo2"/>
      </w:pPr>
      <w:bookmarkStart w:id="121" w:name="_Toc232580636"/>
      <w:r w:rsidRPr="00556A8B">
        <w:t>Individualización y responsabilización del sujeto</w:t>
      </w:r>
      <w:bookmarkEnd w:id="121"/>
    </w:p>
    <w:p w14:paraId="153FFDC7" w14:textId="780D3148" w:rsidR="00A366B7" w:rsidRPr="00556A8B" w:rsidRDefault="00A366B7" w:rsidP="00B10ABB">
      <w:r w:rsidRPr="00556A8B">
        <w:t xml:space="preserve">En el campo actual donde se sitúa la salud mental, las prácticas psicológicas se configuran como </w:t>
      </w:r>
      <w:r w:rsidR="009A7B04">
        <w:t>prácticas de sí</w:t>
      </w:r>
      <w:r w:rsidRPr="00556A8B">
        <w:t xml:space="preserve"> que promueven la autogestión, la autorregulación, la introspección, el empoderamiento y la responsabilidad frente al malestar. La idea que se tiene de bienestar se desplaza hacia el interior del sujeto, instaurando una lógica en la que cada sujeto debe reconocerse y actuar como gestor de su propio equilibrio emocional. El participante 6 lo expresa con claridad: "hay una responsabilidad muy grande en el individuo… usted cuida su salud mental y yo lo acompaño y le doy herramientas", enunciado que revela cómo el discurso terapéutico sitúa el peso del cambio y la estabilidad sobre el propio sujeto. De este modo, el discurso terapéutico deja de situar el malestar y el sufrimiento en coordenadas relacionales o sociales para ubicarlas en el terreno de la autogestión, naturalizando una forma de gobierno donde se responde a las condiciones de agencia marcadas por los valores de autonomía, productividad y ajuste emocional.</w:t>
      </w:r>
    </w:p>
    <w:p w14:paraId="52F789BE" w14:textId="77777777" w:rsidR="00A366B7" w:rsidRPr="00556A8B" w:rsidRDefault="00A366B7" w:rsidP="00B10ABB">
      <w:r w:rsidRPr="00556A8B">
        <w:t>Estas tecnologías como mecanismos de subjetivación instauran en el sujeto una ética de la responsabilidad individual que redefine la salud mental como un deber personal. El participante 3 lo formula de manera explícita al definir la salud mental como "la capacidad de responsabilizarse de lo que se hace, de lo que se dice, de lo que se piensa y con eso la persona obtiene recursos… cuando se conoce y tiene sus recursos para aceptar lo que es, lo que vive", mientras que el participante 7 señala que "realmente quien tiene que hacer una construcción de su salud mental es cada sujeto… deciden desde su propia elección y desde su deseo." Sin embargo, el participante 4 introduce una advertencia crítica: "cuando se piensa la salud mental solamente como desde el lugar de la persona… toda la responsabilidad… es de la persona… y se pierden otros elementos del contexto", señalando el riesgo de invisibilizar los determinantes sociales, económicos y políticos del sufrimiento psíquico. Es claro que este desplazamiento discursivo produce una subjetividad que internaliza la vigilancia, el control y la evaluación constante, en tanto que el sujeto se convierte en observador y juez de sí mismo, obligándose a mantenerse funcional dentro de los parámetros de normalidad.</w:t>
      </w:r>
    </w:p>
    <w:p w14:paraId="7D6C1EAD" w14:textId="2DCAB414" w:rsidR="00A366B7" w:rsidRPr="00556A8B" w:rsidRDefault="00A366B7" w:rsidP="00B10ABB">
      <w:r w:rsidRPr="00556A8B">
        <w:lastRenderedPageBreak/>
        <w:t xml:space="preserve">La autogestión emocional se </w:t>
      </w:r>
      <w:r w:rsidR="000C779F" w:rsidRPr="00556A8B">
        <w:t>consolida,</w:t>
      </w:r>
      <w:r w:rsidRPr="00556A8B">
        <w:t xml:space="preserve"> así como un ideal hegemónico en las intervenciones y orientaciones psicológicas. El participante 5 lo describe al señalar que "cada uno es consciente y debe hacer conciencia a través de su introspección, de su autoobservación, de discernir qué estrategias o qué habilidades aprende a manejar y cuáles definitivamente no", mientras que el participante 2 ilustra cómo este proceso se produce en el vínculo terapéutico: "el mismo paciente se va dando cuenta de ciertas cosas que va repitiendo en la forma en cómo se vincula con los otros y que les afecta el presente... y necesariamente se van dando cuenta de que... les queda fácil tomar una postura responsable frente a los malestares que tienen actualmente", añadiendo que "la base de una buena salud mental es también el conocimiento de sí mismos." Estas estrategias, que aparecen revestidas de autonomía e independencia, operan en realidad como mecanismos de poder que moldean los modos legítimos de sentir y expresarse, desplazando la posibilidad de una experiencia afectiva abierta hacia una relación domesticada con el propio mundo interior.</w:t>
      </w:r>
    </w:p>
    <w:p w14:paraId="37E1DF30" w14:textId="77777777" w:rsidR="00A366B7" w:rsidRPr="00556A8B" w:rsidRDefault="00A366B7" w:rsidP="00B10ABB">
      <w:r w:rsidRPr="00556A8B">
        <w:t>En este contexto, la responsabilidad individual sobre el malestar opera como un principio rector que organiza las intervenciones y expectativas terapéuticas. El participante 1 advierte cómo este proceso se articula con el consumo de discursos: "el ciudadano de a pie dice: si la calidad de vida es esto y yo tengo esto… entonces yo tengo calidad de vida o no tengo… entonces como que hay discursos que también se van poniendo de moda", revelando cómo la norma del bienestar circula y se naturaliza más allá del consultorio. El participante 7 confirma esta orientación al señalar que la psicología "lleva a las personas a mirar unas posibilidades de relacionarse más funcionalmente con el mundo", enunciado que evidencia cómo la funcionalidad opera como horizonte implícito de la intervención. Así, el malestar psíquico se despolitiza y privatiza, situándose en la esfera íntima del sujeto, quien debe resolverlo mediante su propio trabajo emocional, cognitivo y espiritual.</w:t>
      </w:r>
    </w:p>
    <w:p w14:paraId="6F3C1684" w14:textId="77777777" w:rsidR="00A366B7" w:rsidRPr="00556A8B" w:rsidRDefault="00A366B7" w:rsidP="00B10ABB">
      <w:r w:rsidRPr="00556A8B">
        <w:t xml:space="preserve">El autoconocimiento emerge como una herramienta privilegiada de ajuste, funcionalidad y adaptación. En la medida en que conocer los propios pensamientos, emociones o patrones relacionales se concibe como el camino hacia el bienestar, el sujeto es invitado a emprender un proceso constante de introspección. Sin embargo, esta búsqueda del "sí mismo" no constituye propiamente un espacio de emancipación, sino que termina reproduciendo las lógicas de control en las que el sujeto ha aprendido a evaluarse y corregirse según los estándares de normalidad. Por otro lado, la autogestión emocional se asocia con una idea de autosuficiencia que tiende a </w:t>
      </w:r>
      <w:r w:rsidRPr="00556A8B">
        <w:lastRenderedPageBreak/>
        <w:t>invisibilizar la interdependencia humana y la dimensión comunitaria del cuidado, reforzando la versión neoliberal del sujeto como agente, transformador y gestor de su propio bienestar, capaz de invertir en sí mismo y mantener su funcionalidad frente a la incertidumbre social.</w:t>
      </w:r>
    </w:p>
    <w:p w14:paraId="6F38BD3D" w14:textId="77777777" w:rsidR="00A366B7" w:rsidRPr="00556A8B" w:rsidRDefault="00A366B7" w:rsidP="00B10ABB">
      <w:r w:rsidRPr="00556A8B">
        <w:t>Lo realmente significativo de estas prácticas discursivas es que no solo moldean modos de actuar y sentir, sino que instituyen una moral del bienestar y del sujeto como su propio agente de cambio. Este precepto ubica la salud mental en un mandato de felicidad, productividad y equilibrio permanente, y codifica la inestabilidad o vulnerabilidad como fallas personales. La exigencia de autorregulación produce subjetividades hipervigilantes, acostumbradas a medir su estado emocional y a interpretar cualquier desviación como señal de inadecuación. Ante lo cual, la psicología en su papel de saber, guía y educadora, termina consolidando un régimen de verdad sobre el bienestar que regula los modos legítimos del actuar.</w:t>
      </w:r>
    </w:p>
    <w:p w14:paraId="6EC0AD97" w14:textId="2D28939D" w:rsidR="00A366B7" w:rsidRPr="00556A8B" w:rsidRDefault="00A366B7" w:rsidP="00B10ABB">
      <w:r w:rsidRPr="00556A8B">
        <w:t xml:space="preserve">En suma, las prácticas discursivas formadoras de subjetividad y las </w:t>
      </w:r>
      <w:r w:rsidR="009A7B04">
        <w:t>prácticas de sí</w:t>
      </w:r>
      <w:r w:rsidRPr="00556A8B">
        <w:t xml:space="preserve"> instauradas en la psicología actual instalan una racionalidad que traduce la complejidad del malestar en términos de autogestión individual. La idea que el sujeto construye de autonomía está regida por formas sutiles de normalización que subordinan el cuidado de sí a los imperativos de funcionalidad, autocontrol y responsabilidad personal. Así, la psicología se configura como un dispositivo biopolítico que fabrica sujetos reflexivos, adaptativos y emocionalmente competentes, en sintonía con los regímenes actuales de verdad y poder sobre la vida.</w:t>
      </w:r>
    </w:p>
    <w:p w14:paraId="70D0715D" w14:textId="08B3BCA3" w:rsidR="00A366B7" w:rsidRPr="00556A8B" w:rsidRDefault="00A366B7" w:rsidP="00B10ABB">
      <w:r w:rsidRPr="00556A8B">
        <w:t xml:space="preserve">Los hallazgos muestran que la individualización del malestar no es un efecto colateral de la práctica psicológica, sino una de sus lógicas organizadoras en el contexto contemporáneo. La responsabilización del sujeto, presentada como empoderamiento y autonomía, funciona simultáneamente como mecanismo de regulación que desplaza la mirada de las condiciones estructurales hacia la esfera íntima. Así, la salud mental se consolida como imperativo moral y proyecto personal permanente, donde cada </w:t>
      </w:r>
      <w:r w:rsidR="0052782C">
        <w:t>sujeto</w:t>
      </w:r>
      <w:r w:rsidR="0052782C" w:rsidRPr="00556A8B">
        <w:t xml:space="preserve"> </w:t>
      </w:r>
      <w:r w:rsidRPr="00556A8B">
        <w:t>debe demostrarse capaz de gestionarse, optimizarse y adaptarse. Esta racionalidad no elimina la agencia del sujeto, pero la inscribe en un marco normativo que define de antemano qué formas de vida, emoción y relación son consideradas legítimas, dejando abierta la pregunta por las posibilidades de pensar el cuidado y el malestar más allá de la lógica de la autorresponsabilización.</w:t>
      </w:r>
    </w:p>
    <w:p w14:paraId="38CDB880" w14:textId="54235373" w:rsidR="000E5B14" w:rsidRPr="00556A8B" w:rsidRDefault="000E5B14" w:rsidP="00357B2F">
      <w:pPr>
        <w:pStyle w:val="Ttulo2"/>
      </w:pPr>
      <w:bookmarkStart w:id="122" w:name="_Toc232580637"/>
      <w:r w:rsidRPr="00556A8B">
        <w:t>Dispositivos técnicos de normalización y subjetivación</w:t>
      </w:r>
      <w:bookmarkEnd w:id="122"/>
    </w:p>
    <w:p w14:paraId="1783DB88" w14:textId="72588171" w:rsidR="00A366B7" w:rsidRPr="00556A8B" w:rsidRDefault="00A366B7" w:rsidP="00B10ABB">
      <w:r w:rsidRPr="00556A8B">
        <w:t xml:space="preserve">En el escenario contemporáneo de la salud mental, las prácticas psicológicas se articulan como dispositivos técnicos que operan simultáneamente en el plano clínico y en el plano moral. </w:t>
      </w:r>
      <w:r w:rsidRPr="00556A8B">
        <w:lastRenderedPageBreak/>
        <w:t xml:space="preserve">Bajo la promesa de promover autogestión, autorregulación, introspección y empoderamiento, el bienestar se desplaza progresivamente hacia el interior del sujeto, configurando una racionalidad en la que cada </w:t>
      </w:r>
      <w:r w:rsidR="0052782C">
        <w:t>sujet</w:t>
      </w:r>
      <w:r w:rsidR="0052782C" w:rsidRPr="00556A8B">
        <w:t xml:space="preserve">o </w:t>
      </w:r>
      <w:r w:rsidRPr="00556A8B">
        <w:t>debe asumirse como gestor de su equilibrio emocional. El participante 3 lo describe con claridad: "el espacio terapéutico está pensado para que la persona logre verse, aceptarse, responsabilizarse de su vida y reconocer sus recursos. No se trata solo de aliviar el malestar, sino de generar un proceso de reflexión que le permita pasar a la acción y construir nuevas formas de relacionarse consigo misma." En este marco, el discurso terapéutico tiende a desanclar el malestar de sus coordenadas relacionales, históricas o estructurales, para reinscribirlo en el terreno de la autogestión individual, naturalizando una forma de gobierno basada en la autonomía, la productividad y el ajuste emocional.</w:t>
      </w:r>
    </w:p>
    <w:p w14:paraId="3889AD66" w14:textId="486AD026" w:rsidR="00A366B7" w:rsidRPr="00556A8B" w:rsidRDefault="00A366B7" w:rsidP="00B10ABB">
      <w:r w:rsidRPr="00556A8B">
        <w:t xml:space="preserve">Estas tecnologías no solo ofrecen herramientas de intervención; instituyen una ética de la responsabilidad personal. El participante 1 lo expresa al señalar que las técnicas, independientemente del enfoque, buscan "promover procesos de autoconocimiento y transformación personal que permitan a la persona hacerse cargo de sí misma", mientras que el participante 6 describe cómo "las terapias de tercera generación… buscan brindarle herramientas al paciente, empoderarlo para que asuma su propio proceso. Se trata de que el sujeto reconozca sus recursos y pueda utilizarlos para transformar su experiencia de sufrimiento." Este desplazamiento produce una subjetividad que internaliza la vigilancia y la autoevaluación constante: el </w:t>
      </w:r>
      <w:r w:rsidR="0052782C">
        <w:t>sujet</w:t>
      </w:r>
      <w:r w:rsidR="0052782C" w:rsidRPr="00556A8B">
        <w:t xml:space="preserve">o </w:t>
      </w:r>
      <w:r w:rsidRPr="00556A8B">
        <w:t>deviene observador y juez de sí mismo, esforzándose por mantenerse dentro de los parámetros de normalidad establecidos.</w:t>
      </w:r>
    </w:p>
    <w:p w14:paraId="14CDF65A" w14:textId="77777777" w:rsidR="00A366B7" w:rsidRPr="00556A8B" w:rsidRDefault="00A366B7" w:rsidP="00B10ABB">
      <w:r w:rsidRPr="00556A8B">
        <w:t>En esta racionalidad, la autogestión emocional se consolida como ideal hegemónico. El participante 2 describe el repertorio técnico desde el que opera: "hay una técnica madre que es central, que es la interpretación; pero antes de llegar ahí, hay otras que van preparando el camino: la confrontación, la planificación, la escucha activa, la inducción catártica... todas ellas buscan movilizar al sujeto hacia una comprensión distinta de sí mismo", evidenciando cómo estas estrategias, aunque diversas, convergen en el objetivo de producir una relación particular del sujeto consigo mismo. Aunque se presentan como prácticas de autonomía, funcionan también como mecanismos que moldean los modos legítimos de sentir y expresar el afecto, reduciendo la posibilidad de concebir las emociones como experiencias complejas que pueden expresar conflicto, resistencia o cuestionamiento frente a las condiciones de existencia.</w:t>
      </w:r>
    </w:p>
    <w:p w14:paraId="3C709B6F" w14:textId="77777777" w:rsidR="00A366B7" w:rsidRPr="00556A8B" w:rsidRDefault="00A366B7" w:rsidP="00B10ABB">
      <w:r w:rsidRPr="00556A8B">
        <w:lastRenderedPageBreak/>
        <w:t>En consecuencia, la responsabilidad individual se convierte en principio organizador de la intervención. Los determinantes sociales, económicos y políticos del sufrimiento quedan desplazados, mientras el malestar se redefine como asunto privado. El participante 4 ilustra este proceso al describir la psicoeducación como un espacio donde "se promueven hábitos, modos de pensar y comportamientos que orientan hacia formas más saludables de vivir", mientras que el participante 5 señala que "nuestra responsabilidad está en lo que hacemos desde la psicoeducación, tanto a nivel individual como grupal. Es una forma de generar conciencia sobre la salud mental, de acompañar a las personas en la construcción de herramientas para su bienestar y su vida cotidiana." Así, el sufrimiento se despolitiza y se privatiza: corresponde al individuo resolverlo mediante trabajo emocional, cognitivo o espiritual.</w:t>
      </w:r>
    </w:p>
    <w:p w14:paraId="4707C8C4" w14:textId="77777777" w:rsidR="00A366B7" w:rsidRPr="00556A8B" w:rsidRDefault="00A366B7" w:rsidP="00B10ABB">
      <w:r w:rsidRPr="00556A8B">
        <w:t>El autoconocimiento emerge como vía privilegiada hacia el bienestar. El participante 7 lo describe en estos términos: "uno no le dice al otro lo que tiene que hacer, más bien lo acompaña a descubrir algo que de alguna manera ya sabe. Lo que hacemos es facilitar otras formas de mirar el mundo y de pensarse a sí mismo desde un lugar distinto", enunciado que revela cómo la introspección permanente puede reproducir lógicas de control internalizadas, en la medida en que el sujeto aprende a evaluarse y corregirse según estándares previamente definidos. En este sentido, el autoconocimiento opera menos como práctica emancipadora que como tecnología de gobierno, reforzando la imagen de un sujeto autónomo que debe invertir en sí mismo para sostener su estabilidad frente a la incertidumbre social.</w:t>
      </w:r>
    </w:p>
    <w:p w14:paraId="10ADE012" w14:textId="77777777" w:rsidR="00A366B7" w:rsidRPr="00556A8B" w:rsidRDefault="00A366B7" w:rsidP="00B10ABB">
      <w:r w:rsidRPr="00556A8B">
        <w:t>Lo relevante de estos dispositivos no reside únicamente en su dimensión técnica, sino en la moral del bienestar que instituyen. La salud mental se transforma en mandato de felicidad, productividad y equilibrio constante, mientras la vulnerabilidad o la inestabilidad se codifican como fallas personales. Se configura así una subjetividad hipervigilante, habituada a monitorear su estado emocional y a interpretar cualquier desviación como signo de inadecuación. En este proceso, la psicología, en tanto saber experto, contribuye a consolidar un régimen de verdad que regula los modos legítimos de actuar, sentir y narrarse.</w:t>
      </w:r>
    </w:p>
    <w:p w14:paraId="7979D659" w14:textId="76D03DAF" w:rsidR="00A366B7" w:rsidRPr="00556A8B" w:rsidRDefault="00A366B7" w:rsidP="00B10ABB">
      <w:r w:rsidRPr="00556A8B">
        <w:t xml:space="preserve">Las prácticas contemporáneas en salud mental traducen la complejidad del malestar en términos de autogestión individual. La autonomía promovida aparece atravesada por formas sutiles de normalización que subordinan el cuidado de sí a los imperativos de funcionalidad, autocontrol y responsabilidad personal. De este modo, la psicología se configura como un dispositivo biopolítico que produce sujetos reflexivos, adaptativos y emocionalmente </w:t>
      </w:r>
      <w:r w:rsidRPr="00556A8B">
        <w:lastRenderedPageBreak/>
        <w:t>competentes, en sintonía con los regímenes actuales de verdad y poder que gobiernan la vida psíquica.</w:t>
      </w:r>
    </w:p>
    <w:p w14:paraId="5220FCEE" w14:textId="77777777" w:rsidR="00A366B7" w:rsidRPr="00556A8B" w:rsidRDefault="00A366B7" w:rsidP="00B10ABB">
      <w:r w:rsidRPr="00556A8B">
        <w:t>Las citas presentadas permiten observar cómo, en la práctica cotidiana, las técnicas terapéuticas son comprendidas no solo como herramientas neutrales de intervención, sino como dispositivos que orientan al sujeto hacia determinadas formas de comprenderse y conducirse. A través de nociones como autoconocimiento, responsabilidad, empoderamiento y psicoeducación, se configura una pedagogía del yo que promueve la apropiación reflexiva de la propia experiencia, pero que simultáneamente delimita los marcos desde los cuales dicha experiencia puede ser narrada y transformada. De este modo, las intervenciones técnicas no operan únicamente en el plano del alivio sintomático, sino que participan activamente en la producción de subjetividades acordes con ideales de autonomía, regulación y autogobierno, evidenciando la dimensión normativa que atraviesa el ejercicio clínico contemporáneo.</w:t>
      </w:r>
    </w:p>
    <w:p w14:paraId="581A71E0" w14:textId="77777777" w:rsidR="000E5B14" w:rsidRPr="00556A8B" w:rsidRDefault="000E5B14" w:rsidP="00357B2F">
      <w:pPr>
        <w:pStyle w:val="Ttulo2"/>
      </w:pPr>
      <w:bookmarkStart w:id="123" w:name="_Toc232580638"/>
      <w:r w:rsidRPr="00556A8B">
        <w:t>Contradicciones en las prácticas y saberes profesionales</w:t>
      </w:r>
      <w:bookmarkEnd w:id="123"/>
    </w:p>
    <w:p w14:paraId="0DECBD26" w14:textId="77777777" w:rsidR="003D68B2" w:rsidRPr="00556A8B" w:rsidRDefault="003D68B2" w:rsidP="00B10ABB">
      <w:r w:rsidRPr="00556A8B">
        <w:t>Las tensiones discursivas en torno al diagnóstico revelan una ambigüedad persistente entre su valor orientador y su potencial estigmatizante. El participante 1 lo ilustra con un ejemplo preciso: "casi que cuando yo le pongo el diagnóstico a Juan Sebastián de hiperactividad, le estoy dando permiso para que sea mamón, cansón e irrespetuoso, para que asuma ese rótulo; para que justifique su comportamiento diciendo 'es que soy así porque tengo hiperactividad'. A veces siento que el diagnóstico, más que orientar, termina reforzando etiquetas y comportamientos", evidenciando cómo la práctica diagnóstica trasciende su intención clínica y opera como tecnología de clasificación de los modos de ser. Bajo la apariencia de objetividad científica, el diagnóstico produce efectos de sujeción y autorregulación, en tanto fija identidades y delimita expectativas de conducta. Así, la etiqueta no solo organiza la intervención, sino que participa en la normalización de aquello que se desvía de los parámetros legitimados por el saber disciplinar.</w:t>
      </w:r>
    </w:p>
    <w:p w14:paraId="4E2120CA" w14:textId="77777777" w:rsidR="003D68B2" w:rsidRPr="00556A8B" w:rsidRDefault="003D68B2" w:rsidP="00B10ABB">
      <w:r w:rsidRPr="00556A8B">
        <w:t xml:space="preserve">De manera paralela, el rol del psicólogo aparece atravesado por una tensión estructural entre las demandas sociales, las exigencias institucionales y los marcos teóricos que sustentan la práctica. El participante 2 lo reconoce al señalar que "socialmente la psicología aún no está completamente reconocida… porque seguimos luchando por posicionar nuestro campo", advirtiendo además que "esa falta de legitimidad con cómo aplicamos los enfoques sin reflexión o con prácticas que nos restan credibilidad frente a otros saberes" constituye una responsabilidad del propio colectivo profesional. En este escenario, el psicólogo oscila entre posicionarse como </w:t>
      </w:r>
      <w:r w:rsidRPr="00556A8B">
        <w:lastRenderedPageBreak/>
        <w:t>agente crítico de transformación y funcionar como operador dentro de dispositivos institucionales de regulación, quedando su práctica situada en un campo de negociaciones donde confluyen saber científico, burocracia sanitaria y expectativas sociales sobre lo que debe ser la atención en salud mental.</w:t>
      </w:r>
    </w:p>
    <w:p w14:paraId="67F3B1E2" w14:textId="77777777" w:rsidR="003D68B2" w:rsidRPr="00556A8B" w:rsidRDefault="003D68B2" w:rsidP="00B10ABB">
      <w:r w:rsidRPr="00556A8B">
        <w:t>Algunos discursos sugieren, además, que en el afán de consolidarse como saber experto, la psicología puede reproducir jerarquías epistémicas que distancian la profesión de su vocación reflexiva. El participante 4 lo expresa con claridad: "a veces siento que la psicología quiere ser ciencia dura y, al mismo tiempo, mantener su lado humano. Terminamos en una especie de contradicción: nos exigimos medirlo todo, pero también acompañar procesos subjetivos que no se pueden poner en números", señalando la tensión irresuelta entre el deseo de cientificidad, alineado con los estándares biomédicos, y la necesidad de sostener una apertura a lo ambiguo, lo narrativo y lo irreductible de la experiencia humana.</w:t>
      </w:r>
    </w:p>
    <w:p w14:paraId="0AFC1667" w14:textId="77777777" w:rsidR="003D68B2" w:rsidRPr="00556A8B" w:rsidRDefault="003D68B2" w:rsidP="00B10ABB">
      <w:r w:rsidRPr="00556A8B">
        <w:t>En este mismo horizonte emerge una preocupación ética por trascender la categorización y la patologización excesiva. El participante 3 lo plantea como un reto central: "cómo profundizar más eso y trascender la categorización y la patologización cuando eso, en el arte de la psicoterapia, el paciente... vaya descubriendo que la categorización y el trastorno no lo es todo ni lo definen como persona", mientras que el participante 6 describe cómo en la práctica "el médico… lo diagnostica con depresión… y te das cuenta de que ese ser humano está pasando por un evento… normal… pero que… todos los seres humanos pasamos por esas mismas condiciones… pero al etiquetarlo, se ignora la singularidad de su experiencia y se convierte en un caso más dentro de una categoría." Este desplazamiento pone en evidencia la tensión entre la función organizadora del saber psicológico y su capacidad de capturar subjetividades bajo marcos normativos rígidos.</w:t>
      </w:r>
    </w:p>
    <w:p w14:paraId="03F42518" w14:textId="77777777" w:rsidR="003D68B2" w:rsidRPr="00556A8B" w:rsidRDefault="003D68B2" w:rsidP="00B10ABB">
      <w:r w:rsidRPr="00556A8B">
        <w:t>Otra contradicción relevante se manifiesta entre teoría y práctica. El participante 5 lo describe con precisión: "muchas veces vamos eligiendo teorías y conceptos que nos resultan familiares o que nos formaron, y con el tiempo terminamos casándonos con ellos. Sin darnos cuenta, empezamos a mirar todo desde ese lente teórico, aplicándolo a cada caso, incluso cuando no encaja del todo. Eso también nos limita como profesionales", señalando cómo las teorías, lejos de ser instrumentos neutrales, actúan como dispositivos que delimitan lo pensable y lo intervenible, transformándose cuando se absolutizan en formas de gubernamentalidad profesional que regulan no solo la práctica sino también la imaginación clínica.</w:t>
      </w:r>
    </w:p>
    <w:p w14:paraId="483FBB9F" w14:textId="77777777" w:rsidR="003D68B2" w:rsidRPr="00556A8B" w:rsidRDefault="003D68B2" w:rsidP="00B10ABB">
      <w:r w:rsidRPr="00556A8B">
        <w:lastRenderedPageBreak/>
        <w:t>Finalmente, se observa la banalización del diagnóstico en el espacio público. El participante 7 lo advierte al señalar que "hay mucha desinformación… han empezado a jugar con el diagnóstico como una etiqueta… a veces a la gente eso le produce ciertas ganancias secundarias. El problema es que se pierde la comprensión del diagnóstico como una herramienta orientadora y se convierte en un estigma o en un papel que se representa", evidenciando cómo las categorías psicológicas han trascendido el ámbito profesional para instalarse en el lenguaje cotidiano, donde funcionan como repertorios identitarios que moldean formas de reconocerse y narrarse.</w:t>
      </w:r>
    </w:p>
    <w:p w14:paraId="500D9B8D" w14:textId="77777777" w:rsidR="003D68B2" w:rsidRPr="00556A8B" w:rsidRDefault="003D68B2" w:rsidP="00B10ABB">
      <w:r w:rsidRPr="00556A8B">
        <w:t>Dichas contradicciones, entre orientación y estigmatización, técnica y ética, teoría y singularidad, cientificidad y sensibilidad, muestran que la psicología contemporánea se encuentra en una encrucijada epistemológica y política. La salud mental emerge como campo en disputa, atravesado por fuerzas de normalización y por intentos de resistencia crítica. El diagnóstico, las teorías y las prácticas del psicólogo aparecen entonces como tecnologías de poder que, al mismo tiempo que buscan orientar, producen formas de sujeción y subjetivación.</w:t>
      </w:r>
    </w:p>
    <w:p w14:paraId="258F300C" w14:textId="546B22E1" w:rsidR="00DE23BF" w:rsidRPr="00556A8B" w:rsidRDefault="003D68B2" w:rsidP="00B10ABB">
      <w:r w:rsidRPr="00556A8B">
        <w:t>Las voces recogidas muestran las tensiones y ambivalencias que atraviesan el ejercicio profesional. En ellas se evidencia cómo el diagnóstico puede operar simultáneamente como herramienta orientadora y como rótulo limitante; cómo la búsqueda de legitimidad científica convive con la preocupación por no perder la dimensión humana del acompañamiento; y cómo la adhesión a modelos teóricos puede ofrecer seguridad técnica, pero también restringir la mirada clínica. En conjunto, los relatos no configuran una posición homogénea, sino un campo de disputas internas donde los propios profesionales reconocen los riesgos, límites y paradojas de su práctica, dejando ver que la salud mental no es un territorio estable, sino un espacio atravesado por contradicciones que exigen una reflexividad constante.</w:t>
      </w:r>
    </w:p>
    <w:p w14:paraId="187ABCBD" w14:textId="67B1DE83" w:rsidR="000E5B14" w:rsidRPr="00556A8B" w:rsidRDefault="000E5B14" w:rsidP="00357B2F">
      <w:pPr>
        <w:pStyle w:val="Ttulo2"/>
      </w:pPr>
      <w:bookmarkStart w:id="124" w:name="_Toc232580639"/>
      <w:r w:rsidRPr="00556A8B">
        <w:t>Tensiones entre dimensiones individuales, colectivas y estructurales</w:t>
      </w:r>
      <w:bookmarkEnd w:id="124"/>
    </w:p>
    <w:p w14:paraId="5A709B97" w14:textId="77777777" w:rsidR="000C779F" w:rsidRPr="00556A8B" w:rsidRDefault="00523FAE" w:rsidP="00B10ABB">
      <w:r w:rsidRPr="00556A8B">
        <w:t xml:space="preserve">Los discursos analizados evidencian que la salud mental se encuentra atravesada por una tensión estructural entre los ideales normativos del bienestar y las condiciones materiales que dificultan su realización. El participante 1 lo advierte con precisión: "está el bum de la salud mental… el bienestar, la felicidad… y lo cogen de excusa… pero de fondo realmente no está el cuidado de la salud mental", señalando cómo la proliferación discursiva del bienestar no se traduce necesariamente en prácticas efectivas de cuidado. Se configura así una brecha entre el </w:t>
      </w:r>
      <w:r w:rsidRPr="00556A8B">
        <w:lastRenderedPageBreak/>
        <w:t>enunciado del cuidado y la posibilidad real de ejercerlo, donde la salud mental corre el riesgo de convertirse en una consigna aspiracional más que en una práctica garantizada.</w:t>
      </w:r>
      <w:r w:rsidR="000C779F" w:rsidRPr="00556A8B">
        <w:t xml:space="preserve"> </w:t>
      </w:r>
    </w:p>
    <w:p w14:paraId="03AAA478" w14:textId="77777777" w:rsidR="000C779F" w:rsidRPr="00556A8B" w:rsidRDefault="00523FAE" w:rsidP="00B10ABB">
      <w:r w:rsidRPr="00556A8B">
        <w:t>La idealización del bienestar, asociado a funcionalidad, adaptabilidad y estabilidad emocional, opera como forma de gubernamentalidad en la medida en que produce sujetos que internalizan la obligación de "estar bien". El participante 3 lo describe al señalar que "los valores y los costos a nivel de salud mental están altísimos. Y estamos en una moda también de que debes estar muy sano", evidenciando cómo esta exigencia contrasta con sistemas de atención que no aseguran continuidad terapéutica ni condiciones dignas de intervención. El participante 2 profundiza en esta contradicción al lamentar que, aunque sería deseable "que un sistema de salud... pueda tener la posibilidad que se hagan psicoterapias más permanentes... muchas veces no hay ese tipo de intervenciones porque realmente para mí no hay una fuerza política muy fuerte en este lado de lo diferente al modelo biomédico." El bienestar se instala, entonces, como promesa discursiva que excede su materialización efectiva</w:t>
      </w:r>
      <w:r w:rsidR="000C779F" w:rsidRPr="00556A8B">
        <w:t>.</w:t>
      </w:r>
    </w:p>
    <w:p w14:paraId="665CE532" w14:textId="77777777" w:rsidR="000C779F" w:rsidRPr="00556A8B" w:rsidRDefault="00523FAE" w:rsidP="00B10ABB">
      <w:r w:rsidRPr="00556A8B">
        <w:t>Una de las paradojas más visibles radica en la relación entre el mandato del bienestar y la exclusión económica. El participante 7 lo enuncia con contundencia: "vos no le puedes pedir a una persona que no tiene sus necesidades básicas cubiertas… que tenga salud mental", revelando cómo el ideal del "estar bien" se articula con lógicas de consumo que refuerzan desigualdades sociales y configuran una moral del autocuidado desanclada de las condiciones estructurales que producen el sufrimiento. La promesa de felicidad se convierte así en un marcador de distinción social que transforma la salud mental en privilegio antes que en derecho</w:t>
      </w:r>
      <w:r w:rsidR="000C779F" w:rsidRPr="00556A8B">
        <w:t>.</w:t>
      </w:r>
    </w:p>
    <w:p w14:paraId="464696F6" w14:textId="77777777" w:rsidR="000C779F" w:rsidRPr="00556A8B" w:rsidRDefault="00523FAE" w:rsidP="00B10ABB">
      <w:r w:rsidRPr="00556A8B">
        <w:t>De manera similar, algunos discursos asocian la salud mental con un estado de armonía constante, reduciendo la legitimidad de emociones como la tristeza, la frustración o la angustia. El participante 4 lo señala al advertir que "pensar como que el hecho de que las personas… puedan tener herramientas para vivir o que se conozcan o que se sientan bien… se vuelve el ideal… y se quita espacio para lo otro que también es humano", cuestionando cómo la normalización del optimismo tiende a silenciar experiencias afectivas disonantes y a patologizar la diferencia emocional, reforzando el mandato de ajuste permanente al ideal de bienestar.</w:t>
      </w:r>
    </w:p>
    <w:p w14:paraId="3FF137EF" w14:textId="77777777" w:rsidR="000C779F" w:rsidRPr="00556A8B" w:rsidRDefault="00523FAE" w:rsidP="00B10ABB">
      <w:r w:rsidRPr="00556A8B">
        <w:t xml:space="preserve">Asimismo, emerge una tensión en ciertas posturas profesionales que reivindican una supuesta neutralidad frente a las condiciones socioeconómicas de los consultantes. El participante 5 lo expresa al afirmar que "no tengo problema en atender cualquier tipo de personas, a excepción… no me importa lo económico, no me importa lo social, no me importa lo cultural", </w:t>
      </w:r>
      <w:r w:rsidRPr="00556A8B">
        <w:lastRenderedPageBreak/>
        <w:t>enunciado que, aunque puede leerse como apertura inclusiva, invisibiliza las desigualdades materiales y simbólicas que condicionan el acceso al cuidado y puede operar como forma de despolitización al desanclar la práctica clínica de los escenarios concretos de vulnerabilidad.</w:t>
      </w:r>
    </w:p>
    <w:p w14:paraId="57D1457B" w14:textId="77777777" w:rsidR="000C779F" w:rsidRPr="00556A8B" w:rsidRDefault="00523FAE" w:rsidP="00B10ABB">
      <w:r w:rsidRPr="00556A8B">
        <w:t>Finalmente, se observa una distancia significativa entre los discursos preventivos e institucionales y las prácticas efectivas de intervención. El participante 6 lo ilustra al reconocer que "decimos que hay que trabajar en crecimiento y desarrollo con esos papás… pero nos quedamos basadas muy en cosas como muy de encima y no trabajamos ese aspecto vincular", señalando cómo las acciones suelen concentrarse en la modificación conductual rápida y medible, priorizando criterios de eficiencia por encima de dimensiones vinculares, afectivas y estructurales. La salud mental se sostiene así más como declaración programática que como transformación concreta de las condiciones que producen malestar.</w:t>
      </w:r>
    </w:p>
    <w:p w14:paraId="67F5430F" w14:textId="77777777" w:rsidR="000C779F" w:rsidRPr="00556A8B" w:rsidRDefault="000C779F" w:rsidP="00B10ABB">
      <w:r w:rsidRPr="00556A8B">
        <w:t>Las</w:t>
      </w:r>
      <w:r w:rsidR="00523FAE" w:rsidRPr="00556A8B">
        <w:t xml:space="preserve"> tensiones revelan una fractura persistente entre la retórica de la plenitud y la materialidad del desamparo. La salud mental se configura como un campo en disputa donde coexisten la promesa de bienestar universal y la exclusión estructural que limita su acceso. Las prácticas profesionales quedan situadas entre la exigencia institucional de producir sujetos saludables y la constatación cotidiana de que el bienestar no puede sostenerse sobre bases precarias, evidenciando que el ideal de la salud mental opera simultáneamente como promesa normativa y como mecanismo de exclusión.</w:t>
      </w:r>
    </w:p>
    <w:p w14:paraId="165434F6" w14:textId="5274DAA8" w:rsidR="00523FAE" w:rsidRPr="00556A8B" w:rsidRDefault="00523FAE" w:rsidP="00B10ABB">
      <w:r w:rsidRPr="00556A8B">
        <w:t>Las citas presentadas permiten evidenciar con mayor claridad esta fractura entre el discurso idealizante del bienestar y las condiciones estructurales que limitan su realización. En ellas se articula, por un lado, el reconocimiento de la salud mental y su conversión en tendencia social y, por otro, la constatación de barreras económicas, políticas e institucionales que restringen el acceso efectivo a procesos de cuidado sostenidos. Esta tensión confirma que la salud mental no puede pensarse únicamente en clave individual, sino como un fenómeno atravesado por desigualdades materiales, decisiones políticas y prioridades institucionales que condicionan quién puede sostener procesos terapéuticos y en qué circunstancias. De este modo, el análisis revela que el bienestar psicológico se configura en la intersección, no siempre armónica, entre dimensiones subjetivas, colectivas y estructurales, poniendo en cuestión cualquier comprensión reducida o descontextualizada del cuidado en salud mental.</w:t>
      </w:r>
    </w:p>
    <w:p w14:paraId="0EF8417D" w14:textId="77777777" w:rsidR="00DE23BF" w:rsidRPr="00556A8B" w:rsidRDefault="00DE23BF" w:rsidP="000162FA">
      <w:pPr>
        <w:rPr>
          <w:rFonts w:cs="Times New Roman"/>
          <w:bCs/>
          <w:lang w:val="es-MX"/>
        </w:rPr>
      </w:pPr>
    </w:p>
    <w:p w14:paraId="2C62A5E8" w14:textId="77777777" w:rsidR="000E5B14" w:rsidRPr="00556A8B" w:rsidRDefault="000E5B14" w:rsidP="00357B2F">
      <w:pPr>
        <w:pStyle w:val="Ttulo2"/>
        <w:rPr>
          <w:lang w:val="es-MX"/>
        </w:rPr>
      </w:pPr>
      <w:bookmarkStart w:id="125" w:name="_Toc232580640"/>
      <w:r w:rsidRPr="00556A8B">
        <w:rPr>
          <w:lang w:val="es-MX"/>
        </w:rPr>
        <w:lastRenderedPageBreak/>
        <w:t>Psicología como herramienta vs. como normalizadora</w:t>
      </w:r>
      <w:bookmarkEnd w:id="125"/>
    </w:p>
    <w:p w14:paraId="68FF98CB" w14:textId="77777777" w:rsidR="000C779F" w:rsidRPr="00556A8B" w:rsidRDefault="00523FAE" w:rsidP="00B10ABB">
      <w:r w:rsidRPr="00556A8B">
        <w:t>Los discursos analizados configuran a la psicología como un campo atravesado por una ambivalencia constitutiva: al mismo tiempo que se presenta como herramienta de comprensión y acompañamiento del sufrimiento, participa en la producción y sostenimiento de criterios que delimitan lo normal, lo adaptativo y lo saludable. El participante 1 lo expresa con claridad autocrítica: "yo siento que nosotros hemos aportado, pero también hemos desaportado… hemos aportado en esa construcción negativa, en esa forma de entender la salud mental desde la carencia o el déficit. A veces sin darnos cuenta hemos reforzado una mirada muy centrada en el problema, en lo que falta, y no tanto en las posibilidades o recursos de las personas. Creo que la psicología ha tenido un papel ambiguo, porque puede acompañar y liberar, pero también puede marcar y limitar." Esta tensión no aparece como un señalamiento externo, sino como una reflexión autocrítica desde el interior mismo del ejercicio profesional.</w:t>
      </w:r>
    </w:p>
    <w:p w14:paraId="0F56F8FA" w14:textId="2090AB12" w:rsidR="00523FAE" w:rsidRPr="00556A8B" w:rsidRDefault="00523FAE" w:rsidP="00B10ABB">
      <w:r w:rsidRPr="00556A8B">
        <w:t>En este escenario, la persistencia del paradigma biomédico continúa operando como eje estructurante de las prácticas en salud mental. El participante 2 lo describe al señalar que "no hay duda de que el discurso hegemónico del modelo biomédico aún sigue imperando... y que opaca mucho el otro discurso... que busca ver la salud mental como algo más contextual, más interactivo. Todavía pesa esa mirada que clasifica, medicaliza, que mide todo en función de los síntomas y la patología", evidenciando cómo este modelo mantiene una fuerte capacidad organizadora que restringe los márgenes de incidencia de otras perspectivas. La experiencia subjetiva tiende así a traducirse en categorías diagnósticas o en protocolos estandarizados, reduciendo la complejidad de lo vivido a esquemas previamente validados por la comunidad científica.</w:t>
      </w:r>
    </w:p>
    <w:p w14:paraId="169A48AB" w14:textId="77777777" w:rsidR="00523FAE" w:rsidRPr="00556A8B" w:rsidRDefault="00523FAE" w:rsidP="00B10ABB">
      <w:r w:rsidRPr="00556A8B">
        <w:t xml:space="preserve">A la vez, emerge una preocupación ética por no reproducir mecánicamente lenguajes taxonómicos que desdibujen la singularidad del sujeto. El participante 3 lo formula como una invitación: "nosotros podamos hacer intervenciones… no estar repitiendo el discurso de la clasificación, sino rescatar el ser humano… humanizando la clasificación, por decirlo así", mientras que el participante 7 matiza al señalar que "la psicología establece unos parámetros de funcionamiento… unos criterios sobre lo que se considera adaptativo o saludable, pero realmente nosotros facilitamos otras formas de ver el mundo; no es porque nosotros tengamos la única forma de verlo." En esta búsqueda, se cuestiona la pretensión de neutralidad del conocimiento </w:t>
      </w:r>
      <w:r w:rsidRPr="00556A8B">
        <w:lastRenderedPageBreak/>
        <w:t>psicológico y se reconoce su carácter situado, históricamente configurado y atravesado por relaciones de poder.</w:t>
      </w:r>
    </w:p>
    <w:p w14:paraId="37E2844A" w14:textId="77777777" w:rsidR="00523FAE" w:rsidRPr="00556A8B" w:rsidRDefault="00523FAE" w:rsidP="00B10ABB">
      <w:r w:rsidRPr="00556A8B">
        <w:t>Asimismo, los discursos problematizan las prácticas de estandarización que, en nombre de la calidad y la uniformidad, tienden a homogeneizar las subjetividades. El participante 4 lo advierte al señalar que "si se estandarizan como ciertas prácticas que son las que son adecuadas… creo que sí hay discursos que lo que buscan es homogeneizar, todos deben de responder a los mismos métodos o criterios de evaluación", mientras que el participante 5 reconoce que "la psicología le da soporte teórico y técnico a la sociedad para la construcción de unos estándares", evidenciando cómo estas herramientas, aunque buscan garantizar coherencia profesional, pueden operar como mecanismos que estrechan el campo de lo posible, reproduciendo estándares sobre cómo sentir, comportarse o adaptarse.</w:t>
      </w:r>
    </w:p>
    <w:p w14:paraId="07F9DF41" w14:textId="77777777" w:rsidR="00523FAE" w:rsidRPr="00556A8B" w:rsidRDefault="00523FAE" w:rsidP="00B10ABB">
      <w:r w:rsidRPr="00556A8B">
        <w:t>De manera complementaria, se advierte la dificultad de consolidar una perspectiva preventiva que no derive en nuevas formas de patologización. El participante 6 lo describe al señalar que "la influencia de modelos en la psicología ha sido centrada en la enfermedad… ese proceso preventivo… no se ha dado con la integración adecuada… creo que a veces la prevención se queda en el discurso, pero en la práctica continúa actuando desde la lógica de corregir", revelando una dependencia persistente del paradigma enfermedad-tratamiento incluso en escenarios que buscan promover bienestar.</w:t>
      </w:r>
    </w:p>
    <w:p w14:paraId="17F68853" w14:textId="3DF1B66B" w:rsidR="00523FAE" w:rsidRPr="00556A8B" w:rsidRDefault="000C779F" w:rsidP="00B10ABB">
      <w:r w:rsidRPr="00556A8B">
        <w:t>Estos</w:t>
      </w:r>
      <w:r w:rsidR="00523FAE" w:rsidRPr="00556A8B">
        <w:t xml:space="preserve"> hallazgos</w:t>
      </w:r>
      <w:r w:rsidRPr="00556A8B">
        <w:t>, entonces,</w:t>
      </w:r>
      <w:r w:rsidR="00523FAE" w:rsidRPr="00556A8B">
        <w:t xml:space="preserve"> muestran que la psicología se despliega en un campo de tensiones entre cuidado y regulación, acompañamiento y estandarización, apertura a la pluralidad y reproducción de marcos normativos. Su potencia transformadora no puede desligarse de su capacidad de ordenar, clasificar y establecer criterios de funcionamiento. Más que resolver esta ambivalencia, los discursos la hacen visible, situando a la disciplina frente a un desafío ético y epistemológico: reconocer que toda intervención no solo atiende el malestar, sino que también participa en la definición de lo que, en un momento histórico determinado, cuenta como estar "mentalmente sano."</w:t>
      </w:r>
    </w:p>
    <w:p w14:paraId="67D8851B" w14:textId="77777777" w:rsidR="00523FAE" w:rsidRPr="00556A8B" w:rsidRDefault="00523FAE" w:rsidP="00B10ABB">
      <w:r w:rsidRPr="00556A8B">
        <w:t xml:space="preserve">Las voces recogidas sintetizan con claridad esta ambivalencia constitutiva: la psicología es reconocida simultáneamente como espacio de acompañamiento y como instancia productora de estándares. Los participantes no niegan su potencial transformador, pero tampoco desconocen su participación en la consolidación de marcos clasificatorios que delimitan lo saludable, lo adaptativo y lo normal. Esta doble condición sitúa a la disciplina en una zona de tensión </w:t>
      </w:r>
      <w:r w:rsidRPr="00556A8B">
        <w:lastRenderedPageBreak/>
        <w:t>permanente entre cuidado y regulación, apertura y homogeneización. El análisis permite concluir que la psicología no es únicamente un conjunto de técnicas orientadas al bienestar, sino una práctica discursiva con efectos políticos concretos en la producción de subjetividades. Reconocer esta ambigüedad no implica deslegitimar su ejercicio, sino asumir críticamente su poder, para que el acompañamiento no derive inadvertidamente en normalización y para que la intervención conserve su dimensión ética, reflexiva y contextual.</w:t>
      </w:r>
    </w:p>
    <w:p w14:paraId="1796D492" w14:textId="77777777" w:rsidR="000E5B14" w:rsidRPr="00556A8B" w:rsidRDefault="000E5B14" w:rsidP="00357B2F"/>
    <w:p w14:paraId="3420043C" w14:textId="411F6DAD" w:rsidR="005B6E01" w:rsidRPr="00556A8B" w:rsidRDefault="005B6E01" w:rsidP="000162FA">
      <w:pPr>
        <w:spacing w:after="160"/>
        <w:ind w:firstLine="0"/>
        <w:contextualSpacing w:val="0"/>
        <w:rPr>
          <w:rFonts w:cs="Times New Roman"/>
          <w:b/>
        </w:rPr>
      </w:pPr>
      <w:r w:rsidRPr="00556A8B">
        <w:rPr>
          <w:rFonts w:cs="Times New Roman"/>
          <w:b/>
        </w:rPr>
        <w:br w:type="page"/>
      </w:r>
    </w:p>
    <w:p w14:paraId="1065A508" w14:textId="2BB9A10E" w:rsidR="000E5B14" w:rsidRPr="00556A8B" w:rsidRDefault="000E5B14" w:rsidP="000162FA">
      <w:pPr>
        <w:pStyle w:val="Ttulo1"/>
        <w:numPr>
          <w:ilvl w:val="0"/>
          <w:numId w:val="6"/>
        </w:numPr>
        <w:spacing w:line="360" w:lineRule="auto"/>
        <w:ind w:left="426"/>
      </w:pPr>
      <w:bookmarkStart w:id="126" w:name="_Toc232580641"/>
      <w:r w:rsidRPr="00556A8B">
        <w:lastRenderedPageBreak/>
        <w:t>Discusión</w:t>
      </w:r>
      <w:bookmarkStart w:id="127" w:name="_Toc440985142"/>
      <w:bookmarkEnd w:id="110"/>
      <w:bookmarkEnd w:id="126"/>
    </w:p>
    <w:p w14:paraId="059DD442" w14:textId="77777777" w:rsidR="000E5B14" w:rsidRPr="00556A8B" w:rsidRDefault="000E5B14" w:rsidP="000C779F">
      <w:pPr>
        <w:ind w:firstLine="0"/>
        <w:rPr>
          <w:rFonts w:cs="Times New Roman"/>
          <w:b/>
        </w:rPr>
      </w:pPr>
    </w:p>
    <w:p w14:paraId="6E98F5A3" w14:textId="3C0B495D" w:rsidR="00765722" w:rsidRPr="00556A8B" w:rsidRDefault="00765722" w:rsidP="00B10ABB">
      <w:bookmarkStart w:id="128" w:name="_Hlk232404366"/>
      <w:r w:rsidRPr="00556A8B">
        <w:t xml:space="preserve">Los discursos analizados en esta </w:t>
      </w:r>
      <w:r w:rsidR="008F4F69" w:rsidRPr="00556A8B">
        <w:t xml:space="preserve">tesis doctoral </w:t>
      </w:r>
      <w:r w:rsidRPr="00556A8B">
        <w:t>permiten afirmar que la relación entre salud mental y prácticas discursivas de la psicología no puede comprenderse como un vínculo descriptivo ni como una intervención técnicamente neutral. Más bien, se configura como un entramado de operaciones de saber-poder que producen, regulan y legitiman formas específicas de subjetividad reconocidas como “saludables” en el tiempo presente. En este sentido, la pregunta que orientó el estudio</w:t>
      </w:r>
      <w:r w:rsidR="00B511E0" w:rsidRPr="00556A8B">
        <w:t>, ¿</w:t>
      </w:r>
      <w:r w:rsidRPr="00556A8B">
        <w:t>qué relación existe entre salud mental y prácticas discursivas de la psicología en la promoción de formas de subjetividad saludable en la actualidad? no conduce a una respuesta unívoca, sino a la problematización de un dispositivo complejo cuya eficacia radica precisamente en su capacidad de incorporar, modular e institucionalizar incluso las críticas que se le dirigen.</w:t>
      </w:r>
    </w:p>
    <w:p w14:paraId="7D14596F" w14:textId="77777777" w:rsidR="00765722" w:rsidRPr="00556A8B" w:rsidRDefault="00765722" w:rsidP="00B10ABB">
      <w:r w:rsidRPr="00556A8B">
        <w:t xml:space="preserve">La lectura que aquí se propone se articula a través del dispositivo metodológico del </w:t>
      </w:r>
      <w:r w:rsidRPr="00556A8B">
        <w:rPr>
          <w:bCs/>
        </w:rPr>
        <w:t>caleidoscopio discursivo</w:t>
      </w:r>
      <w:r w:rsidRPr="00556A8B">
        <w:t>. Esta metáfora no cumple una función meramente ilustrativa, sino que organiza la estrategia analítica: cada giro reconfigura los mismos fragmentos discursivos bajo ángulos distintos, permitiendo identificar no solo lo que los siete profesionales entrevistados dicen sobre la salud mental, sino las condiciones históricas, políticas y epistemológicas que hacen posibles esas enunciaciones. El análisis trascendió la descripción temática para indagar en las gramáticas discursivas que estructuran el campo: normas de enunciación, jerarquías semánticas, oposiciones recurrentes y asociaciones conceptuales que delimitan lo decible y lo pensable. En términos foucaultianos, se trata de examinar el régimen de verdad que organiza el dominio de la salud mental, es decir, las reglas que determinan qué cuenta como conocimiento válido, qué prácticas resultan legítimas y qué formas de subjetividad son reconocidas como normales o deseables.</w:t>
      </w:r>
    </w:p>
    <w:p w14:paraId="10B7F4D5" w14:textId="52E71194" w:rsidR="00765722" w:rsidRPr="00556A8B" w:rsidRDefault="00765722" w:rsidP="00B10ABB">
      <w:r w:rsidRPr="00556A8B">
        <w:t xml:space="preserve">La triangulación entre los discursos profesionales, el análisis estructural de contenido y el marco teórico foucaultiano permite sostener que la salud mental opera simultáneamente como objeto de saber y como dispositivo de gubernamentalidad. Por una parte, la psicología produce categorías diagnósticas, marcos explicativos y técnicas de intervención que buscan comprender y aliviar el sufrimiento. Por otra, esas mismas prácticas funcionan como tecnologías de normalización que delimitan fronteras entre lo normal y lo patológico, establecen criterios de funcionalidad y adaptabilidad, y promueven formas específicas de autogobierno. Esta doble </w:t>
      </w:r>
      <w:r w:rsidRPr="00556A8B">
        <w:lastRenderedPageBreak/>
        <w:t>condición</w:t>
      </w:r>
      <w:r w:rsidR="004F3849" w:rsidRPr="00556A8B">
        <w:t xml:space="preserve">. </w:t>
      </w:r>
      <w:r w:rsidRPr="00556A8B">
        <w:t>cuidado y regulación, acompañamiento y control</w:t>
      </w:r>
      <w:r w:rsidR="004F3849" w:rsidRPr="00556A8B">
        <w:t>,</w:t>
      </w:r>
      <w:r w:rsidRPr="00556A8B">
        <w:t xml:space="preserve"> no constituye una incoherencia interna del campo, sino uno de los núcleos estructurales de su funcionamiento contemporáneo.</w:t>
      </w:r>
    </w:p>
    <w:p w14:paraId="7C384C71" w14:textId="77777777" w:rsidR="00765722" w:rsidRPr="00556A8B" w:rsidRDefault="00765722" w:rsidP="00B10ABB">
      <w:r w:rsidRPr="00556A8B">
        <w:t>Un hallazgo especialmente significativo es la presencia de una reflexividad crítica en los propios discursos profesionales. Los participantes reconocen las limitaciones del modelo biomédico, cuestionan la rigidez diagnóstica y expresan preocupación por la singularidad del sujeto. Sin embargo, esta reflexividad no necesariamente fractura el régimen que problematiza. Cuando se institucionaliza como “práctica centrada en la persona”, “diagnóstico humanizado” o “intervención integral”, la crítica se transforma en un mecanismo de actualización interna del dispositivo. El poder no requiere suprimir la objeción; puede integrarla como evidencia de apertura y sofisticación. La autocrítica disciplinar deviene, así, una de las condiciones de su continuidad.</w:t>
      </w:r>
    </w:p>
    <w:p w14:paraId="16D98CAE" w14:textId="77777777" w:rsidR="00765722" w:rsidRPr="00556A8B" w:rsidRDefault="00765722" w:rsidP="00B10ABB">
      <w:pPr>
        <w:rPr>
          <w:rFonts w:eastAsia="Times New Roman" w:cs="Times New Roman"/>
          <w:bCs/>
        </w:rPr>
      </w:pPr>
      <w:r w:rsidRPr="00556A8B">
        <w:rPr>
          <w:rFonts w:eastAsia="Times New Roman" w:cs="Times New Roman"/>
          <w:bCs/>
        </w:rPr>
        <w:t>La discusión se organiza en cinco movimientos analíticos que funcionan como giros sucesivos del caleidoscopio. El primero examina la configuración del régimen discursivo de la salud mental; el segundo explora las tensiones internas que lo atraviesan; el tercero analiza las tecnologías subjetivantes mediante las cuales los individuos aprenden a gobernarse como sujetos “saludables”; el cuarto sitúa el dispositivo en sus condicionantes estructurales y sociopolíticos; y el quinto aborda las paradojas que emergen de esta articulación, particularmente la forma en que el poder contemporáneo opera a través de la libertad administrada y la autonomía condicionada.</w:t>
      </w:r>
    </w:p>
    <w:p w14:paraId="12F95E7F" w14:textId="7CEFFFE2" w:rsidR="00765722" w:rsidRPr="00556A8B" w:rsidRDefault="00765722" w:rsidP="00B10ABB">
      <w:pPr>
        <w:rPr>
          <w:rFonts w:eastAsia="Times New Roman" w:cs="Times New Roman"/>
          <w:bCs/>
        </w:rPr>
      </w:pPr>
      <w:r w:rsidRPr="00556A8B">
        <w:rPr>
          <w:rFonts w:eastAsia="Times New Roman" w:cs="Times New Roman"/>
          <w:bCs/>
        </w:rPr>
        <w:t>Esta discusión parte del reconocimiento de que las categorías de salud mental no constituyen verdades universales, sino construcciones históricamente situadas cuya legitimidad depende de regímenes de verdad específicos y de relaciones de poder asimétricas. El propósito no es desacreditar la psicología ni negar la realidad del sufrimiento, sino problematizar las condiciones bajo las cuales el cuidado se entrelaza con la normalización. Más que ofrecer soluciones prescriptivas, el análisis busca aportar claridad sobre el modo en que la gubernamentalidad contemporánea produce sujetos que se experimentan como libres mientras se autoconducen conforme a imperativos de bienestar, funcionalidad y adaptación.</w:t>
      </w:r>
    </w:p>
    <w:p w14:paraId="3F0E598C" w14:textId="77777777" w:rsidR="005B6E01" w:rsidRPr="00556A8B" w:rsidRDefault="005B6E01" w:rsidP="000162FA">
      <w:pPr>
        <w:rPr>
          <w:rFonts w:cs="Times New Roman"/>
        </w:rPr>
      </w:pPr>
    </w:p>
    <w:p w14:paraId="02F33502" w14:textId="183F42AC" w:rsidR="000E5B14" w:rsidRPr="00556A8B" w:rsidRDefault="005B6E01" w:rsidP="00357B2F">
      <w:pPr>
        <w:pStyle w:val="Ttulo2"/>
      </w:pPr>
      <w:bookmarkStart w:id="129" w:name="_Toc232580642"/>
      <w:r w:rsidRPr="00556A8B">
        <w:t>Movimiento 1: el régimen discursivo de la salud mental</w:t>
      </w:r>
      <w:bookmarkEnd w:id="129"/>
    </w:p>
    <w:p w14:paraId="7F94E744" w14:textId="77777777" w:rsidR="00765722" w:rsidRPr="00556A8B" w:rsidRDefault="00765722" w:rsidP="00B10ABB">
      <w:r w:rsidRPr="00556A8B">
        <w:t xml:space="preserve">En el discurso contemporáneo, la salud mental se presenta como una categoría evidente, científica y universal. Términos como bienestar, funcionalidad, adaptabilidad, regulación emocional y equilibrio circulan como atributos naturales de un estado deseable de la existencia. </w:t>
      </w:r>
      <w:r w:rsidRPr="00556A8B">
        <w:lastRenderedPageBreak/>
        <w:t>No obstante, esta aparente transparencia encubre un proceso histórico de construcción. La salud mental no emerge como descubrimiento neutral de la ciencia psicológica, sino como efecto de dispositivos de saber-poder que han delimitado qué puede decirse sobre el malestar, qué formas de vida resultan legítimas y cuáles requieren corrección.</w:t>
      </w:r>
    </w:p>
    <w:p w14:paraId="0E791743" w14:textId="77777777" w:rsidR="00765722" w:rsidRPr="00556A8B" w:rsidRDefault="00765722" w:rsidP="00B10ABB">
      <w:r w:rsidRPr="00556A8B">
        <w:t>Desde esta perspectiva, siguiendo a Foucault (1976), no existe una verdad ahistórica sobre la salud mental. Cada sociedad instituye sus propios regímenes de verdad: conjuntos de procedimientos que regulan la producción, validación y circulación de enunciados considerados verdaderos. En el caso de la salud mental, este régimen establece criterios históricamente situados para distinguir entre lo normal y lo patológico, lo funcional y lo disfuncional, lo saludable y lo desviado. Tales distinciones no solo orientan prácticas clínicas e intervenciones terapéuticas, sino que configuran marcos de inteligibilidad dentro de los cuales los sujetos aprenden a comprenderse y evaluarse a sí mismos.</w:t>
      </w:r>
    </w:p>
    <w:p w14:paraId="567E2D0C" w14:textId="77777777" w:rsidR="00765722" w:rsidRPr="00556A8B" w:rsidRDefault="00765722" w:rsidP="00B10ABB">
      <w:r w:rsidRPr="00556A8B">
        <w:t>La reflexión de Canguilhem (1981) resulta clave para esta desnaturalización. Lo normal no se define por la mera frecuencia estadística, sino por las normas históricas de una colectividad. La normalidad es expresión de un orden de vida específico y variable, no un promedio universal inmutable. En consecuencia, aquello que hoy se nombra como salud mental no constituye el descubrimiento de una esencia psicológica, sino la cristalización discursiva de criterios normativos que responden a racionalidades políticas propias del presente.</w:t>
      </w:r>
    </w:p>
    <w:p w14:paraId="4192F8AE" w14:textId="6226B4FD" w:rsidR="00765722" w:rsidRPr="00556A8B" w:rsidRDefault="00765722" w:rsidP="00B10ABB">
      <w:r w:rsidRPr="00556A8B">
        <w:t>El diagnóstico constituye la puerta de entrada material a este régimen de verdad. Cuando la psicología o la psiquiatría asignan una categoría diagnóstica</w:t>
      </w:r>
      <w:r w:rsidR="005B6E01" w:rsidRPr="00556A8B">
        <w:t xml:space="preserve">, </w:t>
      </w:r>
      <w:r w:rsidRPr="00556A8B">
        <w:t>trastorno depresivo, trastorno de ansiedad, trastorno de personalidad</w:t>
      </w:r>
      <w:r w:rsidR="005B6E01" w:rsidRPr="00556A8B">
        <w:t>,</w:t>
      </w:r>
      <w:r w:rsidRPr="00556A8B">
        <w:t xml:space="preserve"> no se limitan a describir un estado ontológico preexistente; instituyen una verdad sobre el sujeto. El diagnóstico opera como dispositivo normativo que clasifica, fija identidades y delimita modos legítimos de ser (Caponi, 2009, 2012). En el momento de la etiquetación, el sujeto se vuelve legible para el sistema: cognoscible, registrable e intervenible.</w:t>
      </w:r>
    </w:p>
    <w:p w14:paraId="3E5B0473" w14:textId="77777777" w:rsidR="00765722" w:rsidRPr="00556A8B" w:rsidRDefault="00765722" w:rsidP="00B10ABB">
      <w:r w:rsidRPr="00556A8B">
        <w:t xml:space="preserve">Esta legibilidad tiene un costo: la individualización. La experiencia singular es traducida a categorías estandarizadas extraídas de manuales diagnósticos con pretensión de validez global. Lo que Bedoya (2021) denomina “estrategia de gobierno” se hace visible aquí: el poder individualiza para normalizar. Como advierte Foucault (2002), las disciplinas clasifican, distribuyen y jerarquizan a los individuos en torno a una norma. La clasificación no es una </w:t>
      </w:r>
      <w:r w:rsidRPr="00556A8B">
        <w:lastRenderedPageBreak/>
        <w:t>operación neutra; es una práctica que ordena el campo de lo posible y delimita los márgenes de lo aceptable.</w:t>
      </w:r>
    </w:p>
    <w:p w14:paraId="44C6966E" w14:textId="7637CD38" w:rsidR="00765722" w:rsidRPr="00556A8B" w:rsidRDefault="00765722" w:rsidP="00B10ABB">
      <w:r w:rsidRPr="00556A8B">
        <w:t>Los manuales diagnósticos</w:t>
      </w:r>
      <w:r w:rsidR="005B6E01" w:rsidRPr="00556A8B">
        <w:t xml:space="preserve">, </w:t>
      </w:r>
      <w:r w:rsidRPr="00556A8B">
        <w:t>DSM y CIE</w:t>
      </w:r>
      <w:r w:rsidR="005B6E01" w:rsidRPr="00556A8B">
        <w:t>,</w:t>
      </w:r>
      <w:r w:rsidRPr="00556A8B">
        <w:t xml:space="preserve"> constituyen tecnologías centrales en esta operación. No son meros instrumentos descriptivos, sino máquinas de producción de verdad disciplinar. Al establecer criterios universales de enfermedad mental, instituyen estándares que trascienden contextos culturales e históricos, presentándose como válidos en cualquier tiempo y lugar. Caponi (2018) ha mostrado cómo estos manuales transforman experiencias humanas en entidades patológicas, ampliando progresivamente las fronteras de lo psicopatológico. La psicologización de la vida cotidiana opera, así, mediante la expansión de categorías que traducen sufrimientos ordinarios en síntomas clínicos.</w:t>
      </w:r>
    </w:p>
    <w:p w14:paraId="1185CDF5" w14:textId="44C024A3" w:rsidR="00765722" w:rsidRPr="00556A8B" w:rsidRDefault="00765722" w:rsidP="00B10ABB">
      <w:r w:rsidRPr="00556A8B">
        <w:t xml:space="preserve">La normalización que se deriva de este proceso no describe lo normal; lo produce. Foucault (2002) señala que la norma introduce un “juego de grados” que clasifica y distribuye a los </w:t>
      </w:r>
      <w:r w:rsidR="00E6303F">
        <w:t>sujetos</w:t>
      </w:r>
      <w:r w:rsidR="00E6303F" w:rsidRPr="00556A8B">
        <w:t xml:space="preserve"> </w:t>
      </w:r>
      <w:r w:rsidRPr="00556A8B">
        <w:t>dentro de una escala jerárquica. Bajo la apariencia de objetividad científica, la homogeneidad se instituye como criterio de evaluación. El diagnóstico no solo nombra; orienta la autocomprensión del sujeto. Al interiorizar la categoría que lo define, el individuo aprende a juzgarse según estándares previamente establecidos. El control alcanza entonces su máxima eficacia cuando se desplaza del exterior al interior, convirtiendo al sujeto en agente de su propia regulación.</w:t>
      </w:r>
    </w:p>
    <w:p w14:paraId="553AFB3B" w14:textId="77777777" w:rsidR="00765722" w:rsidRPr="00556A8B" w:rsidRDefault="00765722" w:rsidP="00B10ABB">
      <w:r w:rsidRPr="00556A8B">
        <w:t>En este punto se revela la doble dimensión del régimen discursivo de la salud mental. Por un lado, produce un saber descriptivo acerca de qué es la salud mental. Por otro, instituye un mandato normativo sobre cómo deben vivir los sujetos para ser reconocidos como saludables. Estas dimensiones no son separables. Como advierte Foucault (1970), los discursos no solo representan objetos; los constituyen. El saber psicológico que define equilibrio, adaptación o funcionamiento óptimo se transforma inmediatamente en criterio prescriptivo. La descripción deviene norma.</w:t>
      </w:r>
    </w:p>
    <w:p w14:paraId="52C4EE5C" w14:textId="77777777" w:rsidR="00765722" w:rsidRPr="00556A8B" w:rsidRDefault="00765722" w:rsidP="00B10ABB">
      <w:r w:rsidRPr="00556A8B">
        <w:t xml:space="preserve">Esta lógica se articula con una forma contemporánea de gubernamentalidad. Como plantea Rose (2019), el gobierno actual no opera principalmente por coerción directa, sino mediante la producción de individuos que se conciben responsables de su propio bienestar. El régimen de salud mental promueve ideales de autonomía, autorregulación y autogestión que inducen al sujeto a ordenar su vida conforme a parámetros de eficiencia y normalidad. En </w:t>
      </w:r>
      <w:r w:rsidRPr="00556A8B">
        <w:lastRenderedPageBreak/>
        <w:t>términos de Bedoya (2021), se configura un “autogobierno de la normalización”: el sujeto internaliza la norma y se convierte en su ejecutor.</w:t>
      </w:r>
    </w:p>
    <w:p w14:paraId="0C4B52BA" w14:textId="711F7DDA" w:rsidR="00140207" w:rsidRDefault="00765722" w:rsidP="00140207">
      <w:r w:rsidRPr="00556A8B">
        <w:t>Así, la salud mental se consolida como un dominio de verdad regulado en el que convergen profesionales, instituciones, manuales diagnósticos, políticas públicas y discursos sociales más amplios. La coherencia que proyecta este campo</w:t>
      </w:r>
      <w:r w:rsidR="004F3849" w:rsidRPr="00556A8B">
        <w:t xml:space="preserve">, </w:t>
      </w:r>
      <w:r w:rsidRPr="00556A8B">
        <w:t>su apariencia de cientificidad y neutralidad</w:t>
      </w:r>
      <w:r w:rsidR="004F3849" w:rsidRPr="00556A8B">
        <w:t xml:space="preserve">., </w:t>
      </w:r>
      <w:r w:rsidRPr="00556A8B">
        <w:t>no elimina las tensiones que lo atraviesan. Por el contrario, su eficacia radica en la capacidad de incorporar dichas tensiones como mecanismos de actualización interna. El régimen no se sostiene a pesar de sus contradicciones, sino gracias a ellas.</w:t>
      </w:r>
    </w:p>
    <w:p w14:paraId="34F21303" w14:textId="77777777" w:rsidR="00140207" w:rsidRPr="00140207" w:rsidRDefault="00140207" w:rsidP="00140207">
      <w:r w:rsidRPr="00140207">
        <w:t>Sin embargo, el régimen no opera sin resistencias. Los propios discursos profesionales analizados revelan fisuras que tensionan su lógica desde adentro: posicionamientos que cuestionan el dominio del saber experto, que reivindican la experiencia del sujeto como criterio legítimo de definición del bienestar, o que reconocen abiertamente la ambivalencia constitutiva de la práctica psicológica entre el cuidado y la regulación. Estas voces no fracturan el dispositivo, pero señalan que su operación no es monolítica ni totalmente anticipable.</w:t>
      </w:r>
    </w:p>
    <w:p w14:paraId="45D03248" w14:textId="77777777" w:rsidR="00140207" w:rsidRPr="00140207" w:rsidRDefault="00140207" w:rsidP="00140207">
      <w:r w:rsidRPr="00140207">
        <w:t>Estas fisuras no desmantelan el régimen — no constituyen una ruptura con su racionalidad fundamental. Pero sí revelan que la subjetividad no coincide plenamente con las posiciones que el dispositivo habilita. Como señala Dueñas (2011), las tensiones que emergen en el interior del campo psi expresan una disputa ética y política por el sentido del cuidado, donde coexisten lógicas de patologización y voces que reivindican la singularidad del sujeto más allá de la clasificación. Como señala Butler (1997), es en esa distancia — entre la norma y quien la habita — donde se abren posibilidades de resignificación y resistencia que el poder no logra anticipar ni absorber completamente. En términos de Foucault (1982), donde hay poder hay resistencia: no como exterioridad que lo niega, sino como multiplicidad de puntos de apoyo que el mismo campo de fuerzas produce y desde los cuales puede ser tensionado.</w:t>
      </w:r>
    </w:p>
    <w:p w14:paraId="69DE2414" w14:textId="77777777" w:rsidR="00140207" w:rsidRPr="00556A8B" w:rsidRDefault="00140207" w:rsidP="00140207"/>
    <w:p w14:paraId="6A9C2372" w14:textId="6E83FAAD" w:rsidR="000E5B14" w:rsidRPr="00556A8B" w:rsidRDefault="00765722" w:rsidP="00B10ABB">
      <w:r w:rsidRPr="00556A8B">
        <w:t>En este sentido, la psicología actúa como mediadora entre el saber experto y la normatividad social, traduciendo imperativos culturales en categorías técnicas y legitimando formas específicas de subjetivación. No se limita a describir identidades; participa activamente en su producción. La salud mental, entendida como régimen discursivo, aparece entonces como un dispositivo complejo que articula ciencia, política y moral bajo la forma de una verdad aparentemente indiscutible sobre lo que significa estar bien</w:t>
      </w:r>
      <w:r w:rsidR="000E5B14" w:rsidRPr="00556A8B">
        <w:t>.</w:t>
      </w:r>
    </w:p>
    <w:p w14:paraId="0308BED5" w14:textId="77777777" w:rsidR="000E5B14" w:rsidRPr="00556A8B" w:rsidRDefault="000E5B14" w:rsidP="00357B2F">
      <w:pPr>
        <w:pStyle w:val="Ttulo2"/>
        <w:numPr>
          <w:ilvl w:val="0"/>
          <w:numId w:val="0"/>
        </w:numPr>
        <w:ind w:left="1134" w:hanging="420"/>
      </w:pPr>
    </w:p>
    <w:p w14:paraId="018DB2DF" w14:textId="631642E8" w:rsidR="000E5B14" w:rsidRPr="00556A8B" w:rsidRDefault="005B6E01" w:rsidP="00357B2F">
      <w:pPr>
        <w:pStyle w:val="Ttulo2"/>
      </w:pPr>
      <w:bookmarkStart w:id="130" w:name="_Toc232580643"/>
      <w:r w:rsidRPr="00556A8B">
        <w:t xml:space="preserve">Movimiento 2: salud mental = bienestar × (adaptabilidad + funcionalidad) / normalidad </w:t>
      </w:r>
      <w:r w:rsidR="000E5B14" w:rsidRPr="00556A8B">
        <w:t>SM = B × (A+F) / N</w:t>
      </w:r>
      <w:bookmarkEnd w:id="130"/>
    </w:p>
    <w:p w14:paraId="2D5519A8" w14:textId="4C08D095" w:rsidR="00765722" w:rsidRPr="00556A8B" w:rsidRDefault="00765722" w:rsidP="00357B2F">
      <w:r w:rsidRPr="00556A8B">
        <w:t>La salud mental contemporánea se presenta como campo de cuidado orientado al bienestar; sin embargo, opera simultáneamente como dispositivo normativo que produce un tipo específico de subjetividad: sujetos autorregulados, emocionalmente gestionables, adaptables a contextos de precariedad, funcionales al sistema productivo y responsables de su propio equilibrio psicológico. Las definiciones institucionales</w:t>
      </w:r>
      <w:r w:rsidR="004F3849" w:rsidRPr="00556A8B">
        <w:t xml:space="preserve">, </w:t>
      </w:r>
      <w:r w:rsidRPr="00556A8B">
        <w:t>desde la OMS hasta marcos legislativos nacionales</w:t>
      </w:r>
      <w:r w:rsidR="004F3849" w:rsidRPr="00556A8B">
        <w:t>,</w:t>
      </w:r>
      <w:r w:rsidRPr="00556A8B">
        <w:t xml:space="preserve"> convergen en términos que aparentan neutralidad técnica: bienestar, adaptabilidad, funcionalidad y normalidad. Esta coincidencia no es casual; expresa una racionalidad política históricamente situada que organiza el gobierno del malestar a través del lenguaje psicológico.</w:t>
      </w:r>
    </w:p>
    <w:p w14:paraId="34C61713" w14:textId="77777777" w:rsidR="00765722" w:rsidRPr="00556A8B" w:rsidRDefault="00765722" w:rsidP="00357B2F">
      <w:r w:rsidRPr="00556A8B">
        <w:t>Cuando la OMS (2020) define la salud mental como la capacidad de gestionar el estrés, desarrollar competencias y contribuir productivamente a la comunidad, no describe simplemente una condición humana, sino que prescribe una forma de subjetividad: individuos capaces de soportar demandas estructurales sin cuestionarlas, optimizar sus habilidades y autorresponsabilizarse por su desempeño emocional. Incluso autores centrales de la disciplina replican esta matriz normativa. Beck (1976) asocia la salud con un procesamiento “no distorsionado” de la realidad; Rogers (1979), aun en su crítica a la conformidad social, establece criterios valorativos sobre apertura y autorrealización. Como advertía Foucault (1963), el saber clínico no descubre objetos naturales; los constituye al trazar fronteras entre lo normal y lo anormal.</w:t>
      </w:r>
    </w:p>
    <w:p w14:paraId="2E7013F6" w14:textId="77777777" w:rsidR="00765722" w:rsidRPr="00556A8B" w:rsidRDefault="00765722" w:rsidP="00357B2F">
      <w:r w:rsidRPr="00556A8B">
        <w:t>Desde esta perspectiva, la salud mental no es un hallazgo científico, sino una construcción discursiva que organiza criterios de legitimidad existencial. Puede sintetizarse en una estructura implícita que opera como lógica reguladora:</w:t>
      </w:r>
    </w:p>
    <w:p w14:paraId="470E65AA" w14:textId="77777777" w:rsidR="005B6E01" w:rsidRPr="00556A8B" w:rsidRDefault="005B6E01" w:rsidP="00357B2F"/>
    <w:p w14:paraId="1CBA98F7" w14:textId="77777777" w:rsidR="00765722" w:rsidRPr="00556A8B" w:rsidRDefault="00765722" w:rsidP="00357B2F">
      <w:pPr>
        <w:pStyle w:val="Ttulo4"/>
      </w:pPr>
      <w:bookmarkStart w:id="131" w:name="_Toc222437799"/>
      <w:bookmarkStart w:id="132" w:name="_Toc232580644"/>
      <w:r w:rsidRPr="00556A8B">
        <w:t>SM = B × (A + F) / N</w:t>
      </w:r>
      <w:bookmarkEnd w:id="131"/>
      <w:bookmarkEnd w:id="132"/>
    </w:p>
    <w:p w14:paraId="3D8AF1FB" w14:textId="77777777" w:rsidR="00765722" w:rsidRPr="00556A8B" w:rsidRDefault="00765722" w:rsidP="00357B2F">
      <w:r w:rsidRPr="00556A8B">
        <w:t>La salud mental se maximiza cuando el bienestar (B) aumenta mediante la adaptabilidad (A) y la funcionalidad (F), siempre evaluadas en relación con un estándar de normalidad (N). Más que metáfora didáctica, esta fórmula expresa la racionalidad que convierte la experiencia humana en variable gestionable. Como señala Bedoya (2016), las prácticas psi traducen la subjetividad en elementos medibles, calculables y corregibles.</w:t>
      </w:r>
    </w:p>
    <w:p w14:paraId="70203DA7" w14:textId="77777777" w:rsidR="005B6E01" w:rsidRPr="00556A8B" w:rsidRDefault="005B6E01" w:rsidP="00357B2F"/>
    <w:p w14:paraId="1671F125" w14:textId="214D1D3C" w:rsidR="00765722" w:rsidRPr="00556A8B" w:rsidRDefault="00765722" w:rsidP="00357B2F">
      <w:pPr>
        <w:pStyle w:val="Ttulo4"/>
      </w:pPr>
      <w:bookmarkStart w:id="133" w:name="_Toc222437800"/>
      <w:bookmarkStart w:id="134" w:name="_Toc232580645"/>
      <w:r w:rsidRPr="00556A8B">
        <w:t>Bienestar: la moral de la autoevaluación</w:t>
      </w:r>
      <w:bookmarkEnd w:id="133"/>
      <w:bookmarkEnd w:id="134"/>
    </w:p>
    <w:p w14:paraId="2C3CCC71" w14:textId="77777777" w:rsidR="00765722" w:rsidRPr="00556A8B" w:rsidRDefault="00765722" w:rsidP="00357B2F">
      <w:r w:rsidRPr="00556A8B">
        <w:t>El bienestar aparece como ideal universal, pero funciona como imperativo individualizante. Desde Diener (1984) hasta Ryff (1989), el bienestar se define como evaluación subjetiva de la propia vida. Esta formulación desplaza la atención desde las condiciones materiales hacia la percepción individual, invisibilizando que la satisfacción depende de estructuras económicas, sociales y políticas que exceden la voluntad personal. Incluso cuando se incorporan dimensiones sociales (Keyes, 1998), la responsabilidad última de la evaluación permanece en el sujeto.</w:t>
      </w:r>
    </w:p>
    <w:p w14:paraId="337BE724" w14:textId="77777777" w:rsidR="00765722" w:rsidRPr="00556A8B" w:rsidRDefault="00765722" w:rsidP="00357B2F">
      <w:r w:rsidRPr="00556A8B">
        <w:t>Así, el bienestar se convierte en tarea permanente de autooptimización. Rose (2019) lo identifica como tecnología de gobierno: el individuo debe monitorear su satisfacción, ajustar emociones, maximizar estados positivos. Cabanas e Illouz (2019) muestran cómo esta cultura emocional transforma la vida psíquica en proyecto de gestión constante. El efecto político es claro: el malestar se interpreta como déficit personal antes que como síntoma estructural.</w:t>
      </w:r>
    </w:p>
    <w:p w14:paraId="3CF9468B" w14:textId="77777777" w:rsidR="005B6E01" w:rsidRPr="00556A8B" w:rsidRDefault="005B6E01" w:rsidP="00357B2F"/>
    <w:p w14:paraId="335F0C9F" w14:textId="42140A47" w:rsidR="00765722" w:rsidRPr="00556A8B" w:rsidRDefault="00765722" w:rsidP="00357B2F">
      <w:pPr>
        <w:pStyle w:val="Ttulo4"/>
      </w:pPr>
      <w:bookmarkStart w:id="135" w:name="_Toc222437801"/>
      <w:bookmarkStart w:id="136" w:name="_Toc232580646"/>
      <w:r w:rsidRPr="00556A8B">
        <w:t>Adaptabilidad: la virtud del ajuste</w:t>
      </w:r>
      <w:bookmarkEnd w:id="135"/>
      <w:bookmarkEnd w:id="136"/>
    </w:p>
    <w:p w14:paraId="6074009C" w14:textId="77777777" w:rsidR="00765722" w:rsidRPr="00556A8B" w:rsidRDefault="00765722" w:rsidP="00357B2F">
      <w:r w:rsidRPr="00556A8B">
        <w:t>La adaptabilidad se promueve como competencia psicológica deseable, pero opera como tecnología de normalización. Bandura (1987) y Young (1999) enfatizan la autorregulación frente a situaciones dadas; incluso enfoques críticos de la adaptación terminan valorando la capacidad de ajustarse funcionalmente al entorno. Sin embargo, adaptarse implica siempre ajustarse a una norma. Como advierte Foucault (1975), toda normalidad presupone un poder que define lo aceptable.</w:t>
      </w:r>
    </w:p>
    <w:p w14:paraId="50166507" w14:textId="1E4E05F5" w:rsidR="005B6E01" w:rsidRPr="00556A8B" w:rsidRDefault="00765722" w:rsidP="00357B2F">
      <w:r w:rsidRPr="00556A8B">
        <w:t>En la práctica, la intervención psicológica privilegia el desarrollo de estrategias de afrontamiento y flexibilidad cognitiva antes que la transformación de las condiciones que generan malestar. Se optimiza la capacidad de sostenerse en la precariedad. La adaptabilidad traduce el sufrimiento estructural en desafío individual, coherente con lo que Deleuze (1990) describe como lógica de las sociedades de control: sujetos modulables, disponibles y permanentemente ajustables.</w:t>
      </w:r>
    </w:p>
    <w:p w14:paraId="36EB25E9" w14:textId="05EB3CFF" w:rsidR="00765722" w:rsidRPr="00556A8B" w:rsidRDefault="00765722" w:rsidP="00357B2F">
      <w:pPr>
        <w:pStyle w:val="Ttulo4"/>
      </w:pPr>
      <w:bookmarkStart w:id="137" w:name="_Toc222437802"/>
      <w:bookmarkStart w:id="138" w:name="_Toc232580647"/>
      <w:r w:rsidRPr="00556A8B">
        <w:lastRenderedPageBreak/>
        <w:t>Funcionalidad: rendimiento revestido de clínica</w:t>
      </w:r>
      <w:bookmarkEnd w:id="137"/>
      <w:bookmarkEnd w:id="138"/>
    </w:p>
    <w:p w14:paraId="761A2346" w14:textId="74D813FA" w:rsidR="00765722" w:rsidRPr="00556A8B" w:rsidRDefault="00765722" w:rsidP="00357B2F">
      <w:r w:rsidRPr="00556A8B">
        <w:t>La funcionalidad, tercer término de la ecuación, revela con mayor claridad la racionalidad económica subyacente. Definida como capacidad de integrarse socialmente, mantener productividad y cumplir expectativas (Mebarak et al., 2009; Tous, 2008), introduce el rendimiento como criterio implícito de salud. La pregunta fundamental</w:t>
      </w:r>
      <w:r w:rsidR="005B6E01" w:rsidRPr="00556A8B">
        <w:t xml:space="preserve">, </w:t>
      </w:r>
      <w:r w:rsidRPr="00556A8B">
        <w:t>¿funcional para qué y para quién?</w:t>
      </w:r>
      <w:r w:rsidR="005B6E01" w:rsidRPr="00556A8B">
        <w:t>,</w:t>
      </w:r>
      <w:r w:rsidRPr="00556A8B">
        <w:t xml:space="preserve"> queda sin formular.</w:t>
      </w:r>
    </w:p>
    <w:p w14:paraId="63C82725" w14:textId="77777777" w:rsidR="00765722" w:rsidRPr="00556A8B" w:rsidRDefault="00765722" w:rsidP="00357B2F">
      <w:r w:rsidRPr="00556A8B">
        <w:t>Rose (2019) muestra que la funcionalidad es juicio normativo antes que propiedad intrínseca. Un sujeto es saludable en la medida en que mantiene su desempeño, cumple expectativas y no interrumpe el flujo productivo. La evaluación psicológica se superpone así con una evaluación de utilidad social. No se mide la dignidad de las condiciones de vida, sino la capacidad del individuo para soportarlas.</w:t>
      </w:r>
    </w:p>
    <w:p w14:paraId="6BA69352" w14:textId="77777777" w:rsidR="005B6E01" w:rsidRPr="00556A8B" w:rsidRDefault="005B6E01" w:rsidP="00357B2F"/>
    <w:p w14:paraId="109293E1" w14:textId="7CF9C821" w:rsidR="00765722" w:rsidRPr="00556A8B" w:rsidRDefault="00765722" w:rsidP="00357B2F">
      <w:pPr>
        <w:pStyle w:val="Ttulo4"/>
      </w:pPr>
      <w:bookmarkStart w:id="139" w:name="_Toc222437803"/>
      <w:bookmarkStart w:id="140" w:name="_Toc232580648"/>
      <w:r w:rsidRPr="00556A8B">
        <w:t>Normalidad: el denominador invisible</w:t>
      </w:r>
      <w:bookmarkEnd w:id="139"/>
      <w:bookmarkEnd w:id="140"/>
    </w:p>
    <w:p w14:paraId="623FE59E" w14:textId="2D86B7B6" w:rsidR="00765722" w:rsidRPr="00556A8B" w:rsidRDefault="00765722" w:rsidP="00357B2F">
      <w:r w:rsidRPr="00556A8B">
        <w:t>Bienestar, adaptabilidad y funcionalidad solo adquieren sentido en relación con un parámetro naturalizado: la normalidad. Traducida frecuentemente en términos estadísticos</w:t>
      </w:r>
      <w:r w:rsidR="005B6E01" w:rsidRPr="00556A8B">
        <w:t xml:space="preserve">, </w:t>
      </w:r>
      <w:r w:rsidRPr="00556A8B">
        <w:t>la media, lo frecuente, lo típico, la normalidad se presenta como dato objetivo. Sin embargo, como advierte Canguilhem (1981), lo normal expresa normas colectivas históricas, no verdades naturales.</w:t>
      </w:r>
    </w:p>
    <w:p w14:paraId="4858D828" w14:textId="77777777" w:rsidR="00765722" w:rsidRPr="00556A8B" w:rsidRDefault="00765722" w:rsidP="00357B2F">
      <w:r w:rsidRPr="00556A8B">
        <w:t>La psicometría convierte la frecuencia en criterio valorativo: lo común deviene deseable. Esta operación oculta que lo “normal” puede ser efecto de condiciones estructurales específicas. Si la ansiedad es estadísticamente frecuente en contextos precarizados, ¿esa frecuencia la legitima como estado natural? La normalidad no describe; ordena y jerarquiza.</w:t>
      </w:r>
    </w:p>
    <w:p w14:paraId="4B317331" w14:textId="6E72F632" w:rsidR="00765722" w:rsidRPr="00556A8B" w:rsidRDefault="00765722" w:rsidP="00357B2F">
      <w:r w:rsidRPr="00556A8B">
        <w:t>Incluso enfoques que cuestionan la adaptación terminan estableciendo sus propios ideales normativos</w:t>
      </w:r>
      <w:r w:rsidR="005B6E01" w:rsidRPr="00556A8B">
        <w:t xml:space="preserve">, </w:t>
      </w:r>
      <w:r w:rsidRPr="00556A8B">
        <w:t>madurez emocional, autenticidad, integración psíquica</w:t>
      </w:r>
      <w:r w:rsidR="005B6E01" w:rsidRPr="00556A8B">
        <w:t xml:space="preserve">, </w:t>
      </w:r>
      <w:r w:rsidRPr="00556A8B">
        <w:t>reproduciendo gradientes de desviación más que una ruptura con la norma. La normalidad contemporánea no funciona ya como exclusión binaria, sino como aspiración permanente a estándares móviles (Rose, 2019).</w:t>
      </w:r>
    </w:p>
    <w:p w14:paraId="431CF32C" w14:textId="77777777" w:rsidR="00765722" w:rsidRPr="00556A8B" w:rsidRDefault="00765722" w:rsidP="00357B2F">
      <w:r w:rsidRPr="00556A8B">
        <w:t xml:space="preserve">En conjunto, la ecuación </w:t>
      </w:r>
      <w:r w:rsidRPr="00556A8B">
        <w:rPr>
          <w:b/>
          <w:bCs/>
        </w:rPr>
        <w:t>SM = B × (A + F) / N</w:t>
      </w:r>
      <w:r w:rsidRPr="00556A8B">
        <w:t xml:space="preserve"> no refleja la naturaleza de la salud mental; la constituye como campo gobernable. Individualiza el malestar, despolitiza la intervención y naturaliza el orden social. El sufrimiento deja de ser cuestión estructural para convertirse en tarea psicológica. La salud mental neoliberal no mide bienestar genuino, sino capacidad de mantenerse operativo en condiciones adversas.</w:t>
      </w:r>
    </w:p>
    <w:p w14:paraId="48A9A6B1" w14:textId="778EED0C" w:rsidR="00765722" w:rsidRPr="00556A8B" w:rsidRDefault="00765722" w:rsidP="00357B2F">
      <w:r w:rsidRPr="00556A8B">
        <w:lastRenderedPageBreak/>
        <w:t>Las distintas corrientes teóricas</w:t>
      </w:r>
      <w:r w:rsidR="005B6E01" w:rsidRPr="00556A8B">
        <w:t xml:space="preserve">, </w:t>
      </w:r>
      <w:r w:rsidRPr="00556A8B">
        <w:t xml:space="preserve">biologicistas, cognitivas, humanistas, psicodinámicas o </w:t>
      </w:r>
      <w:r w:rsidR="000C779F" w:rsidRPr="00556A8B">
        <w:t>sociales</w:t>
      </w:r>
      <w:r w:rsidRPr="00556A8B">
        <w:t xml:space="preserve"> varían en su lenguaje, pero convergen en esta racionalidad: traducir problemas políticos en desafíos terapéuticos y responsabilizar al individuo por su ajuste. No se trata de una conspiración disciplinar, sino de una matriz epistémica compartida que produce al sujeto como empresario de su propia salud mental.</w:t>
      </w:r>
    </w:p>
    <w:p w14:paraId="13D30F2B" w14:textId="60B37578" w:rsidR="000E5B14" w:rsidRPr="00556A8B" w:rsidRDefault="00765722" w:rsidP="00357B2F">
      <w:r w:rsidRPr="00556A8B">
        <w:t>La cuestión crítica, entonces, no es cómo perfeccionar los términos de la ecuación, sino reconocer que la ecuación misma constituye un dispositivo de poder. Articula saberes expertos, instituciones, tecnologías de evaluación e intervenciones clínicas en torno a una función estratégica dominante: regular la vida psíquica bajo criterios de optimización y rendimiento. El malestar es real. La forma en que lo organizamos</w:t>
      </w:r>
      <w:r w:rsidR="005B6E01" w:rsidRPr="00556A8B">
        <w:t xml:space="preserve">, </w:t>
      </w:r>
      <w:r w:rsidRPr="00556A8B">
        <w:t xml:space="preserve">la ecuación que lo traduce en variables de </w:t>
      </w:r>
      <w:r w:rsidR="000C779F" w:rsidRPr="00556A8B">
        <w:t>autogestión,</w:t>
      </w:r>
      <w:r w:rsidRPr="00556A8B">
        <w:t xml:space="preserve"> es histórica, contingente y funcional a la producción de subjetividades adaptativas en el presente.</w:t>
      </w:r>
    </w:p>
    <w:p w14:paraId="345F47A1" w14:textId="77777777" w:rsidR="005B6E01" w:rsidRPr="00556A8B" w:rsidRDefault="005B6E01" w:rsidP="00357B2F"/>
    <w:p w14:paraId="22F9A942" w14:textId="5FDBC75B" w:rsidR="000E5B14" w:rsidRPr="00556A8B" w:rsidRDefault="005B6E01" w:rsidP="00357B2F">
      <w:pPr>
        <w:pStyle w:val="Ttulo2"/>
        <w:rPr>
          <w:lang w:val="es-MX"/>
        </w:rPr>
      </w:pPr>
      <w:bookmarkStart w:id="141" w:name="_Toc232580649"/>
      <w:r w:rsidRPr="00556A8B">
        <w:rPr>
          <w:lang w:val="es-MX"/>
        </w:rPr>
        <w:t>Movimiento 3: las tensiones internas del régimen</w:t>
      </w:r>
      <w:bookmarkEnd w:id="141"/>
    </w:p>
    <w:p w14:paraId="29A6D308" w14:textId="5BCF8BB9" w:rsidR="00765722" w:rsidRPr="00556A8B" w:rsidRDefault="00B04DCD" w:rsidP="00357B2F">
      <w:r w:rsidRPr="00556A8B">
        <w:t>Si el régimen discursivo de la salud mental fuera monolítico, errado, absolutamente c</w:t>
      </w:r>
      <w:r w:rsidR="00765722" w:rsidRPr="00556A8B">
        <w:t>oherente, su crítica sería relativamente sencilla: bastaría con evidenciar sus mecanismos de exclusión y normalización. Sin embargo, lo que emerge del análisis es lo contrario. El campo aparece atravesado por fisuras, ambigüedades y disputas internas donde coexisten discursos que se tensionan entre sí. Lejos de debilitarlo, estas tensiones constituyen la condición misma de su vitalidad. El régimen no se sostiene a pesar de sus contradicciones, sino gracias a ellas. En su interior se renueva, se legitima y se flexibiliza como entramado dinámico de saber-poder capaz de absorber la crítica y convertirla en mecanismo de actualización (Foucault, 2008; Deleuze, 1990; Bedoya, 202</w:t>
      </w:r>
      <w:r w:rsidR="00641FDA" w:rsidRPr="00556A8B">
        <w:t>2</w:t>
      </w:r>
      <w:r w:rsidR="00765722" w:rsidRPr="00556A8B">
        <w:t>).</w:t>
      </w:r>
    </w:p>
    <w:p w14:paraId="7FFA9B3D" w14:textId="04C59CBA" w:rsidR="00765722" w:rsidRPr="00556A8B" w:rsidRDefault="00765722" w:rsidP="00357B2F">
      <w:r w:rsidRPr="00556A8B">
        <w:t xml:space="preserve">Los profesionales entrevistados reconocen las limitaciones del modelo biomédico, cuestionan la rigidez diagnóstica y reivindican la singularidad del sujeto. No obstante, estas objeciones no operan necesariamente como fuerzas desestabilizadoras. Al institucionalizarse como reflexividad </w:t>
      </w:r>
      <w:r w:rsidR="00B04DCD" w:rsidRPr="00556A8B">
        <w:t>profesional,</w:t>
      </w:r>
      <w:r w:rsidRPr="00556A8B">
        <w:t>“diagnóstico humanizado”, “intervención centrada en la persona”, “mirada contextual”</w:t>
      </w:r>
      <w:r w:rsidR="00B04DCD" w:rsidRPr="00556A8B">
        <w:t>,</w:t>
      </w:r>
      <w:r w:rsidRPr="00556A8B">
        <w:t xml:space="preserve"> la crítica se reinscribe dentro del mismo régimen que pretende problematizar. No suspende la función normativa del dispositivo; la refina. Introduce un lenguaje de sensibilidad y complejidad subjetiva que amplía su capacidad reguladora sin alterar su lógica fundamental.</w:t>
      </w:r>
    </w:p>
    <w:p w14:paraId="4C228259" w14:textId="77777777" w:rsidR="00765722" w:rsidRPr="00556A8B" w:rsidRDefault="00765722" w:rsidP="00357B2F">
      <w:r w:rsidRPr="00556A8B">
        <w:lastRenderedPageBreak/>
        <w:t>Como advierte Foucault (1976), el poder no actúa suprimiendo discursos, sino produciéndolos y multiplicándolos. En este sentido, las tensiones internas no constituyen fallas accidentales, sino rasgos estructurales de un poder que se fortalece al incorporar sus propias objeciones. La sofisticación contemporánea del régimen psi radica precisamente en su capacidad para funcionalizar la crítica como mecanismo de legitimación renovada.</w:t>
      </w:r>
    </w:p>
    <w:p w14:paraId="76A479A9" w14:textId="77777777" w:rsidR="00B04DCD" w:rsidRPr="00556A8B" w:rsidRDefault="00B04DCD" w:rsidP="00357B2F">
      <w:pPr>
        <w:rPr>
          <w:b/>
          <w:bCs/>
        </w:rPr>
      </w:pPr>
    </w:p>
    <w:p w14:paraId="62EF6EAA" w14:textId="02DB3EC3" w:rsidR="00765722" w:rsidRPr="00556A8B" w:rsidRDefault="00765722" w:rsidP="00357B2F">
      <w:pPr>
        <w:rPr>
          <w:i/>
          <w:iCs/>
        </w:rPr>
      </w:pPr>
      <w:r w:rsidRPr="00556A8B">
        <w:rPr>
          <w:i/>
          <w:iCs/>
        </w:rPr>
        <w:t>El diagnóstico: entre orientación clínica y fijación identitaria</w:t>
      </w:r>
    </w:p>
    <w:p w14:paraId="167563E6" w14:textId="77777777" w:rsidR="00765722" w:rsidRPr="00556A8B" w:rsidRDefault="00765722" w:rsidP="00357B2F">
      <w:r w:rsidRPr="00556A8B">
        <w:t>Una de las tensiones más significativas se sitúa en el estatuto del diagnóstico. Por un lado, se legitima como herramienta técnica que orienta la intervención, organiza el sufrimiento y facilita la comunicación profesional. Por otro, opera como mecanismo de etiquetamiento que fija identidades, delimita trayectorias y regula formas de autocomprensión (Caponi, 2024).</w:t>
      </w:r>
    </w:p>
    <w:p w14:paraId="308636DD" w14:textId="77777777" w:rsidR="00765722" w:rsidRPr="00556A8B" w:rsidRDefault="00765722" w:rsidP="00357B2F">
      <w:r w:rsidRPr="00556A8B">
        <w:t>El diagnóstico no es simplemente una categoría descriptiva; es una tecnología de gobierno. Al nombrar el malestar, estabiliza una relación jerárquica con la autoridad experta y produce efectos duraderos sobre la identidad del sujeto. Como señala Bedoya (2016), el diagnóstico “conforma subjetividades” al modelar la manera en que el individuo se relaciona consigo mismo, con su verdad y con los otros.</w:t>
      </w:r>
    </w:p>
    <w:p w14:paraId="27F37AA1" w14:textId="77777777" w:rsidR="00765722" w:rsidRPr="00556A8B" w:rsidRDefault="00765722" w:rsidP="00357B2F">
      <w:r w:rsidRPr="00556A8B">
        <w:t>La ambivalencia es constitutiva: el diagnóstico promete comprensión y orientación terapéutica, pero simultáneamente delimita lo pensable sobre sí mismo. Rose (2019) describe esta paradoja al afirmar que los saberes psi producen identidades que liberan mediante el autoconocimiento mientras fijan al sujeto en categorías normativas.</w:t>
      </w:r>
    </w:p>
    <w:p w14:paraId="42B42AC2" w14:textId="16D8BDE7" w:rsidR="00765722" w:rsidRPr="00556A8B" w:rsidRDefault="00765722" w:rsidP="00357B2F">
      <w:r w:rsidRPr="00556A8B">
        <w:t>Lo relevante es que los profesionales critican su uso mecánico, pero no pueden prescindir de él. El sistema institucional</w:t>
      </w:r>
      <w:r w:rsidR="00B04DCD" w:rsidRPr="00556A8B">
        <w:t xml:space="preserve">, </w:t>
      </w:r>
      <w:r w:rsidRPr="00556A8B">
        <w:t>registros clínicos, aseguramiento en salud, estadísticas epidemiológicas, protocolos de intervención</w:t>
      </w:r>
      <w:r w:rsidR="00B04DCD" w:rsidRPr="00556A8B">
        <w:t>,</w:t>
      </w:r>
      <w:r w:rsidRPr="00556A8B">
        <w:t xml:space="preserve"> lo exige como condición de posibilidad de la práctica. Así, la crítica no elimina el diagnóstico; lo humaniza, lo contextualiza, lo vuelve más aceptable, sin modificar su función clasificatoria. La tensión no fractura el régimen; lo refuerza.</w:t>
      </w:r>
    </w:p>
    <w:p w14:paraId="17103924" w14:textId="77777777" w:rsidR="00B04DCD" w:rsidRPr="00556A8B" w:rsidRDefault="00B04DCD" w:rsidP="00357B2F"/>
    <w:p w14:paraId="14D93E21" w14:textId="2A539679" w:rsidR="00765722" w:rsidRPr="00556A8B" w:rsidRDefault="00765722" w:rsidP="00357B2F">
      <w:pPr>
        <w:pStyle w:val="Ttulo4"/>
      </w:pPr>
      <w:bookmarkStart w:id="142" w:name="_Toc222437805"/>
      <w:bookmarkStart w:id="143" w:name="_Toc232580650"/>
      <w:r w:rsidRPr="00556A8B">
        <w:t>Discurso contextual vs. práctica individualizante</w:t>
      </w:r>
      <w:bookmarkEnd w:id="142"/>
      <w:bookmarkEnd w:id="143"/>
    </w:p>
    <w:p w14:paraId="6D312FCF" w14:textId="2AFE79C4" w:rsidR="00765722" w:rsidRPr="00556A8B" w:rsidRDefault="00765722" w:rsidP="00357B2F">
      <w:r w:rsidRPr="00556A8B">
        <w:t>Otra tensión emerge entre el reconocimiento discursivo de los determinantes sociales del malestar y la persistencia de intervenciones centradas en la adaptación individual. En el plano académico y reflexivo, se reconoce que el sufrimiento psíquico está atravesado por condiciones económicas, culturales y políticas. Sin embargo, en la práctica institucional</w:t>
      </w:r>
      <w:r w:rsidR="00B04DCD" w:rsidRPr="00556A8B">
        <w:t xml:space="preserve">, </w:t>
      </w:r>
      <w:r w:rsidRPr="00556A8B">
        <w:t xml:space="preserve">hospitalaria, privada </w:t>
      </w:r>
      <w:r w:rsidRPr="00556A8B">
        <w:lastRenderedPageBreak/>
        <w:t>o aseguradora</w:t>
      </w:r>
      <w:r w:rsidR="00B04DCD" w:rsidRPr="00556A8B">
        <w:t xml:space="preserve">, </w:t>
      </w:r>
      <w:r w:rsidRPr="00556A8B">
        <w:t>prevalece un modelo que localiza el problema en el individuo y lo traduce en categorías psicopatológicas universales.</w:t>
      </w:r>
    </w:p>
    <w:p w14:paraId="1303FE68" w14:textId="77777777" w:rsidR="00765722" w:rsidRPr="00556A8B" w:rsidRDefault="00765722" w:rsidP="00357B2F">
      <w:r w:rsidRPr="00556A8B">
        <w:t>Esta contradicción no responde necesariamente a incoherencia ética, sino a condicionamientos estructurales. Los sistemas de salud organizados por lógicas de eficiencia, protocolización y rentabilidad delimitan qué puede hacerse. Como plantea Foucault (1975), el poder disciplinario no se impone desde fuera; se inscribe en las prácticas cotidianas hasta hacer impracticables alternativas que, en el plano teórico, se reconocen como deseables.</w:t>
      </w:r>
    </w:p>
    <w:p w14:paraId="1B4385F8" w14:textId="77777777" w:rsidR="00765722" w:rsidRPr="00556A8B" w:rsidRDefault="00765722" w:rsidP="00357B2F">
      <w:r w:rsidRPr="00556A8B">
        <w:t>De este modo, el discurso crítico convive con intervenciones adaptativas sin que ello desestabilice el régimen. La crítica contextual se integra como horizonte reflexivo mientras la práctica continúa operando bajo lógicas individualizantes. La tensión no rompe la estructura; la hace más compleja y resistente.</w:t>
      </w:r>
    </w:p>
    <w:p w14:paraId="2E55AF9F" w14:textId="77777777" w:rsidR="00B04DCD" w:rsidRPr="00556A8B" w:rsidRDefault="00B04DCD" w:rsidP="00357B2F">
      <w:pPr>
        <w:rPr>
          <w:b/>
          <w:bCs/>
        </w:rPr>
      </w:pPr>
    </w:p>
    <w:p w14:paraId="087738B0" w14:textId="283F2986" w:rsidR="00765722" w:rsidRPr="00556A8B" w:rsidRDefault="00765722" w:rsidP="00357B2F">
      <w:pPr>
        <w:pStyle w:val="Ttulo4"/>
      </w:pPr>
      <w:bookmarkStart w:id="144" w:name="_Toc222437806"/>
      <w:bookmarkStart w:id="145" w:name="_Toc232580651"/>
      <w:r w:rsidRPr="00556A8B">
        <w:t>Diversidad teórica y homogeneidad práctica</w:t>
      </w:r>
      <w:bookmarkEnd w:id="144"/>
      <w:bookmarkEnd w:id="145"/>
    </w:p>
    <w:p w14:paraId="60C67740" w14:textId="77777777" w:rsidR="00765722" w:rsidRPr="00556A8B" w:rsidRDefault="00765722" w:rsidP="00357B2F">
      <w:r w:rsidRPr="00556A8B">
        <w:t>El campo psicológico se presenta como multiparadigmático: psicodinámico, cognitivo-conductual, humanista, sistémico. Esta diversidad podría interpretarse como pluralismo epistemológico. Sin embargo, en la práctica clínica las intervenciones convergen hacia objetivos similares: regulación emocional, gestión del estrés, fortalecimiento del yo, desarrollo de habilidades de afrontamiento.</w:t>
      </w:r>
    </w:p>
    <w:p w14:paraId="38D9BEBF" w14:textId="6661F703" w:rsidR="00765722" w:rsidRPr="00556A8B" w:rsidRDefault="00765722" w:rsidP="00357B2F">
      <w:r w:rsidRPr="00556A8B">
        <w:t xml:space="preserve">Más allá de las diferencias conceptuales, las escuelas comparten un horizonte normativo común: producir sujetos capaces de autorregularse y adaptarse. La diversidad teórica funciona, así, como variación retórica dentro de una racionalidad compartida. </w:t>
      </w:r>
      <w:r w:rsidR="00757531" w:rsidRPr="00556A8B">
        <w:t>Rose (2019)</w:t>
      </w:r>
      <w:r w:rsidRPr="00556A8B">
        <w:t xml:space="preserve"> ya advertía que las psicologías, aun en su pluralidad, participan de una misma lógica de gubernamentalidad.</w:t>
      </w:r>
    </w:p>
    <w:p w14:paraId="7D783A95" w14:textId="7303CF13" w:rsidR="00B04DCD" w:rsidRPr="00556A8B" w:rsidRDefault="00765722" w:rsidP="00357B2F">
      <w:r w:rsidRPr="00556A8B">
        <w:t>Este fenómeno puede comprenderse, en términos de Deleuze y Guattari (</w:t>
      </w:r>
      <w:r w:rsidR="00DC02C2" w:rsidRPr="00556A8B">
        <w:t>2004</w:t>
      </w:r>
      <w:r w:rsidRPr="00556A8B">
        <w:t>), como un proceso de territorialización: los flujos de saber y práctica se organizan en un campo relativamente estable que fija objetivos, jerarquías y modos de intervención. Incluso las “líneas de fuga”</w:t>
      </w:r>
      <w:r w:rsidR="00B04DCD" w:rsidRPr="00556A8B">
        <w:t xml:space="preserve">, </w:t>
      </w:r>
      <w:r w:rsidRPr="00556A8B">
        <w:t>innovaciones teóricas o críticas internas</w:t>
      </w:r>
      <w:r w:rsidR="00B04DCD" w:rsidRPr="00556A8B">
        <w:t>,</w:t>
      </w:r>
      <w:r w:rsidRPr="00556A8B">
        <w:t xml:space="preserve"> son reterritorializadas y reintegradas al dispositivo, asegurando la continuidad del horizonte normativo centrado en la adaptación y el autogobierno.</w:t>
      </w:r>
      <w:r w:rsidR="00B04DCD" w:rsidRPr="00556A8B">
        <w:t xml:space="preserve"> </w:t>
      </w:r>
      <w:r w:rsidRPr="00556A8B">
        <w:t>La pluralidad no desaparece; se integra funcionalmente. No hay ruptura radical, sino modulación estratégica.</w:t>
      </w:r>
    </w:p>
    <w:p w14:paraId="430BAC47" w14:textId="77777777" w:rsidR="00B04DCD" w:rsidRPr="00556A8B" w:rsidRDefault="00B04DCD" w:rsidP="00357B2F"/>
    <w:p w14:paraId="210E928A" w14:textId="3F6E6540" w:rsidR="00765722" w:rsidRPr="00556A8B" w:rsidRDefault="00765722" w:rsidP="00357B2F">
      <w:pPr>
        <w:pStyle w:val="Ttulo4"/>
      </w:pPr>
      <w:bookmarkStart w:id="146" w:name="_Toc222437807"/>
      <w:bookmarkStart w:id="147" w:name="_Toc232580652"/>
      <w:r w:rsidRPr="00556A8B">
        <w:lastRenderedPageBreak/>
        <w:t>Singularidad proclamada vs. estandarización operativa</w:t>
      </w:r>
      <w:bookmarkEnd w:id="146"/>
      <w:bookmarkEnd w:id="147"/>
    </w:p>
    <w:p w14:paraId="4718895B" w14:textId="77777777" w:rsidR="00765722" w:rsidRPr="00556A8B" w:rsidRDefault="00765722" w:rsidP="00357B2F">
      <w:r w:rsidRPr="00556A8B">
        <w:t>Una de las tensiones más profundas se sitúa entre el ideal de atención personalizada y la exigencia institucional de estandarización. Los discursos profesionales reivindican la escucha, la singularidad, el vínculo terapéutico y la construcción de sentido. Sin embargo, la práctica cotidiana se rige por protocolos, escalas, instrumentos psicométricos, registros diagnósticos y criterios de evidencia generalizable.</w:t>
      </w:r>
    </w:p>
    <w:p w14:paraId="08096CF5" w14:textId="354CFC8A" w:rsidR="00765722" w:rsidRPr="00556A8B" w:rsidRDefault="00765722" w:rsidP="00357B2F">
      <w:r w:rsidRPr="00556A8B">
        <w:t>Como advierte Bedoya (2016), la posibilidad misma de medir la subjetividad requiere que esta sea traducida a variables técnicas. La singularidad no es suprimida; es gestionada. Rose (2019) sostiene que las tecnologías psicológicas no eliminan la individualidad, sino que la hacen administrable.</w:t>
      </w:r>
      <w:r w:rsidR="00B04DCD" w:rsidRPr="00556A8B">
        <w:t xml:space="preserve"> </w:t>
      </w:r>
      <w:r w:rsidRPr="00556A8B">
        <w:t>La llamada “personalización”</w:t>
      </w:r>
      <w:r w:rsidR="00B04DCD" w:rsidRPr="00556A8B">
        <w:t xml:space="preserve">, es decir, </w:t>
      </w:r>
      <w:r w:rsidRPr="00556A8B">
        <w:t>planes de tratamiento individualizados, intervenciones focalizadas</w:t>
      </w:r>
      <w:r w:rsidR="00B04DCD" w:rsidRPr="00556A8B">
        <w:t>,</w:t>
      </w:r>
      <w:r w:rsidRPr="00556A8B">
        <w:t xml:space="preserve"> no suprime la estandarización, sino que la modula. Se trata de una personalización estandarizada, donde la singularidad es reconocida dentro de marcos normativos previamente delimitados. En términos foucaultianos, el gobierno de los otros se ejerce a través del gobierno de sí: el sujeto interioriza los criterios de evaluación y participa activamente en su propia normalización.</w:t>
      </w:r>
    </w:p>
    <w:p w14:paraId="277DEA8D" w14:textId="68309504" w:rsidR="00765722" w:rsidRPr="00556A8B" w:rsidRDefault="00765722" w:rsidP="00357B2F">
      <w:r w:rsidRPr="00556A8B">
        <w:t>Estas tensiones</w:t>
      </w:r>
      <w:r w:rsidR="00B04DCD" w:rsidRPr="00556A8B">
        <w:t xml:space="preserve">, </w:t>
      </w:r>
      <w:r w:rsidRPr="00556A8B">
        <w:t>diagnóstico y estigma, crítica contextual y práctica individualizante, diversidad teórica y homogeneidad operativa, singularidad y estandarización</w:t>
      </w:r>
      <w:r w:rsidR="00B04DCD" w:rsidRPr="00556A8B">
        <w:t>,</w:t>
      </w:r>
      <w:r w:rsidRPr="00556A8B">
        <w:t xml:space="preserve"> no son contradicciones que deban resolverse mediante síntesis armónicas. Constituyen el modo específico de funcionamiento del poder en el campo contemporáneo de la salud mental.</w:t>
      </w:r>
    </w:p>
    <w:p w14:paraId="249BE649" w14:textId="77777777" w:rsidR="00765722" w:rsidRPr="00556A8B" w:rsidRDefault="00765722" w:rsidP="00357B2F">
      <w:r w:rsidRPr="00556A8B">
        <w:t>Como señala Foucault (1979), no se trata de un bloque homogéneo de dominación, sino de una producción multiforme de relaciones de poder parcialmente integrables en estrategias de conjunto. El régimen psi no requiere coherencia absoluta; requiere capacidad de ajuste. Su eficacia radica en la flexibilidad con la que incorpora tensiones, integra resistencias y reconfigura sus dispositivos sin alterar su lógica fundamental.</w:t>
      </w:r>
    </w:p>
    <w:p w14:paraId="2E64EF85" w14:textId="410B262E" w:rsidR="00154DA7" w:rsidRPr="00154DA7" w:rsidRDefault="00765722" w:rsidP="00154DA7">
      <w:r w:rsidRPr="00556A8B">
        <w:t xml:space="preserve">En consecuencia, las fisuras no anuncian el colapso del régimen, sino su actualización permanente. La psicología no se sostiene por pureza doctrinal, sino por su capacidad de operar en un campo atravesado por conflictos, resignificaciones y recomposiciones continuas. </w:t>
      </w:r>
      <w:r w:rsidR="00154DA7" w:rsidRPr="00154DA7">
        <w:t>Las contradicciones no lo debilitan: lo mantienen vivo. Sin embargo, no toda fisura es absorbida. Algunas tensiones que emergen en el campo psi</w:t>
      </w:r>
      <w:r w:rsidR="00154DA7">
        <w:t xml:space="preserve"> (l</w:t>
      </w:r>
      <w:r w:rsidR="00154DA7" w:rsidRPr="00154DA7">
        <w:t>a reivindicación de la singularidad frente a la clasificación, el cuestionamiento del saber experto como única fuente de verdad sobre el sujeto, la denuncia de las condiciones estructurales que el mandato del bienestar invisibiliza</w:t>
      </w:r>
      <w:r w:rsidR="00154DA7">
        <w:t>)</w:t>
      </w:r>
      <w:r w:rsidR="00154DA7" w:rsidRPr="00154DA7">
        <w:t xml:space="preserve"> producen </w:t>
      </w:r>
      <w:r w:rsidR="00154DA7" w:rsidRPr="00154DA7">
        <w:lastRenderedPageBreak/>
        <w:t>desplazamientos que no siempre pueden ser funcionalizados. Como advierte Foucault (1979), las relaciones de poder no son estructuras cerradas sino campos de fuerzas donde la resistencia es tan constitutiva como la dominación. En esos puntos de fricción, el régimen encuentra sus límites reales.</w:t>
      </w:r>
    </w:p>
    <w:p w14:paraId="714586D9" w14:textId="5A21EA8A" w:rsidR="00154DA7" w:rsidRPr="00154DA7" w:rsidRDefault="00154DA7" w:rsidP="00154DA7">
      <w:r w:rsidRPr="00154DA7">
        <w:t>Es allí donde la subjetividad abre paso a formas de existencia que no se reconocen completamente en los criterios que las gobiernan. Stolkiner (2013) ha señalado que el sufrimiento subjetivo no puede reducirse enteramente a categorías técnicas sin que algo de la experiencia se escape y ese resto irreductible constituye precisamente el lugar desde el cual es posible interrogar, desplazar y reconfigurar los modos dominantes de comprender el malestar. La sofisticación del régimen contemporáneo de salud mental reside en su capacidad de renovarse a través de la crítica; pero esa misma capacidad supone que la crítica existe, que no puede ser eliminada, y que en su persistencia reside la posibilidad</w:t>
      </w:r>
      <w:r>
        <w:t xml:space="preserve"> </w:t>
      </w:r>
      <w:r w:rsidRPr="00154DA7">
        <w:t>aún frágil e incierta de pensar el cuidado de otro modo</w:t>
      </w:r>
    </w:p>
    <w:p w14:paraId="51242817" w14:textId="77777777" w:rsidR="00765722" w:rsidRPr="00556A8B" w:rsidRDefault="00765722" w:rsidP="00E16CA7"/>
    <w:p w14:paraId="75F122B4" w14:textId="4E135A7B" w:rsidR="000E5B14" w:rsidRPr="00556A8B" w:rsidRDefault="00B04DCD" w:rsidP="00357B2F">
      <w:pPr>
        <w:pStyle w:val="Ttulo2"/>
        <w:rPr>
          <w:lang w:val="es-MX"/>
        </w:rPr>
      </w:pPr>
      <w:bookmarkStart w:id="148" w:name="_Toc232580653"/>
      <w:r w:rsidRPr="00556A8B">
        <w:rPr>
          <w:lang w:val="es-MX"/>
        </w:rPr>
        <w:t>Movimiento 4: las tecnologías subjetivantes y el gobierno del yo</w:t>
      </w:r>
      <w:bookmarkEnd w:id="148"/>
    </w:p>
    <w:p w14:paraId="58198EB7" w14:textId="77B77562" w:rsidR="00765722" w:rsidRPr="00556A8B" w:rsidRDefault="00765722" w:rsidP="00357B2F">
      <w:r w:rsidRPr="00556A8B">
        <w:t>Si el régimen discursivo de la salud mental delimita lo que puede decirse y pensarse en nombre del bienestar</w:t>
      </w:r>
      <w:r w:rsidR="00B04DCD" w:rsidRPr="00556A8B">
        <w:t xml:space="preserve">, </w:t>
      </w:r>
      <w:r w:rsidRPr="00556A8B">
        <w:t>funcionalidad, adaptabilidad, normalidad, y si sus tensiones internas revelan su capacidad de renovación sin fractura, resulta necesario examinar ahora el plano donde dicho régimen adquiere eficacia concreta: la subjetividad misma. No basta con describir el entramado discursivo; es preciso identificar los mecanismos mediante los cuales este se inscribe en los cuerpos, en los afectos y en la experiencia vivida.</w:t>
      </w:r>
    </w:p>
    <w:p w14:paraId="6784F232" w14:textId="36981588" w:rsidR="00765722" w:rsidRPr="00556A8B" w:rsidRDefault="00765722" w:rsidP="00357B2F">
      <w:r w:rsidRPr="00556A8B">
        <w:t xml:space="preserve">En términos foucaultianos, ello implica analizar las </w:t>
      </w:r>
      <w:r w:rsidR="009A7B04">
        <w:t>Técnicas de sí</w:t>
      </w:r>
      <w:r w:rsidR="00D5744D">
        <w:t xml:space="preserve"> como </w:t>
      </w:r>
      <w:r w:rsidRPr="00556A8B">
        <w:t>aquellos procedimientos mediante los cuales los individuos actúan sobre sí mismos</w:t>
      </w:r>
      <w:r w:rsidR="004C0C82" w:rsidRPr="00556A8B">
        <w:t xml:space="preserve">, </w:t>
      </w:r>
      <w:r w:rsidRPr="00556A8B">
        <w:t>con o sin mediación experta</w:t>
      </w:r>
      <w:r w:rsidR="004C0C82" w:rsidRPr="00556A8B">
        <w:t xml:space="preserve">, </w:t>
      </w:r>
      <w:r w:rsidRPr="00556A8B">
        <w:t>para transformarse conforme a ciertos ideales de felicidad, equilibrio o plenitud (Foucault, 2008). La biopolítica contemporánea no opera exclusivamente mediante dispositivos coercitivos o institucionales masivos; actúa, más bien, a través de mecanismos sutiles que orientan la gestión individual de la vida (Foucault, 2009b). La salud mental se convierte así en un campo privilegiado para el ejercicio de un gobierno que funciona desde el interior del sujeto.</w:t>
      </w:r>
    </w:p>
    <w:p w14:paraId="724C61B2" w14:textId="77777777" w:rsidR="00765722" w:rsidRPr="00556A8B" w:rsidRDefault="00765722" w:rsidP="00357B2F">
      <w:r w:rsidRPr="00556A8B">
        <w:t xml:space="preserve">Estas tecnologías no son simples herramientas de autoconocimiento. Son dispositivos históricos que producen formas específicas de relación consigo mismo, orientadas a la autorregulación, la autoevaluación y el autogobierno (Rose, 2019; Bedoya, 2016). En el campo </w:t>
      </w:r>
      <w:r w:rsidRPr="00556A8B">
        <w:lastRenderedPageBreak/>
        <w:t>actual de la salud mental, se materializan en prácticas psicoterapéuticas, estrategias de psicoeducación, técnicas de gestión emocional y dispositivos de evaluación que, bajo la promesa de bienestar, conducen al sujeto a gobernarse según criterios normativos previamente establecidos. Su eficacia no depende de una intención represiva, sino de su capacidad para producir individuos que se reconocen como responsables de su propia estabilidad psíquica.</w:t>
      </w:r>
    </w:p>
    <w:p w14:paraId="7AEA8AD6" w14:textId="77777777" w:rsidR="004C0C82" w:rsidRPr="00556A8B" w:rsidRDefault="004C0C82" w:rsidP="00357B2F">
      <w:pPr>
        <w:ind w:firstLine="0"/>
      </w:pPr>
    </w:p>
    <w:p w14:paraId="774CDB54" w14:textId="7E757076" w:rsidR="00765722" w:rsidRPr="00556A8B" w:rsidRDefault="00765722" w:rsidP="00357B2F">
      <w:pPr>
        <w:pStyle w:val="Ttulo4"/>
      </w:pPr>
      <w:bookmarkStart w:id="149" w:name="_Toc222437809"/>
      <w:bookmarkStart w:id="150" w:name="_Toc232580654"/>
      <w:r w:rsidRPr="00556A8B">
        <w:t>La psicoterapia como pedagogía del yo</w:t>
      </w:r>
      <w:bookmarkEnd w:id="149"/>
      <w:bookmarkEnd w:id="150"/>
    </w:p>
    <w:p w14:paraId="5A87147C" w14:textId="77777777" w:rsidR="00765722" w:rsidRPr="00556A8B" w:rsidRDefault="00765722" w:rsidP="00357B2F">
      <w:r w:rsidRPr="00556A8B">
        <w:t>La psicoterapia constituye uno de los espacios privilegiados donde estas tecnologías subjetivantes se despliegan con mayor intensidad. Independientemente del modelo teórico que la sustente, establece un marco en el que el sujeto es invitado a examinarse, narrarse y reformularse a partir de categorías como patrón disfuncional, distorsión cognitiva, conflicto no resuelto o déficit de habilidades.</w:t>
      </w:r>
    </w:p>
    <w:p w14:paraId="0B29B357" w14:textId="683F7F5F" w:rsidR="00765722" w:rsidRPr="00556A8B" w:rsidRDefault="00765722" w:rsidP="00357B2F">
      <w:r w:rsidRPr="00556A8B">
        <w:t xml:space="preserve">Como señala </w:t>
      </w:r>
      <w:r w:rsidR="00757531" w:rsidRPr="00556A8B">
        <w:t>Rose (2019)</w:t>
      </w:r>
      <w:r w:rsidRPr="00556A8B">
        <w:t>, la psicoterapia no descubre un yo preexistente; participa en su producción al ofrecer lenguajes, narrativas y técnicas mediante las cuales los individuos aprenden a interpretarse y actuar sobre sí mismos. El proceso de autoexamen no es neutro: presupone la internalización de criterios normativos que definen qué cuenta como funcionamiento saludable. Identificar pensamientos “irracionales” o emociones “desreguladas” implica adoptar un marco evaluativo que sitúa al sujeto en relación con estándares predefinidos.</w:t>
      </w:r>
    </w:p>
    <w:p w14:paraId="59D1BF5C" w14:textId="3F99E772" w:rsidR="00765722" w:rsidRPr="00556A8B" w:rsidRDefault="00765722" w:rsidP="00357B2F">
      <w:r w:rsidRPr="00556A8B">
        <w:t>En este sentido, la psicoterapia opera como una pedagogía moral contemporánea (Arruda, 2014). No impone normas de forma explícita; enseña al sujeto a juzgarse conforme a ellas. Lo que en el siglo XIX se formulaba como tratamiento moral</w:t>
      </w:r>
      <w:r w:rsidR="004F3849" w:rsidRPr="00556A8B">
        <w:t xml:space="preserve">, </w:t>
      </w:r>
      <w:r w:rsidRPr="00556A8B">
        <w:t>interiorización de la norma, control de las pasiones, normalización de la conducta (Caponi, 2024)</w:t>
      </w:r>
      <w:r w:rsidR="004F3849" w:rsidRPr="00556A8B">
        <w:t xml:space="preserve">, </w:t>
      </w:r>
      <w:r w:rsidRPr="00556A8B">
        <w:t>hoy se despliega en formas más sutiles y humanizadas. El énfasis ya no está en la obediencia externa, sino en la autorregulación voluntaria. El sujeto aprende a gobernarse.</w:t>
      </w:r>
    </w:p>
    <w:p w14:paraId="4BF912D5" w14:textId="77777777" w:rsidR="004C0C82" w:rsidRPr="00556A8B" w:rsidRDefault="004C0C82" w:rsidP="00357B2F"/>
    <w:p w14:paraId="074D3E98" w14:textId="4C22C032" w:rsidR="004C0C82" w:rsidRPr="00556A8B" w:rsidRDefault="00765722" w:rsidP="00357B2F">
      <w:pPr>
        <w:pStyle w:val="Ttulo4"/>
      </w:pPr>
      <w:bookmarkStart w:id="151" w:name="_Toc222437810"/>
      <w:bookmarkStart w:id="152" w:name="_Toc232580655"/>
      <w:r w:rsidRPr="00556A8B">
        <w:t>Técnicas psicológicas y microprocedimientos de normalización</w:t>
      </w:r>
      <w:bookmarkEnd w:id="151"/>
      <w:bookmarkEnd w:id="152"/>
    </w:p>
    <w:p w14:paraId="4AA1F340" w14:textId="7070AF15" w:rsidR="00765722" w:rsidRPr="00556A8B" w:rsidRDefault="00765722" w:rsidP="00357B2F">
      <w:r w:rsidRPr="00556A8B">
        <w:t>Las técnicas específicas</w:t>
      </w:r>
      <w:r w:rsidR="004C0C82" w:rsidRPr="00556A8B">
        <w:t xml:space="preserve">, </w:t>
      </w:r>
      <w:r w:rsidRPr="00556A8B">
        <w:t>mindfulness, reestructuración cognitiva, entrenamiento en habilidades, psicoeducación emocional</w:t>
      </w:r>
      <w:r w:rsidR="004C0C82" w:rsidRPr="00556A8B">
        <w:t>,</w:t>
      </w:r>
      <w:r w:rsidRPr="00556A8B">
        <w:t xml:space="preserve"> funcionan como microprocedimientos que moldean la relación del individuo consigo mismo. Cada una porta una concepción implícita de lo que debe ser un sujeto saludable: consciente, flexible, resiliente, emocionalmente competente.</w:t>
      </w:r>
    </w:p>
    <w:p w14:paraId="41FDBB3C" w14:textId="77777777" w:rsidR="00765722" w:rsidRPr="00556A8B" w:rsidRDefault="00765722" w:rsidP="00357B2F">
      <w:r w:rsidRPr="00556A8B">
        <w:lastRenderedPageBreak/>
        <w:t>El mindfulness, por ejemplo, promueve la observación desapegada de los estados internos; sin embargo, esta observación rara vez interroga las condiciones estructurales que producen dichos estados. La regulación emocional se convierte en competencia individual antes que en problema político. Del mismo modo, las intervenciones centradas en la modificación de esquemas cognitivos suponen que el malestar radica en el procesamiento subjetivo, desplazando el análisis de las condiciones materiales de existencia.</w:t>
      </w:r>
    </w:p>
    <w:p w14:paraId="3E04D699" w14:textId="77777777" w:rsidR="00765722" w:rsidRPr="00556A8B" w:rsidRDefault="00765722" w:rsidP="00357B2F">
      <w:r w:rsidRPr="00556A8B">
        <w:t>Estas prácticas no deben interpretarse como simples técnicas clínicas, sino como tecnologías gubernamentales que producen sujetos capaces de gestionar su capital emocional (Illouz, 2008; Han, 2014; Rose, 2019). No solo alivian síntomas; configuran disposiciones permanentes hacia la autoevaluación y la optimización. El sujeto deviene empresario de sí mismo, responsable de invertir en su propio equilibrio psíquico.</w:t>
      </w:r>
    </w:p>
    <w:p w14:paraId="602635D8" w14:textId="77777777" w:rsidR="004C0C82" w:rsidRPr="00556A8B" w:rsidRDefault="004C0C82" w:rsidP="00357B2F"/>
    <w:p w14:paraId="5AA97157" w14:textId="1430A808" w:rsidR="00765722" w:rsidRPr="00556A8B" w:rsidRDefault="00765722" w:rsidP="00357B2F">
      <w:pPr>
        <w:pStyle w:val="Ttulo4"/>
      </w:pPr>
      <w:bookmarkStart w:id="153" w:name="_Toc222437811"/>
      <w:bookmarkStart w:id="154" w:name="_Toc232580656"/>
      <w:r w:rsidRPr="00556A8B">
        <w:t>Psicoeducación y gobierno a distancia</w:t>
      </w:r>
      <w:bookmarkEnd w:id="153"/>
      <w:bookmarkEnd w:id="154"/>
    </w:p>
    <w:p w14:paraId="316DF491" w14:textId="77777777" w:rsidR="00765722" w:rsidRPr="00556A8B" w:rsidRDefault="00765722" w:rsidP="00357B2F">
      <w:r w:rsidRPr="00556A8B">
        <w:t>La psicoeducación constituye otra modalidad central de estas tecnologías subjetivantes. Presentada como estrategia preventiva, opera como mecanismo de normalización colectiva. Al enseñar a identificar síntomas, gestionar el estrés o reconocer factores de riesgo, no solo transmite información: instala criterios normativos sobre cómo debe sentirse y comportarse un sujeto saludable.</w:t>
      </w:r>
    </w:p>
    <w:p w14:paraId="624C2FF9" w14:textId="77777777" w:rsidR="00765722" w:rsidRPr="00556A8B" w:rsidRDefault="00765722" w:rsidP="00357B2F">
      <w:r w:rsidRPr="00556A8B">
        <w:t>Foucault (1975) mostró que el poder disciplinario actúa difundiendo saberes que los individuos interiorizan como verdades sobre sí mismos. La psicoeducación entrena al sujeto para vigilarse sin necesidad de supervisión constante. Se trata de una forma de gobierno a distancia (Rose, 2019), particularmente eficaz porque se vive como empoderamiento y no como control.</w:t>
      </w:r>
    </w:p>
    <w:p w14:paraId="1FD9405F" w14:textId="37A251F6" w:rsidR="00765722" w:rsidRPr="00556A8B" w:rsidRDefault="00765722" w:rsidP="00357B2F">
      <w:r w:rsidRPr="00556A8B">
        <w:t xml:space="preserve">En este marco se configura un ideal de sujeto: autónomo, resiliente, optimista, emocionalmente inteligente (Cabanas </w:t>
      </w:r>
      <w:r w:rsidR="004F3849" w:rsidRPr="00556A8B">
        <w:t>y</w:t>
      </w:r>
      <w:r w:rsidRPr="00556A8B">
        <w:t xml:space="preserve"> Illouz, 2019). Sin embargo, la autonomía promovida es una autonomía administrada. El sujeto elige dentro de un campo de posibilidades previamente delimitado. La libertad no desaparece; es estructurada.</w:t>
      </w:r>
    </w:p>
    <w:p w14:paraId="20C3D208" w14:textId="77777777" w:rsidR="004C0C82" w:rsidRPr="00556A8B" w:rsidRDefault="004C0C82" w:rsidP="00357B2F"/>
    <w:p w14:paraId="6C8738FA" w14:textId="0CFCA4FB" w:rsidR="00765722" w:rsidRPr="00556A8B" w:rsidRDefault="00765722" w:rsidP="00357B2F">
      <w:pPr>
        <w:pStyle w:val="Ttulo4"/>
      </w:pPr>
      <w:bookmarkStart w:id="155" w:name="_Toc222437812"/>
      <w:bookmarkStart w:id="156" w:name="_Toc232580657"/>
      <w:r w:rsidRPr="00556A8B">
        <w:t>El sujeto empresario de sí y la racionalidad neoliberal</w:t>
      </w:r>
      <w:bookmarkEnd w:id="155"/>
      <w:bookmarkEnd w:id="156"/>
    </w:p>
    <w:p w14:paraId="1AA1BF11" w14:textId="03AAA54C" w:rsidR="00765722" w:rsidRPr="00556A8B" w:rsidRDefault="00765722" w:rsidP="00357B2F">
      <w:r w:rsidRPr="00556A8B">
        <w:t xml:space="preserve">Estas tecnologías subjetivantes encuentran su coherencia plena en la racionalidad neoliberal. No se trata solo de una política económica, sino de una forma de gobierno que reorganiza los problemas sociales en términos de responsabilidad individual (Foucault, 2007). La </w:t>
      </w:r>
      <w:r w:rsidRPr="00556A8B">
        <w:lastRenderedPageBreak/>
        <w:t>salud mental se convierte en operador estratégico de esta racionalidad al traducir exigencias estructurales en tareas psicológicas.</w:t>
      </w:r>
    </w:p>
    <w:p w14:paraId="4A2BA68C" w14:textId="77777777" w:rsidR="00765722" w:rsidRPr="00556A8B" w:rsidRDefault="00765722" w:rsidP="00357B2F">
      <w:r w:rsidRPr="00556A8B">
        <w:t>El bienestar deja de ser derecho colectivo para transformarse en proyecto personal. El malestar se redefine como déficit de competencias emocionales antes que como efecto de precarización estructural. La resiliencia sustituye la transformación social; la regulación emocional reemplaza la crítica política.</w:t>
      </w:r>
    </w:p>
    <w:p w14:paraId="07A12B9E" w14:textId="77777777" w:rsidR="00765722" w:rsidRPr="00556A8B" w:rsidRDefault="00765722" w:rsidP="00357B2F">
      <w:r w:rsidRPr="00556A8B">
        <w:t>En este escenario, el sujeto no se percibe como dominado, sino como libre y autorrealizado (Han, 2014). La explotación adopta la forma de autoexplotación; el control, la forma de autogestión. Como señalan Miller y Rose (2008), el gobierno neoliberal opera creando condiciones para que los individuos se gobiernen libremente dentro de marcos previamente configurados.</w:t>
      </w:r>
    </w:p>
    <w:p w14:paraId="4D130F4F" w14:textId="77777777" w:rsidR="00765722" w:rsidRPr="00556A8B" w:rsidRDefault="00765722" w:rsidP="00357B2F">
      <w:r w:rsidRPr="00556A8B">
        <w:t>La salud mental, entonces, no funciona únicamente como categoría clínica, sino como pieza clave en el gobierno contemporáneo de la vida. Individualiza el sufrimiento, desplaza la responsabilidad hacia el sujeto y expande mercados del bienestar donde cada dimensión de la existencia se vuelve evaluable y optimizable.</w:t>
      </w:r>
    </w:p>
    <w:p w14:paraId="12036D7A" w14:textId="77777777" w:rsidR="004C0C82" w:rsidRPr="00556A8B" w:rsidRDefault="004C0C82" w:rsidP="00357B2F"/>
    <w:p w14:paraId="6F3F2B67" w14:textId="288B9699" w:rsidR="00765722" w:rsidRPr="00556A8B" w:rsidRDefault="00765722" w:rsidP="00357B2F">
      <w:pPr>
        <w:pStyle w:val="Ttulo4"/>
      </w:pPr>
      <w:bookmarkStart w:id="157" w:name="_Toc222437813"/>
      <w:bookmarkStart w:id="158" w:name="_Toc232580658"/>
      <w:r w:rsidRPr="00556A8B">
        <w:t>Producción de subjetividad y paradoja contemporánea</w:t>
      </w:r>
      <w:bookmarkEnd w:id="157"/>
      <w:bookmarkEnd w:id="158"/>
    </w:p>
    <w:p w14:paraId="65710939" w14:textId="35136BB7" w:rsidR="00765722" w:rsidRPr="00556A8B" w:rsidRDefault="00D5744D" w:rsidP="00357B2F">
      <w:r>
        <w:t xml:space="preserve">Las </w:t>
      </w:r>
      <w:r w:rsidR="009A7B04">
        <w:t>Técnicas de sí</w:t>
      </w:r>
      <w:r w:rsidR="00765722" w:rsidRPr="00556A8B">
        <w:t xml:space="preserve"> no anulan la agencia; la producen en una forma específica: como capacidad de autogestión orientada a la adaptación funcional. El sujeto psicológico contemporáneo es profundamente activo: busca conocerse, medirse, transformarse. Como describe Bedoya (2016), desea “saber quién es” para convertirse en una mejor versión de sí mismo.</w:t>
      </w:r>
    </w:p>
    <w:p w14:paraId="3C7BC4D2" w14:textId="3633246F" w:rsidR="00765722" w:rsidRPr="00556A8B" w:rsidRDefault="00765722" w:rsidP="00357B2F">
      <w:r w:rsidRPr="00556A8B">
        <w:t>Sin embargo, esta producción masiva de subjetividades autorreguladas conlleva una paradoja. Mientras se multiplican posiciones identitarias</w:t>
      </w:r>
      <w:r w:rsidR="004C0C82" w:rsidRPr="00556A8B">
        <w:t xml:space="preserve">, </w:t>
      </w:r>
      <w:r w:rsidRPr="00556A8B">
        <w:t>saludable, resiliente, equilibrado</w:t>
      </w:r>
      <w:r w:rsidR="004C0C82" w:rsidRPr="00556A8B">
        <w:t>,</w:t>
      </w:r>
      <w:r w:rsidRPr="00556A8B">
        <w:t xml:space="preserve"> se reduce la posibilidad de cuestionar los marcos que las definen. La subjetividad se intensifica como trabajo sobre sí, pero se empobrece como capacidad de problematizar el orden que la produce.</w:t>
      </w:r>
    </w:p>
    <w:p w14:paraId="733A8274" w14:textId="4137139F" w:rsidR="00765722" w:rsidRPr="00556A8B" w:rsidRDefault="00765722" w:rsidP="00357B2F">
      <w:r w:rsidRPr="00556A8B">
        <w:t xml:space="preserve">Así, las </w:t>
      </w:r>
      <w:r w:rsidR="00D5744D">
        <w:t>té</w:t>
      </w:r>
      <w:r w:rsidR="00324EFD">
        <w:t>c</w:t>
      </w:r>
      <w:r w:rsidR="00D5744D">
        <w:t>nicas de si</w:t>
      </w:r>
      <w:r w:rsidRPr="00556A8B">
        <w:t xml:space="preserve"> no reprimen al sujeto; lo habilitan. No cancelan su libertad; la orientan. Configuran un campo de inteligibilidad dentro del cual la búsqueda de bienestar aparece como elección personal, cuando en realidad responde a una racionalidad que articula saber psicológico y gobierno neoliberal.</w:t>
      </w:r>
    </w:p>
    <w:p w14:paraId="1FF2F538" w14:textId="48896E8F" w:rsidR="00765722" w:rsidRPr="00556A8B" w:rsidRDefault="00765722" w:rsidP="00357B2F">
      <w:r w:rsidRPr="00556A8B">
        <w:lastRenderedPageBreak/>
        <w:t>En este punto, la pregunta ya no es únicamente cómo se gobierna al individuo, sino por qué este gobierno resulta necesario. Las tecnologías subjetivantes no operan en el vacío: responden a condiciones estructurales que hacen indispensable la producción de un sujeto autorregulado, capaz de sostener su funcionalidad en contextos de incertidumbre y precariedad. Es precisamente hacia esas condiciones estructurales</w:t>
      </w:r>
      <w:r w:rsidR="004C0C82" w:rsidRPr="00556A8B">
        <w:t xml:space="preserve"> (</w:t>
      </w:r>
      <w:r w:rsidRPr="00556A8B">
        <w:t>políticas, económicas y sociales</w:t>
      </w:r>
      <w:r w:rsidR="004C0C82" w:rsidRPr="00556A8B">
        <w:t>)</w:t>
      </w:r>
      <w:r w:rsidRPr="00556A8B">
        <w:t xml:space="preserve"> que debe desplazarse ahora el análisis.</w:t>
      </w:r>
    </w:p>
    <w:p w14:paraId="20F4E85C" w14:textId="77777777" w:rsidR="000E5B14" w:rsidRPr="00556A8B" w:rsidRDefault="000E5B14" w:rsidP="00357B2F">
      <w:pPr>
        <w:rPr>
          <w:rFonts w:cs="Times New Roman"/>
          <w:lang w:val="es-MX"/>
        </w:rPr>
      </w:pPr>
    </w:p>
    <w:p w14:paraId="0AFB2C67" w14:textId="3AC69552" w:rsidR="004C0C82" w:rsidRPr="00556A8B" w:rsidRDefault="004C0C82" w:rsidP="00357B2F">
      <w:pPr>
        <w:pStyle w:val="Ttulo2"/>
      </w:pPr>
      <w:bookmarkStart w:id="159" w:name="_Toc232580659"/>
      <w:r w:rsidRPr="00556A8B">
        <w:t>Movimiento 5: los condicionantes estructurales: neoliberalismo, precariedad y psicopolítica</w:t>
      </w:r>
      <w:bookmarkEnd w:id="159"/>
    </w:p>
    <w:p w14:paraId="3E12630F" w14:textId="4834A54B" w:rsidR="009C0D87" w:rsidRPr="00556A8B" w:rsidRDefault="009C0D87" w:rsidP="00357B2F">
      <w:r w:rsidRPr="00556A8B">
        <w:t xml:space="preserve">Si las </w:t>
      </w:r>
      <w:r w:rsidR="009A7B04">
        <w:t>Técnicas de sí</w:t>
      </w:r>
      <w:r w:rsidRPr="00556A8B">
        <w:t xml:space="preserve"> muestran cómo el régimen de salud mental se inscribe en la subjetividad, resulta ahora imprescindible desplazar la mirada hacia las condiciones estructurales que hacen posible esa producción subjetiva. La salud mental contemporánea no emerge en el vacío: se configura en el interior de una racionalidad neoliberal que reorganiza la vida social en torno a la competencia, la optimización y la responsabilización individual.</w:t>
      </w:r>
    </w:p>
    <w:p w14:paraId="626F0D24" w14:textId="77777777" w:rsidR="009C0D87" w:rsidRPr="00556A8B" w:rsidRDefault="009C0D87" w:rsidP="00357B2F">
      <w:r w:rsidRPr="00556A8B">
        <w:t>En este panorama, los saberes psi no operan únicamente como disciplinas clínicas orientadas al bienestar, sino como dispositivos estratégicos de gobierno. Su expansión hacia el coaching, las redes sociales, la cultura digital, el mercadeo, la gestión institucional y las políticas públicas no responde a una simple difusión profesional, sino a la necesidad histórica de producir sujetos emocionalmente gestionables, adaptables y disponibles para el rendimiento permanente. La psicología, en este contexto, no solo describe la subjetividad: la organiza conforme a una racionalidad que naturaliza la autoexigencia y traduce tensiones estructurales en desafíos personales.</w:t>
      </w:r>
    </w:p>
    <w:p w14:paraId="1B1429C9" w14:textId="77777777" w:rsidR="004C0C82" w:rsidRPr="00556A8B" w:rsidRDefault="004C0C82" w:rsidP="00357B2F"/>
    <w:p w14:paraId="5957FDFC" w14:textId="6F93B77E" w:rsidR="009C0D87" w:rsidRPr="00556A8B" w:rsidRDefault="009C0D87" w:rsidP="00357B2F">
      <w:pPr>
        <w:pStyle w:val="Ttulo4"/>
      </w:pPr>
      <w:bookmarkStart w:id="160" w:name="_Toc222437815"/>
      <w:bookmarkStart w:id="161" w:name="_Toc232580660"/>
      <w:r w:rsidRPr="00556A8B">
        <w:t>Neoliberalismo como racionalidad de gobierno</w:t>
      </w:r>
      <w:bookmarkEnd w:id="160"/>
      <w:bookmarkEnd w:id="161"/>
    </w:p>
    <w:p w14:paraId="1FB79992" w14:textId="51FB64C9" w:rsidR="009C0D87" w:rsidRPr="00556A8B" w:rsidRDefault="009C0D87" w:rsidP="00357B2F">
      <w:r w:rsidRPr="00556A8B">
        <w:t xml:space="preserve">El neoliberalismo no debe entenderse exclusivamente como una doctrina económica, sino como una forma de gubernamentalidad (Foucault, 2007; Laval </w:t>
      </w:r>
      <w:r w:rsidR="004F3849" w:rsidRPr="00556A8B">
        <w:t>y</w:t>
      </w:r>
      <w:r w:rsidRPr="00556A8B">
        <w:t xml:space="preserve"> Dardot, 2013). Su objetivo no es únicamente liberar mercados, sino producir un tipo específico de sujeto: el empresario de sí mismo. Este sujeto concibe su vida</w:t>
      </w:r>
      <w:r w:rsidR="004C0C82" w:rsidRPr="00556A8B">
        <w:t xml:space="preserve">, </w:t>
      </w:r>
      <w:r w:rsidRPr="00556A8B">
        <w:t>incluida su salud mental</w:t>
      </w:r>
      <w:r w:rsidR="004C0C82" w:rsidRPr="00556A8B">
        <w:t>,</w:t>
      </w:r>
      <w:r w:rsidRPr="00556A8B">
        <w:t xml:space="preserve"> como capital que debe invertirse, optimizarse y gestionarse estratégicamente.</w:t>
      </w:r>
    </w:p>
    <w:p w14:paraId="618B3487" w14:textId="77777777" w:rsidR="009C0D87" w:rsidRPr="00556A8B" w:rsidRDefault="009C0D87" w:rsidP="00357B2F">
      <w:r w:rsidRPr="00556A8B">
        <w:lastRenderedPageBreak/>
        <w:t>La figura del homo economicus contemporáneo no es natural; es el resultado de tecnologías que enseñan a interpretar la existencia en términos de inversión, riesgo y rendimiento. Aquí los saberes psicológicos adquieren centralidad: ofrecen lenguajes para comprender la experiencia, técnicas para intervenir sobre ella y criterios normativos para evaluarla (Rose, 2019). La salud mental se convierte, así, en un campo estratégico donde se produce la subjetividad funcional al orden neoliberal: individuos capaces de responsabilizarse por su bienestar incluso cuando las condiciones estructurales lo erosionan sistemáticamente.</w:t>
      </w:r>
    </w:p>
    <w:p w14:paraId="346B0B9D" w14:textId="77777777" w:rsidR="009C0D87" w:rsidRPr="00556A8B" w:rsidRDefault="009C0D87" w:rsidP="00357B2F">
      <w:r w:rsidRPr="00556A8B">
        <w:t xml:space="preserve">Esta mutación da lugar a lo que puede denominarse un </w:t>
      </w:r>
      <w:r w:rsidRPr="00556A8B">
        <w:rPr>
          <w:i/>
          <w:iCs/>
        </w:rPr>
        <w:t>homo psychologicus</w:t>
      </w:r>
      <w:r w:rsidRPr="00556A8B">
        <w:t>: sujeto que administra su vida afectiva bajo parámetros de eficacia emocional, resiliencia y mejora continua (Castel, 1986; Illouz, 2007). La estabilidad psíquica deviene recurso productivo; la regulación emocional, competencia laboral; el bienestar, indicador de rendimiento.</w:t>
      </w:r>
    </w:p>
    <w:p w14:paraId="18CE3D48" w14:textId="77777777" w:rsidR="004C0C82" w:rsidRPr="00556A8B" w:rsidRDefault="004C0C82" w:rsidP="00357B2F"/>
    <w:p w14:paraId="09A96772" w14:textId="3B11ACED" w:rsidR="009C0D87" w:rsidRPr="00556A8B" w:rsidRDefault="009C0D87" w:rsidP="00357B2F">
      <w:pPr>
        <w:pStyle w:val="Ttulo4"/>
      </w:pPr>
      <w:bookmarkStart w:id="162" w:name="_Toc222437816"/>
      <w:bookmarkStart w:id="163" w:name="_Toc232580661"/>
      <w:r w:rsidRPr="00556A8B">
        <w:t>Precariedad y producción de subjetividad</w:t>
      </w:r>
      <w:bookmarkEnd w:id="162"/>
      <w:bookmarkEnd w:id="163"/>
    </w:p>
    <w:p w14:paraId="42F238FC" w14:textId="77777777" w:rsidR="009C0D87" w:rsidRPr="00556A8B" w:rsidRDefault="009C0D87" w:rsidP="00357B2F">
      <w:r w:rsidRPr="00556A8B">
        <w:t>La expansión de las psicociencias no puede comprenderse sin atender a la precarización estructural de la vida contemporánea. La inestabilidad laboral, la hipercompetencia, la fragilidad de redes comunitarias y la incertidumbre permanente no constituyen anomalías del sistema, sino su modo de funcionamiento. Como advierte Han (2014), el neoliberalismo no elimina la precariedad: la administra.</w:t>
      </w:r>
    </w:p>
    <w:p w14:paraId="6180FAB4" w14:textId="77777777" w:rsidR="009C0D87" w:rsidRPr="00556A8B" w:rsidRDefault="009C0D87" w:rsidP="00357B2F">
      <w:r w:rsidRPr="00556A8B">
        <w:t>En este contexto, la salud mental opera como tecnología de gestión de la precariedad. Las técnicas de resiliencia, mindfulness o regulación emocional no transforman las condiciones que producen malestar; enseñan a tolerarlas sin colapsar. El sufrimiento derivado de la inseguridad económica o la sobrecarga productiva es traducido al lenguaje psicológico como déficit de habilidades de afrontamiento.</w:t>
      </w:r>
    </w:p>
    <w:p w14:paraId="2C1EBF75" w14:textId="77777777" w:rsidR="009C0D87" w:rsidRPr="00556A8B" w:rsidRDefault="009C0D87" w:rsidP="00357B2F">
      <w:r w:rsidRPr="00556A8B">
        <w:t>Así, la ansiedad frente a la inestabilidad contractual se redefine como problema de manejo del estrés; la depresión en contextos de desempleo estructural, como falta de resiliencia; el agotamiento por hiperexigencia, como deficiencia en la organización personal. Este desplazamiento constituye una operación política: despolitiza el malestar al individualizarlo.</w:t>
      </w:r>
    </w:p>
    <w:p w14:paraId="32A3ACD8" w14:textId="77777777" w:rsidR="009C0D87" w:rsidRPr="00556A8B" w:rsidRDefault="009C0D87" w:rsidP="00357B2F">
      <w:r w:rsidRPr="00556A8B">
        <w:t>Han (2014) lo formula con contundencia: quien fracasa en la sociedad del rendimiento se responsabiliza a sí mismo antes que cuestionar el sistema. La vergüenza sustituye la crítica; la autoevaluación reemplaza la protesta. El resultado es una subjetividad que internaliza como culpa aquello que es efecto de determinaciones estructurales.</w:t>
      </w:r>
    </w:p>
    <w:p w14:paraId="571DFC83" w14:textId="77777777" w:rsidR="004C0C82" w:rsidRPr="00556A8B" w:rsidRDefault="004C0C82" w:rsidP="00357B2F"/>
    <w:p w14:paraId="6B62B7D9" w14:textId="4533F82B" w:rsidR="004C0C82" w:rsidRPr="00556A8B" w:rsidRDefault="009C0D87" w:rsidP="00357B2F">
      <w:pPr>
        <w:pStyle w:val="Ttulo4"/>
      </w:pPr>
      <w:bookmarkStart w:id="164" w:name="_Toc222437817"/>
      <w:bookmarkStart w:id="165" w:name="_Toc232580662"/>
      <w:r w:rsidRPr="00556A8B">
        <w:t>Psicopolítica y explotación de la vida psíquica</w:t>
      </w:r>
      <w:bookmarkEnd w:id="164"/>
      <w:bookmarkEnd w:id="165"/>
    </w:p>
    <w:p w14:paraId="19D334B9" w14:textId="77777777" w:rsidR="009C0D87" w:rsidRPr="00556A8B" w:rsidRDefault="009C0D87" w:rsidP="00357B2F">
      <w:r w:rsidRPr="00556A8B">
        <w:t>La explotación contemporánea ya no se limita al tiempo de trabajo; se extiende a la vida psíquica. La psicopolítica neoliberal, en términos de Han (2014), opera capturando la motivación, la creatividad y la emocionalidad como fuerzas productivas. La optimización personal deviene imperativo moral.</w:t>
      </w:r>
    </w:p>
    <w:p w14:paraId="569A6403" w14:textId="77777777" w:rsidR="009C0D87" w:rsidRPr="00556A8B" w:rsidRDefault="009C0D87" w:rsidP="00357B2F">
      <w:r w:rsidRPr="00556A8B">
        <w:t>Seminarios de liderazgo, programas de inteligencia emocional y dispositivos de coaching no solo prometen bienestar; producen sujetos que se autoexplotan bajo la convicción de autorrealización. La mejora continua se convierte en exigencia infinita. La salud mental deja de ser ausencia de enfermedad para transformarse en rendimiento emocional sostenido.</w:t>
      </w:r>
    </w:p>
    <w:p w14:paraId="7BFBB9E0" w14:textId="77777777" w:rsidR="009C0D87" w:rsidRPr="00556A8B" w:rsidRDefault="009C0D87" w:rsidP="00357B2F">
      <w:r w:rsidRPr="00556A8B">
        <w:t>Illouz (2010) muestra cómo la inteligencia emocional funciona como nuevo criterio de clasificación social: las competencias afectivas devienen capital evaluable. La vida interior se transforma en recurso competitivo. La distinción ya no se organiza únicamente en torno al coeficiente intelectual o la formación académica, sino también en torno a la capacidad de gestionar emociones.</w:t>
      </w:r>
    </w:p>
    <w:p w14:paraId="0316D112" w14:textId="7FCB7221" w:rsidR="009C0D87" w:rsidRPr="00556A8B" w:rsidRDefault="004C0C82" w:rsidP="00357B2F">
      <w:r w:rsidRPr="00556A8B">
        <w:t>Así</w:t>
      </w:r>
      <w:r w:rsidR="009C0D87" w:rsidRPr="00556A8B">
        <w:t>, la salud mental se integra al circuito productivo: estabilidad emocional equivale a eficiencia; resiliencia, a adaptabilidad; bienestar, a funcionalidad. La subjetividad misma se convierte en fuerza de trabajo.</w:t>
      </w:r>
    </w:p>
    <w:p w14:paraId="088A8A2A" w14:textId="77777777" w:rsidR="004C0C82" w:rsidRPr="00556A8B" w:rsidRDefault="004C0C82" w:rsidP="00357B2F"/>
    <w:p w14:paraId="1D5F5B69" w14:textId="45E3326B" w:rsidR="009C0D87" w:rsidRPr="00556A8B" w:rsidRDefault="009C0D87" w:rsidP="00357B2F">
      <w:pPr>
        <w:pStyle w:val="Ttulo4"/>
      </w:pPr>
      <w:bookmarkStart w:id="166" w:name="_Toc222437818"/>
      <w:bookmarkStart w:id="167" w:name="_Toc232580663"/>
      <w:r w:rsidRPr="00556A8B">
        <w:t>Políticas públicas y estandarización global</w:t>
      </w:r>
      <w:bookmarkEnd w:id="166"/>
      <w:bookmarkEnd w:id="167"/>
    </w:p>
    <w:p w14:paraId="6E4283A4" w14:textId="3D844807" w:rsidR="009C0D87" w:rsidRPr="00556A8B" w:rsidRDefault="009C0D87" w:rsidP="00357B2F">
      <w:r w:rsidRPr="00556A8B">
        <w:t>La gubernamentalidad neoliberal no se limita al mercado; se institucionaliza mediante políticas públicas y organismos internacionales que estandarizan criterios de intervención. Las estrategias de promoción de salud mental privilegian el desarrollo de habilidades individuales</w:t>
      </w:r>
      <w:r w:rsidR="004C0C82" w:rsidRPr="00556A8B">
        <w:t xml:space="preserve">, </w:t>
      </w:r>
      <w:r w:rsidRPr="00556A8B">
        <w:t>autocuidado, resiliencia, regulación emocional</w:t>
      </w:r>
      <w:r w:rsidR="004C0C82" w:rsidRPr="00556A8B">
        <w:t>,</w:t>
      </w:r>
      <w:r w:rsidRPr="00556A8B">
        <w:t xml:space="preserve"> por encima de transformaciones estructurales.</w:t>
      </w:r>
    </w:p>
    <w:p w14:paraId="08C119C7" w14:textId="77777777" w:rsidR="009C0D87" w:rsidRPr="00556A8B" w:rsidRDefault="009C0D87" w:rsidP="00357B2F">
      <w:r w:rsidRPr="00556A8B">
        <w:t>Cuando la intervención se organiza bajo criterios de eficiencia, brevedad y protocolización, el malestar se individualiza y se estandariza su abordaje. El diagnóstico simplifica la experiencia y la desvincula de su génesis histórica. Como señala Rose (2019), la prevención contemporánea se centra en la detección temprana de riesgos individuales, desplazando la atención de las condiciones sociales que producen vulnerabilidad.</w:t>
      </w:r>
    </w:p>
    <w:p w14:paraId="730689AF" w14:textId="77777777" w:rsidR="009C0D87" w:rsidRPr="00556A8B" w:rsidRDefault="009C0D87" w:rsidP="00357B2F">
      <w:r w:rsidRPr="00556A8B">
        <w:t xml:space="preserve">Esta estandarización, presentada como universalización del bienestar, opera también como colonización psicológica: impone modelos individualizantes sobre contextos culturales diversos </w:t>
      </w:r>
      <w:r w:rsidRPr="00556A8B">
        <w:lastRenderedPageBreak/>
        <w:t>(Bedoya, 2016; Caponi, 2024). La salud mental globalizada reproduce una racionalidad que privilegia la autogestión sobre la transformación social.</w:t>
      </w:r>
    </w:p>
    <w:p w14:paraId="2E1CAE18" w14:textId="77777777" w:rsidR="004C0C82" w:rsidRPr="00556A8B" w:rsidRDefault="004C0C82" w:rsidP="00357B2F"/>
    <w:p w14:paraId="5CDCE6B9" w14:textId="1D4F900F" w:rsidR="009C0D87" w:rsidRPr="00556A8B" w:rsidRDefault="009C0D87" w:rsidP="00357B2F">
      <w:pPr>
        <w:pStyle w:val="Ttulo4"/>
      </w:pPr>
      <w:bookmarkStart w:id="168" w:name="_Toc222437819"/>
      <w:bookmarkStart w:id="169" w:name="_Toc232580664"/>
      <w:r w:rsidRPr="00556A8B">
        <w:t>Administración de la precariedad y anestesia social</w:t>
      </w:r>
      <w:bookmarkEnd w:id="168"/>
      <w:bookmarkEnd w:id="169"/>
    </w:p>
    <w:p w14:paraId="218C33A1" w14:textId="77777777" w:rsidR="009C0D87" w:rsidRPr="00556A8B" w:rsidRDefault="009C0D87" w:rsidP="00357B2F">
      <w:r w:rsidRPr="00556A8B">
        <w:t>En su forma más crítica, puede afirmarse que la promoción contemporánea de la salud mental funciona como dispositivo de administración del malestar. No elimina las condiciones que lo generan; produce subjetividades capaces de soportarlas. La precariedad se vuelve tolerable mediante técnicas de adaptación.</w:t>
      </w:r>
    </w:p>
    <w:p w14:paraId="1AA57AF6" w14:textId="77777777" w:rsidR="009C0D87" w:rsidRPr="00556A8B" w:rsidRDefault="009C0D87" w:rsidP="00357B2F">
      <w:r w:rsidRPr="00556A8B">
        <w:t>La pregunta decisiva no es cómo perfeccionar estas técnicas, sino cómo participan en la reproducción de un sistema que genera sistemáticamente aquello que luego medicaliza o psicologiza. La salud mental, en este marco, no aparece como esfera externa al neoliberalismo, sino como uno de sus operadores estratégicos.</w:t>
      </w:r>
    </w:p>
    <w:p w14:paraId="34CB6D1F" w14:textId="1A56FC3B" w:rsidR="000E5B14" w:rsidRPr="00556A8B" w:rsidRDefault="009C0D87" w:rsidP="00357B2F">
      <w:pPr>
        <w:rPr>
          <w:lang w:val="es-MX"/>
        </w:rPr>
      </w:pPr>
      <w:r w:rsidRPr="00556A8B">
        <w:t>Neoliberalismo, precariedad y psicopolítica no son contextos externos a la salud mental contemporánea: constituyen sus condiciones de posibilidad. La producción de sujetos autorregulados, resilientes y adaptativos no es efecto colateral, sino requisito estructural</w:t>
      </w:r>
      <w:r w:rsidR="000E5B14" w:rsidRPr="00556A8B">
        <w:rPr>
          <w:lang w:val="es-MX"/>
        </w:rPr>
        <w:t>.</w:t>
      </w:r>
    </w:p>
    <w:p w14:paraId="43836F09" w14:textId="1B46E507" w:rsidR="004C0C82" w:rsidRPr="00556A8B" w:rsidRDefault="004C0C82" w:rsidP="000162FA">
      <w:pPr>
        <w:spacing w:after="160"/>
        <w:ind w:firstLine="0"/>
        <w:contextualSpacing w:val="0"/>
      </w:pPr>
    </w:p>
    <w:p w14:paraId="7B261327" w14:textId="229BB859" w:rsidR="000E5B14" w:rsidRPr="00556A8B" w:rsidRDefault="004C0C82" w:rsidP="00357B2F">
      <w:pPr>
        <w:pStyle w:val="Ttulo2"/>
        <w:rPr>
          <w:lang w:val="es-MX"/>
        </w:rPr>
      </w:pPr>
      <w:bookmarkStart w:id="170" w:name="_Toc232580665"/>
      <w:r w:rsidRPr="00556A8B">
        <w:t>Movimiento 6:  paradojas y sofisticación del poder</w:t>
      </w:r>
      <w:bookmarkEnd w:id="170"/>
    </w:p>
    <w:p w14:paraId="30A4F6E2" w14:textId="77777777" w:rsidR="009C0D87" w:rsidRPr="00556A8B" w:rsidRDefault="009C0D87" w:rsidP="00357B2F">
      <w:r w:rsidRPr="00556A8B">
        <w:t>Tras recorrer el régimen discursivo, sus tensiones internas, las tecnologías subjetivantes y sus condicionantes estructurales, emerge la paradoja central: la salud mental se presenta como campo de cuidado mientras opera como dispositivo de control. No se trata de incoherencias accidentales, sino del modo específico en que funciona el poder contemporáneo.</w:t>
      </w:r>
    </w:p>
    <w:p w14:paraId="6877A041" w14:textId="77777777" w:rsidR="004C0C82" w:rsidRPr="00556A8B" w:rsidRDefault="004C0C82" w:rsidP="00357B2F">
      <w:pPr>
        <w:rPr>
          <w:b/>
          <w:bCs/>
        </w:rPr>
      </w:pPr>
    </w:p>
    <w:p w14:paraId="43A000F6" w14:textId="7CA079BD" w:rsidR="009C0D87" w:rsidRPr="00556A8B" w:rsidRDefault="009C0D87" w:rsidP="00357B2F">
      <w:pPr>
        <w:pStyle w:val="Ttulo4"/>
      </w:pPr>
      <w:bookmarkStart w:id="171" w:name="_Toc222437821"/>
      <w:bookmarkStart w:id="172" w:name="_Toc232580666"/>
      <w:r w:rsidRPr="00556A8B">
        <w:t>El bienestar que produce malestar</w:t>
      </w:r>
      <w:bookmarkEnd w:id="171"/>
      <w:bookmarkEnd w:id="172"/>
    </w:p>
    <w:p w14:paraId="7F9D389B" w14:textId="179BF4CF" w:rsidR="009C0D87" w:rsidRPr="00556A8B" w:rsidRDefault="009C0D87" w:rsidP="00357B2F">
      <w:r w:rsidRPr="00556A8B">
        <w:t>La primera paradoja consiste en que el imperativo del bienestar genera nuevas formas de sufrimiento. En la sociedad del rendimiento, el sujeto no solo debe trabajar; debe estar bien mientras trabaja. La optimización emocional se convierte en tarea infinita.</w:t>
      </w:r>
      <w:r w:rsidR="004C0C82" w:rsidRPr="00556A8B">
        <w:t xml:space="preserve"> </w:t>
      </w:r>
      <w:r w:rsidRPr="00556A8B">
        <w:t>Han (2012) describe este tránsito de la sociedad disciplinaria a la sociedad de rendimiento: ya no predomina el “no debes”, sino el “puedes”. Sin embargo, este “puedes” encierra una obligación implícita: debes poder. El resultado no son cuerpos reprimidos, sino sujetos agotados.</w:t>
      </w:r>
      <w:r w:rsidR="004C0C82" w:rsidRPr="00556A8B">
        <w:t xml:space="preserve"> </w:t>
      </w:r>
      <w:r w:rsidRPr="00556A8B">
        <w:t>Cada ampliación de los criterios de bienestar produce</w:t>
      </w:r>
      <w:r w:rsidR="004C0C82" w:rsidRPr="00556A8B">
        <w:t>, entonces,</w:t>
      </w:r>
      <w:r w:rsidRPr="00556A8B">
        <w:t xml:space="preserve"> nuevas formas de patología (Rose, 2019). Si alguien no </w:t>
      </w:r>
      <w:r w:rsidRPr="00556A8B">
        <w:lastRenderedPageBreak/>
        <w:t>alcanza el estándar emocional esperado, se intensifican las intervenciones. El dispositivo se alimenta de su propio fracaso: el malestar generado por la exigencia de bienestar es reinterpretado como evidencia de que se necesita más gestión emocional.</w:t>
      </w:r>
    </w:p>
    <w:p w14:paraId="0EFA2367" w14:textId="77777777" w:rsidR="004C0C82" w:rsidRPr="00556A8B" w:rsidRDefault="004C0C82" w:rsidP="00357B2F"/>
    <w:p w14:paraId="4D918001" w14:textId="42A1144E" w:rsidR="009C0D87" w:rsidRPr="00556A8B" w:rsidRDefault="009C0D87" w:rsidP="00357B2F">
      <w:pPr>
        <w:pStyle w:val="Ttulo4"/>
      </w:pPr>
      <w:bookmarkStart w:id="173" w:name="_Toc222437822"/>
      <w:bookmarkStart w:id="174" w:name="_Toc232580667"/>
      <w:r w:rsidRPr="00556A8B">
        <w:t>La libertad que esclaviza</w:t>
      </w:r>
      <w:bookmarkEnd w:id="173"/>
      <w:bookmarkEnd w:id="174"/>
    </w:p>
    <w:p w14:paraId="4BD30E13" w14:textId="7E664316" w:rsidR="009C0D87" w:rsidRPr="00556A8B" w:rsidRDefault="009C0D87" w:rsidP="00357B2F">
      <w:r w:rsidRPr="00556A8B">
        <w:t>La segunda paradoja es la de una libertad que opera como forma de sujeción. El sujeto neoliberal se percibe autónomo porque elige sus técnicas de autocuidado, pero esa elección se produce dentro de un campo previamente delimitado.</w:t>
      </w:r>
      <w:r w:rsidR="004C0C82" w:rsidRPr="00556A8B">
        <w:t xml:space="preserve"> </w:t>
      </w:r>
      <w:r w:rsidRPr="00556A8B">
        <w:t>Como afirma Han (2014), el sujeto del rendimiento se explota voluntariamente. La vigilancia externa es sustituida por autovigilancia. El poder ya no necesita imponerse; se interioriza.</w:t>
      </w:r>
      <w:r w:rsidR="004C0C82" w:rsidRPr="00556A8B">
        <w:t xml:space="preserve"> </w:t>
      </w:r>
      <w:r w:rsidRPr="00556A8B">
        <w:t>La autonomía se transforma en responsabilización absoluta: si el individuo sufre, es porque no ha invertido adecuadamente en su capital psicológico. La libertad de gestionarse deviene obligación de optimizarse. Rechazar esta lógica implica exponerse a la acusación de irresponsabilidad o disfuncionalidad.</w:t>
      </w:r>
    </w:p>
    <w:p w14:paraId="69CA28A0" w14:textId="77777777" w:rsidR="004C0C82" w:rsidRPr="00556A8B" w:rsidRDefault="004C0C82" w:rsidP="00357B2F"/>
    <w:p w14:paraId="7ACFD480" w14:textId="0B857DC3" w:rsidR="009C0D87" w:rsidRPr="00556A8B" w:rsidRDefault="009C0D87" w:rsidP="00357B2F">
      <w:pPr>
        <w:pStyle w:val="Ttulo4"/>
      </w:pPr>
      <w:bookmarkStart w:id="175" w:name="_Toc222437823"/>
      <w:bookmarkStart w:id="176" w:name="_Toc232580668"/>
      <w:r w:rsidRPr="00556A8B">
        <w:t>Invisibilización y control modulado</w:t>
      </w:r>
      <w:bookmarkEnd w:id="175"/>
      <w:bookmarkEnd w:id="176"/>
    </w:p>
    <w:p w14:paraId="2256BFB5" w14:textId="5E27D73E" w:rsidR="000E5B14" w:rsidRPr="00556A8B" w:rsidRDefault="009C0D87" w:rsidP="00357B2F">
      <w:r w:rsidRPr="00556A8B">
        <w:t>A diferencia del poder disciplinario clásico, el psicopoder neoliberal no opera mediante encierro o prohibición, sino mediante modulación continua (Deleuze, 1990). La salud mental acompaña al sujeto en todos los espacios: aplicaciones digitales, talleres, programas de bienestar, discursos mediáticos.</w:t>
      </w:r>
      <w:r w:rsidR="004C0C82" w:rsidRPr="00556A8B">
        <w:t xml:space="preserve"> </w:t>
      </w:r>
      <w:r w:rsidRPr="00556A8B">
        <w:t>El control se presenta como cuidado; la vigilancia, como acompañamiento; la normalización, como empoderamiento. Esta invisibilización constituye su mayor eficacia. El sujeto no se resiste porque no identifica el poder como tal.</w:t>
      </w:r>
      <w:r w:rsidR="004C0C82" w:rsidRPr="00556A8B">
        <w:t xml:space="preserve"> </w:t>
      </w:r>
      <w:r w:rsidRPr="00556A8B">
        <w:t xml:space="preserve">La digitalización del cuidado intensifica esta dinámica. La vida psíquica se traduce en datos cuantificables que permiten personalizar intervenciones. La vigilancia adopta la forma de </w:t>
      </w:r>
      <w:r w:rsidRPr="00556A8B">
        <w:rPr>
          <w:i/>
          <w:iCs/>
        </w:rPr>
        <w:t>feedback</w:t>
      </w:r>
      <w:r w:rsidRPr="00556A8B">
        <w:t>; el control, la forma de servicio. El sujeto se siente conocido y asistido, no regulado</w:t>
      </w:r>
      <w:r w:rsidR="000E5B14" w:rsidRPr="00556A8B">
        <w:t>.</w:t>
      </w:r>
    </w:p>
    <w:p w14:paraId="6F24FDF5" w14:textId="77777777" w:rsidR="004C0C82" w:rsidRPr="00556A8B" w:rsidRDefault="004C0C82" w:rsidP="00357B2F">
      <w:pPr>
        <w:rPr>
          <w:rFonts w:eastAsia="Times New Roman" w:cs="Times New Roman"/>
          <w:lang w:val="es-MX"/>
        </w:rPr>
      </w:pPr>
    </w:p>
    <w:p w14:paraId="750555EC" w14:textId="7D054890" w:rsidR="000E5B14" w:rsidRPr="00556A8B" w:rsidRDefault="000E5B14" w:rsidP="00357B2F">
      <w:pPr>
        <w:pStyle w:val="Ttulo2"/>
      </w:pPr>
      <w:r w:rsidRPr="00556A8B">
        <w:rPr>
          <w:rFonts w:eastAsia="Times New Roman"/>
          <w:lang w:val="es-MX"/>
        </w:rPr>
        <w:t xml:space="preserve"> </w:t>
      </w:r>
      <w:bookmarkStart w:id="177" w:name="_Toc232580669"/>
      <w:r w:rsidR="00605F12" w:rsidRPr="00556A8B">
        <w:t>Desnaturalizar el presente: la genealogía como gesto crítico</w:t>
      </w:r>
      <w:bookmarkEnd w:id="177"/>
    </w:p>
    <w:p w14:paraId="5E38DFAB" w14:textId="24BBFD47" w:rsidR="009C0D87" w:rsidRPr="00556A8B" w:rsidRDefault="009C0D87" w:rsidP="00357B2F">
      <w:r w:rsidRPr="00556A8B">
        <w:t>El recorrido desarrollado en los movimientos anteriores no respondió a una lógica lineal ni acumulativa, sino a una estrategia metodológica inspirada en la metáfora del caleidoscopio y en la figura del rizoma. Cada movimiento operó como un giro que reorganiza los mismos elementos</w:t>
      </w:r>
      <w:r w:rsidR="00605F12" w:rsidRPr="00556A8B">
        <w:t xml:space="preserve">, </w:t>
      </w:r>
      <w:r w:rsidRPr="00556A8B">
        <w:t>discursos, prácticas, saberes, instituciones, tecnologías y sujetos</w:t>
      </w:r>
      <w:r w:rsidR="00605F12" w:rsidRPr="00556A8B">
        <w:t>,</w:t>
      </w:r>
      <w:r w:rsidRPr="00556A8B">
        <w:t xml:space="preserve"> bajo configuraciones </w:t>
      </w:r>
      <w:r w:rsidRPr="00556A8B">
        <w:lastRenderedPageBreak/>
        <w:t>distintas. No se trató de buscar un origen fundacional de la salud mental ni de alcanzar una conclusión definitiva sobre su esencia, sino de cartografiar un campo de fuerzas históricamente constituido.</w:t>
      </w:r>
    </w:p>
    <w:p w14:paraId="46E97C10" w14:textId="7F914923" w:rsidR="009C0D87" w:rsidRPr="00556A8B" w:rsidRDefault="009C0D87" w:rsidP="00357B2F">
      <w:r w:rsidRPr="00556A8B">
        <w:t xml:space="preserve">En términos deleuzianos, el análisis no partió de un punto inaugural ni se dirigió hacia una síntesis final: se mantuvo “en el medio”, entre conexiones, desplazamientos y reconfiguraciones (Deleuze </w:t>
      </w:r>
      <w:r w:rsidR="004F3849" w:rsidRPr="00556A8B">
        <w:t>y</w:t>
      </w:r>
      <w:r w:rsidRPr="00556A8B">
        <w:t xml:space="preserve"> Guattari, </w:t>
      </w:r>
      <w:r w:rsidR="00DC02C2" w:rsidRPr="00556A8B">
        <w:t>2004</w:t>
      </w:r>
      <w:r w:rsidRPr="00556A8B">
        <w:t>). La salud mental apareció así no como objeto estable, sino como efecto de múltiples articulaciones entre saber y poder. El caleidoscopio gira y lo que parecía evidente desde un ángulo</w:t>
      </w:r>
      <w:r w:rsidR="00605F12" w:rsidRPr="00556A8B">
        <w:t xml:space="preserve">, </w:t>
      </w:r>
      <w:r w:rsidRPr="00556A8B">
        <w:t>bienestar, autonomía, cuidado</w:t>
      </w:r>
      <w:r w:rsidR="00605F12" w:rsidRPr="00556A8B">
        <w:t>,</w:t>
      </w:r>
      <w:r w:rsidRPr="00556A8B">
        <w:t xml:space="preserve"> se revela problemático desde otro: el bienestar como imperativo, la libertad como forma de sujeción, el cuidado como tecnología de normalización, la funcionalidad como criterio de valor subjetivo.</w:t>
      </w:r>
    </w:p>
    <w:p w14:paraId="06493C98" w14:textId="77777777" w:rsidR="009C0D87" w:rsidRPr="00556A8B" w:rsidRDefault="009C0D87" w:rsidP="00357B2F">
      <w:r w:rsidRPr="00556A8B">
        <w:t>El primer movimiento mostró que conceptos como bienestar, normalidad o funcionalidad no son descriptores neutrales, sino construcciones históricas que delimitan lo pensable sobre el malestar. En la línea foucaultiana, el análisis no buscó descubrir una verdad oculta, sino comprender las reglas que permiten que ciertos enunciados circulen como verdaderos en un momento histórico determinado (Foucault, 1969). La salud mental emergió como régimen discursivo: un campo donde se instituyen fronteras entre lo adaptativo y lo disfuncional, lo legítimo y lo descartable.</w:t>
      </w:r>
    </w:p>
    <w:p w14:paraId="42A65156" w14:textId="77777777" w:rsidR="009C0D87" w:rsidRPr="00556A8B" w:rsidRDefault="009C0D87" w:rsidP="00357B2F">
      <w:r w:rsidRPr="00556A8B">
        <w:t>El segundo movimiento examinó las tensiones internas de ese régimen. La normalidad se fragmenta en criterios múltiples; la funcionalidad depende de contextos cambiantes; la adaptabilidad revela su dimensión política. Estas tensiones no constituyen fallas lógicas, sino condiciones de funcionamiento de un dispositivo que debe producir sujetos simultáneamente libres y regulados, autónomos y funcionales. Como advierte Rose (1999), los imperativos contemporáneos de elección y autonomía coexisten con exigencias de normalización que estructuran los márgenes de esa libertad.</w:t>
      </w:r>
    </w:p>
    <w:p w14:paraId="018B19FA" w14:textId="26B5F940" w:rsidR="009C0D87" w:rsidRPr="00556A8B" w:rsidRDefault="009C0D87" w:rsidP="00357B2F">
      <w:r w:rsidRPr="00556A8B">
        <w:t xml:space="preserve">El tercer movimiento analizó las </w:t>
      </w:r>
      <w:r w:rsidR="009A7B04">
        <w:t>Técnicas de sí</w:t>
      </w:r>
      <w:r w:rsidRPr="00556A8B">
        <w:t xml:space="preserve"> mediante las cuales el régimen se inscribe en la experiencia. Técnicas de autorregulación, programas de desarrollo personal y prácticas psicoterapéuticas enseñan al sujeto a gobernarse según criterios de eficiencia y rendimiento. Estas tecnologías no son neutras: articulan saber experto y aspiración personal, produciendo individuos que se trabajan a sí mismos conforme a racionalidades instaladas por el poder </w:t>
      </w:r>
      <w:r w:rsidR="00757531" w:rsidRPr="00556A8B">
        <w:t>(Rose, 2019)</w:t>
      </w:r>
      <w:r w:rsidRPr="00556A8B">
        <w:t>.</w:t>
      </w:r>
    </w:p>
    <w:p w14:paraId="5070351B" w14:textId="77777777" w:rsidR="009C0D87" w:rsidRPr="00556A8B" w:rsidRDefault="009C0D87" w:rsidP="00357B2F">
      <w:r w:rsidRPr="00556A8B">
        <w:t xml:space="preserve">El cuarto movimiento situó estas tecnologías en su horizonte estructural. El neoliberalismo no apareció como simple contexto externo, sino como racionalidad de gobierno </w:t>
      </w:r>
      <w:r w:rsidRPr="00556A8B">
        <w:lastRenderedPageBreak/>
        <w:t>que hace necesaria la producción de subjetividades autorreguladas. La precariedad no opera como anomalía, sino como modo de funcionamiento del orden contemporáneo. En este marco, la salud mental deviene tecnología de gestión que capacita para tolerar condiciones estructurales adversas, traduciendo tensiones colectivas en desafíos individuales (Bedoya, 2021).</w:t>
      </w:r>
    </w:p>
    <w:p w14:paraId="7BB229DE" w14:textId="0E50C859" w:rsidR="009C0D87" w:rsidRPr="00556A8B" w:rsidRDefault="009C0D87" w:rsidP="00357B2F">
      <w:r w:rsidRPr="00556A8B">
        <w:t xml:space="preserve">El quinto movimiento radicalizó esta lectura al mostrar que las paradojas del </w:t>
      </w:r>
      <w:r w:rsidR="00605F12" w:rsidRPr="00556A8B">
        <w:t>régimen, bienestar</w:t>
      </w:r>
      <w:r w:rsidRPr="00556A8B">
        <w:t xml:space="preserve"> que produce malestar, libertad que esclaviza</w:t>
      </w:r>
      <w:r w:rsidR="00605F12" w:rsidRPr="00556A8B">
        <w:t>,</w:t>
      </w:r>
      <w:r w:rsidRPr="00556A8B">
        <w:t xml:space="preserve"> no son contradicciones accidentales, sino el modo mismo de operación del psicopoder. El poder contemporáneo no se impone prioritariamente por represión, sino por seducción; no se visibiliza como coerción, sino que se naturaliza como cuidado.</w:t>
      </w:r>
    </w:p>
    <w:p w14:paraId="7CFD25E0" w14:textId="2E27DF46" w:rsidR="009C0D87" w:rsidRPr="00556A8B" w:rsidRDefault="009C0D87" w:rsidP="00357B2F">
      <w:r w:rsidRPr="00556A8B">
        <w:t xml:space="preserve">Estos movimientos no conforman una secuencia cerrada, sino un análisis rizomático donde cada entrada ilumina dimensiones distintas de un mismo dispositivo. Régimen discursivo, </w:t>
      </w:r>
      <w:r w:rsidR="009A7B04">
        <w:t>prácticas de sí</w:t>
      </w:r>
      <w:r w:rsidRPr="00556A8B">
        <w:t>, precariedad estructural y psicopolítica no constituyen niveles independientes, sino nodos interconectados en una red de determinaciones recíprocas. No hay centro organizador único, sino múltiples articulaciones que producen la salud mental como campo de gobernabilidad.</w:t>
      </w:r>
    </w:p>
    <w:p w14:paraId="16A308E0" w14:textId="77777777" w:rsidR="009C0D87" w:rsidRPr="00556A8B" w:rsidRDefault="009C0D87" w:rsidP="00357B2F">
      <w:r w:rsidRPr="00556A8B">
        <w:t>¿Qué revela esta estrategia? Que la salud mental contemporánea no puede comprenderse exclusivamente como ámbito técnico orientado al bienestar, sino como dispositivo político que articula discursos científicos, normatividades morales, prácticas institucionales y racionalidades económicas (Foucault, 1977). Su función estratégica no consiste en eliminar el sufrimiento, sino en administrarlo; no en transformar las condiciones que lo generan, sino en producir sujetos capaces de mantenerse funcionales a pesar de ellas.</w:t>
      </w:r>
    </w:p>
    <w:p w14:paraId="07982EA7" w14:textId="77777777" w:rsidR="009C0D87" w:rsidRPr="00556A8B" w:rsidRDefault="009C0D87" w:rsidP="00357B2F">
      <w:r w:rsidRPr="00556A8B">
        <w:t>Esta lectura no niega la realidad del sufrimiento ni desconoce que las intervenciones psicológicas puedan aliviar experiencias concretas de malestar. Lo que problematiza es la arquitectura política que define qué cuenta como problema, quién posee autoridad para nombrarlo, qué intervenciones se consideran legítimas y qué formas de malestar quedan excluidas o descalificadas.</w:t>
      </w:r>
    </w:p>
    <w:p w14:paraId="744275C3" w14:textId="77777777" w:rsidR="009C0D87" w:rsidRPr="00556A8B" w:rsidRDefault="009C0D87" w:rsidP="00357B2F">
      <w:r w:rsidRPr="00556A8B">
        <w:t>La genealogía crítica desplegada aquí no pretende revelar una verdad oculta ni proponer un modelo alternativo de salud mental. Su gesto es distinto: desnaturalizar el presente. Mostrar que aquello que hoy se presenta como necesario, universal y científicamente fundamentado es, en realidad, histórico y contingente. En palabras de Foucault (1984), la genealogía no juzga en términos de verdad o falsedad; indaga cómo algo que no era evidente llegó a parecer inevitable.</w:t>
      </w:r>
    </w:p>
    <w:p w14:paraId="34ACA36A" w14:textId="504787BB" w:rsidR="009C0D87" w:rsidRPr="00556A8B" w:rsidRDefault="009C0D87" w:rsidP="00357B2F">
      <w:r w:rsidRPr="00556A8B">
        <w:lastRenderedPageBreak/>
        <w:t xml:space="preserve">Desnaturalizar no implica relativizar el sufrimiento psíquico, sino reconocer que las formas actuales de nombrarlo, clasificarlo e intervenirlo son configuraciones históricas específicas. Hacer genealogía de la subjetividad constituye, por tanto, un gesto político: abre la posibilidad de pensar otros modos de cuidado que no estén estructurados exclusivamente por imperativos de funcionalidad, adaptabilidad y optimización </w:t>
      </w:r>
      <w:r w:rsidR="00757531" w:rsidRPr="00556A8B">
        <w:t>(Rose, 2019)</w:t>
      </w:r>
      <w:r w:rsidRPr="00556A8B">
        <w:t>.</w:t>
      </w:r>
    </w:p>
    <w:p w14:paraId="5E05F0CC" w14:textId="77777777" w:rsidR="009C0D87" w:rsidRPr="00556A8B" w:rsidRDefault="009C0D87" w:rsidP="00357B2F">
      <w:r w:rsidRPr="00556A8B">
        <w:t>Si la salud mental contemporánea responde a racionalidades neoliberales, entonces no es inmutable. Sus definiciones y prácticas no expresan verdades universales sobre la mente humana, sino arreglos contingentes producidos por relaciones de poder. Reconocer esta contingencia no ofrece recetas, pero desmonta la idea de que no hay alternativa.</w:t>
      </w:r>
    </w:p>
    <w:p w14:paraId="24F3B367" w14:textId="77777777" w:rsidR="009C0D87" w:rsidRPr="00556A8B" w:rsidRDefault="009C0D87" w:rsidP="00357B2F">
      <w:r w:rsidRPr="00556A8B">
        <w:t>Esta investigación cierra sin clausurar. No propone un nuevo modelo de salud mental porque reconoce que todo modelo se inscribe en relaciones de poder. Su contribución consiste en proporcionar herramientas conceptuales para problematizar el campo donde habitualmente se buscan soluciones técnicas.</w:t>
      </w:r>
    </w:p>
    <w:p w14:paraId="34364279" w14:textId="77777777" w:rsidR="009C0D87" w:rsidRPr="00556A8B" w:rsidRDefault="009C0D87" w:rsidP="00357B2F">
      <w:r w:rsidRPr="00556A8B">
        <w:t>¿Cómo pensar un cuidado del malestar que no opere primordialmente mediante responsabilización individual?</w:t>
      </w:r>
      <w:r w:rsidRPr="00556A8B">
        <w:br/>
        <w:t>¿Qué formas de atención podrían emerger si no estuvieran estructuradas por imperativos de rendimiento y normalidad?</w:t>
      </w:r>
      <w:r w:rsidRPr="00556A8B">
        <w:br/>
        <w:t>¿Qué prácticas de bienestar serían posibles fuera de la lógica de optimización del capital humano?</w:t>
      </w:r>
    </w:p>
    <w:p w14:paraId="20A0DD72" w14:textId="77777777" w:rsidR="009C0D87" w:rsidRPr="00556A8B" w:rsidRDefault="009C0D87" w:rsidP="00357B2F">
      <w:r w:rsidRPr="00556A8B">
        <w:t>Estas preguntas no pretenden ser respondidas aquí. Son el efecto mismo del análisis. Como sugiere Deleuze (1990), crear es resistir. Y la resistencia comienza cuando lo evidente se vuelve problemático.</w:t>
      </w:r>
    </w:p>
    <w:p w14:paraId="6EE6D2A0" w14:textId="5B289F39" w:rsidR="000E5B14" w:rsidRPr="00556A8B" w:rsidRDefault="009C0D87" w:rsidP="00357B2F">
      <w:r w:rsidRPr="00556A8B">
        <w:t xml:space="preserve">El caleidoscopio ha girado. El régimen contemporáneo de salud mental aparece ahora como una configuración histórica específica de gobierno de la subjetividad. Reconocer su contingencia es el primer gesto crítico. Imaginar que podría ser de otro modo es el segundo. Lo que excede </w:t>
      </w:r>
      <w:r w:rsidR="008F4F69" w:rsidRPr="00556A8B">
        <w:t xml:space="preserve">a </w:t>
      </w:r>
      <w:r w:rsidRPr="00556A8B">
        <w:t>esta investigación</w:t>
      </w:r>
      <w:r w:rsidR="00605F12" w:rsidRPr="00556A8B">
        <w:t xml:space="preserve">, </w:t>
      </w:r>
      <w:r w:rsidRPr="00556A8B">
        <w:t>la construcción colectiva de otras formas de cuidado</w:t>
      </w:r>
      <w:r w:rsidR="00605F12" w:rsidRPr="00556A8B">
        <w:t>,</w:t>
      </w:r>
      <w:r w:rsidRPr="00556A8B">
        <w:t xml:space="preserve"> permanece abierto como tarea política</w:t>
      </w:r>
      <w:r w:rsidR="000E5B14" w:rsidRPr="00556A8B">
        <w:rPr>
          <w:lang w:val="es-MX"/>
        </w:rPr>
        <w:t>.</w:t>
      </w:r>
    </w:p>
    <w:bookmarkEnd w:id="128"/>
    <w:p w14:paraId="253862EA" w14:textId="77777777" w:rsidR="004C0C82" w:rsidRPr="00556A8B" w:rsidRDefault="004C0C82" w:rsidP="00357B2F">
      <w:pPr>
        <w:rPr>
          <w:rFonts w:cs="Times New Roman"/>
          <w:b/>
        </w:rPr>
      </w:pPr>
      <w:r w:rsidRPr="00556A8B">
        <w:rPr>
          <w:rFonts w:cs="Times New Roman"/>
          <w:b/>
        </w:rPr>
        <w:br w:type="page"/>
      </w:r>
    </w:p>
    <w:p w14:paraId="282B333F" w14:textId="2133B41A" w:rsidR="000E5B14" w:rsidRPr="00556A8B" w:rsidRDefault="000E5B14" w:rsidP="000162FA">
      <w:pPr>
        <w:pStyle w:val="Ttulo1"/>
        <w:numPr>
          <w:ilvl w:val="0"/>
          <w:numId w:val="6"/>
        </w:numPr>
        <w:spacing w:line="360" w:lineRule="auto"/>
        <w:ind w:left="426"/>
      </w:pPr>
      <w:bookmarkStart w:id="178" w:name="_Toc232580670"/>
      <w:r w:rsidRPr="00556A8B">
        <w:lastRenderedPageBreak/>
        <w:t>Conclusiones</w:t>
      </w:r>
      <w:bookmarkEnd w:id="127"/>
      <w:bookmarkEnd w:id="178"/>
    </w:p>
    <w:p w14:paraId="4F4F29AF" w14:textId="77777777" w:rsidR="00605F12" w:rsidRPr="00556A8B" w:rsidRDefault="00605F12" w:rsidP="000162FA">
      <w:pPr>
        <w:spacing w:after="160"/>
        <w:ind w:firstLine="708"/>
      </w:pPr>
    </w:p>
    <w:p w14:paraId="6749D8B5" w14:textId="6CB08123" w:rsidR="009C0D87" w:rsidRPr="00556A8B" w:rsidRDefault="009C0D87" w:rsidP="00357B2F">
      <w:r w:rsidRPr="00556A8B">
        <w:t xml:space="preserve">La presente </w:t>
      </w:r>
      <w:r w:rsidR="008F4F69" w:rsidRPr="00556A8B">
        <w:t xml:space="preserve">tesis doctoral </w:t>
      </w:r>
      <w:r w:rsidRPr="00556A8B">
        <w:t>tuvo como propósito comprender la relación entre salud mental y prácticas discursivas de las psicociencias en la producción de formas de subjetividad saludable en el tiempo presente. El recorrido analítico realizado permite sostener, con fundamento empírico y teórico, que dicha relación no es representacional ni meramente técnica, sino constitutivamente productiva: la salud mental opera como un dispositivo histórico de saber–poder que articula discursos, prácticas, instituciones, tecnologías y racionalidades políticas para configurar modos específicos de subjetivación. En consecuencia, la salud mental contemporánea no puede comprenderse exclusivamente como un campo clínico orientado al alivio del sufrimiento, sino como una tecnología de gobierno que participa en la regulación de la vida psíquica y en la producción de sujetos funcionales al orden social vigente.</w:t>
      </w:r>
    </w:p>
    <w:p w14:paraId="170B8CB8" w14:textId="77777777" w:rsidR="009C0D87" w:rsidRPr="00556A8B" w:rsidRDefault="009C0D87" w:rsidP="00357B2F">
      <w:r w:rsidRPr="00556A8B">
        <w:t>El análisis evidenció que las prácticas discursivas de las psicociencias se estructuran alrededor de tres operadores fundamentales: el diagnóstico como bisagra entre saber y poder; los manuales diagnósticos como tecnologías de estandarización global; y el bienestar como imperativo moral que organiza la inteligibilidad del malestar. El diagnóstico no se limita a describir estados psicológicos, sino que instituye identidades, delimita horizontes de acción y estabiliza narrativas de sí; los manuales clasificatorios universalizan criterios normativos bajo la apariencia de objetividad científica; y el bienestar desplaza progresivamente la lectura del sufrimiento desde su dimensión estructural hacia la responsabilidad individual. Estos mecanismos configuran un régimen de verdad que delimita lo pensable y lo decible sobre la experiencia humana, estableciendo fronteras móviles entre normalidad y patología, adaptación y desviación, funcionalidad y disfunción.</w:t>
      </w:r>
    </w:p>
    <w:p w14:paraId="31223713" w14:textId="73160351" w:rsidR="009C0D87" w:rsidRPr="00556A8B" w:rsidRDefault="009C0D87" w:rsidP="00357B2F">
      <w:r w:rsidRPr="00556A8B">
        <w:t>Se identificó, asimismo, que este régimen opera mediante una gramática discursiva específica, centrada en conceptos como adaptabilidad, funcionalidad, equilibrio, resiliencia y autorregulación. Dicha gramática no se restringe al ámbito profesional, sino que atraviesa políticas públicas, estrategias de promoción, dispositivos de psicoeducación, narrativas mediáticas y mercados del autocuidado. En este entramado, el malestar tiende a traducirse en términos de déficit individual antes que como efecto de condiciones socioeconómicas, laborales o culturales. Las psicociencias</w:t>
      </w:r>
      <w:r w:rsidR="004F3849" w:rsidRPr="00556A8B">
        <w:t xml:space="preserve">, </w:t>
      </w:r>
      <w:r w:rsidRPr="00556A8B">
        <w:t>y de manera particular la psicología</w:t>
      </w:r>
      <w:r w:rsidR="004F3849" w:rsidRPr="00556A8B">
        <w:t>,</w:t>
      </w:r>
      <w:r w:rsidRPr="00556A8B">
        <w:t xml:space="preserve"> se constituyen así en mediadoras privilegiadas entre el saber experto y la experiencia vivida, proporcionando los </w:t>
      </w:r>
      <w:r w:rsidRPr="00556A8B">
        <w:lastRenderedPageBreak/>
        <w:t>marcos interpretativos a través de los cuales los sujetos aprenden a nombrarse, evaluarse y gobernarse.</w:t>
      </w:r>
    </w:p>
    <w:p w14:paraId="08A7B1A4" w14:textId="4AAD3DCC" w:rsidR="009C0D87" w:rsidRPr="00556A8B" w:rsidRDefault="009C0D87" w:rsidP="00357B2F">
      <w:r w:rsidRPr="00556A8B">
        <w:t xml:space="preserve">Las formas de subjetividad saludable que emergen de este dispositivo se caracterizan por la interiorización de la responsabilidad individual sobre el bienestar, la autogestión emocional permanente y la disposición constante a la adaptación funcional. El sujeto psicológico contemporáneo aparece configurado como empresario de sí mismo, convocado a invertir en su capital emocional, optimizar su rendimiento afectivo y sostener su funcionalidad aun en condiciones estructurales que generan precariedad y desgaste. Estas formas de subjetivación no se producen mediante coerción explícita, sino a través de </w:t>
      </w:r>
      <w:r w:rsidR="009A7B04">
        <w:t>prácticas de sí</w:t>
      </w:r>
      <w:r w:rsidR="004F3849" w:rsidRPr="00556A8B">
        <w:t xml:space="preserve">, </w:t>
      </w:r>
      <w:r w:rsidRPr="00556A8B">
        <w:t>psicoterapia, evaluación psicológica, programas de desarrollo personal, técnicas de regulación emocional, plataformas digitales de monitoreo</w:t>
      </w:r>
      <w:r w:rsidR="004F3849" w:rsidRPr="00556A8B">
        <w:t xml:space="preserve">, </w:t>
      </w:r>
      <w:r w:rsidRPr="00556A8B">
        <w:t>que invitan al sujeto a trabajarse a sí mismo bajo la promesa de autonomía, autenticidad y realización. La libertad que se promueve no es una libertad exterior al poder, sino una libertad administrada, estructurada por marcos normativos que delimitan de antemano qué formas de vida son reconocidas como saludables y cuáles deben ser corregidas.</w:t>
      </w:r>
    </w:p>
    <w:p w14:paraId="24569CF9" w14:textId="0D768E49" w:rsidR="009C0D87" w:rsidRPr="00556A8B" w:rsidRDefault="009C0D87" w:rsidP="00357B2F">
      <w:r w:rsidRPr="00556A8B">
        <w:t>El análisis permitió, además, situar estas prácticas en su horizonte estructural. El neoliberalismo emerge no como simple contexto económico, sino como racionalidad de gobierno que hace necesaria la producción de sujetos autorregulados, emocionalmente competentes y adaptables a escenarios de incertidumbre permanente. La precariedad se consolida como modo de vida administrado, y la salud mental se integra como tecnología de gestión que capacita a los individuos para tolerar, gestionar y resignificar condiciones que no controlan. En este marco, el bienestar se transforma en obligación moral; la libertad, en imperativo de autotransformación; y la autogestión emocional, en forma privilegiada de adaptación. Las paradojas identificadas</w:t>
      </w:r>
      <w:r w:rsidR="004F3849" w:rsidRPr="00556A8B">
        <w:t xml:space="preserve">, </w:t>
      </w:r>
      <w:r w:rsidRPr="00556A8B">
        <w:t>un bienestar que produce nuevas formas de malestar, una libertad que intensifica la autoexplotación</w:t>
      </w:r>
      <w:r w:rsidR="004F3849" w:rsidRPr="00556A8B">
        <w:t>,</w:t>
      </w:r>
      <w:r w:rsidRPr="00556A8B">
        <w:t xml:space="preserve"> no constituyen inconsistencias accidentales, sino la modalidad contemporánea de operación del psicopoder: un poder que gobierna a través de la incitación, la optimización y la internalización de normas.</w:t>
      </w:r>
    </w:p>
    <w:p w14:paraId="1B807533" w14:textId="77777777" w:rsidR="008850BB" w:rsidRPr="008850BB" w:rsidRDefault="008850BB" w:rsidP="008850BB">
      <w:r w:rsidRPr="008850BB">
        <w:t xml:space="preserve">La tesis mostró igualmente la progresiva mercantilización del campo de la salud mental. Aplicaciones digitales, programas corporativos, servicios terapéuticos y dispositivos de optimización personal configuran un mercado del bienestar que transforma el sufrimiento en oportunidad de inversión. Esta expansión mercantil no opera en el vacío; se articula con una racionalidad neoliberal que convierte el cuidado de sí en responsabilidad individual y en bien de </w:t>
      </w:r>
      <w:r w:rsidRPr="008850BB">
        <w:lastRenderedPageBreak/>
        <w:t>consumo. La industria del bienestar no solo vende técnicas de autorregulación, sino que instala la promesa de equilibrio psicológico como horizonte aspiracional al alcance de quienes puedan pagarlo.</w:t>
      </w:r>
    </w:p>
    <w:p w14:paraId="2A1CE90A" w14:textId="77777777" w:rsidR="008850BB" w:rsidRPr="008850BB" w:rsidRDefault="008850BB" w:rsidP="008850BB">
      <w:r w:rsidRPr="008850BB">
        <w:t>La salud mental se desplaza así desde su dimensión de derecho colectivo hacia su configuración como capital individual gestionable. Esta transformación tiene consecuencias concretas sobre la organización del campo: los criterios de eficiencia y rentabilidad penetran los sistemas de atención, reduciendo los tiempos terapéuticos, estandarizando los protocolos de intervención y priorizando técnicas de resultados medibles a corto plazo. El sufrimiento singular queda subordinado a indicadores de productividad clínica que responden más a las lógicas del aseguramiento en salud que a las necesidades reales de los sujetos. En este marco, el psicólogo ocupa una posición ambivalente: simultáneamente agente de cuidado y operador dentro de un dispositivo que mercantiliza aquello que busca proteger.</w:t>
      </w:r>
    </w:p>
    <w:p w14:paraId="3224F15C" w14:textId="77777777" w:rsidR="008850BB" w:rsidRPr="008850BB" w:rsidRDefault="008850BB" w:rsidP="008850BB">
      <w:r w:rsidRPr="008850BB">
        <w:t>Esta transformación profundiza desigualdades estructurales. El acceso a recursos de cuidado de calidad queda condicionado por la capacidad económica, mientras el discurso del bienestar universal proyecta una promesa de acceso igualitario que las condiciones materiales desmienten. Quienes no pueden costear procesos terapéuticos sostenidos quedan expuestos a intervenciones breves, estandarizadas o directamente ausentes, mientras el mercado digital ofrece como sustituto aplicaciones de mindfulness o plataformas de autoayuda que reproducen la lógica de la autorresponsabilización. La salud mental se convierte así en marcador de distinción social: un privilegio que se presenta como derecho.</w:t>
      </w:r>
    </w:p>
    <w:p w14:paraId="484A5ADB" w14:textId="41D5B83C" w:rsidR="009C0D87" w:rsidRPr="00556A8B" w:rsidRDefault="009C0D87" w:rsidP="00357B2F">
      <w:r w:rsidRPr="00556A8B">
        <w:t xml:space="preserve">El aporte central de esta </w:t>
      </w:r>
      <w:r w:rsidR="008F4F69" w:rsidRPr="00556A8B">
        <w:t xml:space="preserve">tesis doctoral </w:t>
      </w:r>
      <w:r w:rsidRPr="00556A8B">
        <w:t>reside en haber articulado, desde un enfoque genealógico y rizomático, el análisis de los discursos profesionales con los condicionantes estructurales y las tecnologías subjetivantes que los materializan. La metáfora del caleidoscopio discursivo permitió mostrar que no se trata de fenómenos aislados, sino de configuraciones interconectadas donde saber, poder, mercado, institucionalidad y subjetividad se co-constituyen. Este trabajo contribuye, por tanto, a desplazar la comprensión de la salud mental desde un paradigma clínico-descriptivo hacia una lectura crítica que la reconoce como dispositivo histórico de producción de subjetividad.</w:t>
      </w:r>
    </w:p>
    <w:p w14:paraId="678C5800" w14:textId="77777777" w:rsidR="009C0D87" w:rsidRPr="00556A8B" w:rsidRDefault="009C0D87" w:rsidP="00357B2F">
      <w:r w:rsidRPr="00556A8B">
        <w:t xml:space="preserve">Desnaturalizar la salud mental contemporánea no implica negar la realidad del sufrimiento ni deslegitimar la necesidad del cuidado psicológico. Implica, más bien, interrogar las condiciones que delimitan qué cuenta como sufrimiento legítimo, qué formas de intervención son </w:t>
      </w:r>
      <w:r w:rsidRPr="00556A8B">
        <w:lastRenderedPageBreak/>
        <w:t>autorizadas y qué modelos de subjetividad se promueven como deseables. La genealogía crítica desplegada aquí no ofrece soluciones técnicas porque no identifica problemas meramente técnicos, sino configuraciones políticas que estructuran el campo mismo de las soluciones posibles. Su potencia radica en abrir el espacio de problematización: mostrar que aquello que hoy se presenta como evidente, necesario y científicamente fundamentado es una construcción histórica específica y, por lo mismo, susceptible de transformación.</w:t>
      </w:r>
    </w:p>
    <w:p w14:paraId="64D747EB" w14:textId="77777777" w:rsidR="008850BB" w:rsidRPr="008850BB" w:rsidRDefault="008850BB" w:rsidP="008850BB">
      <w:r w:rsidRPr="008850BB">
        <w:t>En este sentido, la conclusión más significativa de esta investigación no es una fórmula alternativa de salud mental, sino la afirmación de su contingencia. Si las formas actuales de subjetividad saludable han sido producidas por determinadas racionalidades históricas, pueden también ser interrogadas, desplazadas y reconfiguradas. Esta contingencia no es un dato menor: es la condición de posibilidad de cualquier práctica crítica en el campo.</w:t>
      </w:r>
    </w:p>
    <w:p w14:paraId="31EEFDEE" w14:textId="4EE0211B" w:rsidR="008850BB" w:rsidRPr="008850BB" w:rsidRDefault="008850BB" w:rsidP="008850BB">
      <w:r w:rsidRPr="008850BB">
        <w:t>Los propios discursos analizados en esta investigación revelan que el dispositivo no opera sin fisuras. Emergen posicionamientos que cuestionan la hegemonía diagnóstica, que reivindican la singularidad del sujeto frente a la clasificación, que reconocen los determinantes estructurales del malestar y que interpelan la pretensión de neutralidad del saber psicológico. Estas fisuras no desmantelan el régimen, pero señalan sus límites y abren espacios donde la subjetividad no coincide plenamente con las posiciones que el dispositivo habilita. Es en esa distancia</w:t>
      </w:r>
      <w:r>
        <w:t xml:space="preserve">, </w:t>
      </w:r>
      <w:r w:rsidRPr="008850BB">
        <w:t>entre la norma y quien la habita</w:t>
      </w:r>
      <w:r>
        <w:t xml:space="preserve">, </w:t>
      </w:r>
      <w:r w:rsidRPr="008850BB">
        <w:t>donde se producen posibilidades de resignificación que el poder no logra anticipar ni absorber completamente.</w:t>
      </w:r>
    </w:p>
    <w:p w14:paraId="38905B18" w14:textId="62CDC107" w:rsidR="008850BB" w:rsidRDefault="008850BB" w:rsidP="008850BB">
      <w:r w:rsidRPr="008850BB">
        <w:t xml:space="preserve">El desafío que permanece abierto no es únicamente clínico, sino ético y político: construir prácticas de cuidado que no reduzcan el malestar a déficit individual, que reconozcan su dimensión estructural y que no subordinen la complejidad de la vida psíquica a imperativos de rendimiento, adaptación y normalidad permanente. Esto implica asumir que el cuidado no es una práctica neutral que toda intervención produce efectos de subjetivación y que la reflexividad crítica sobre esos efectos no es un añadido ético opcional sino una condición constitutiva de un ejercicio profesional responsable. </w:t>
      </w:r>
    </w:p>
    <w:p w14:paraId="3C6D7040" w14:textId="4D3FA2E1" w:rsidR="008850BB" w:rsidRPr="008850BB" w:rsidRDefault="008850BB" w:rsidP="008850BB">
      <w:r w:rsidRPr="008850BB">
        <w:t xml:space="preserve">La contribución de este trabajo consiste en haber trazado las coordenadas críticas desde las cuales esa tarea puede comenzar. Asumir una posición crítica en el campo de la salud mental no equivale a abandonar la práctica clínica ni a deslegitimar el cuidado equivale a ejercerlo con conciencia de sus efectos. Implica reconocer que el diagnóstico no es un acto neutral sino una operación que fija identidades y delimita horizontes de vida; que las técnicas de autorregulación </w:t>
      </w:r>
      <w:r w:rsidRPr="008850BB">
        <w:lastRenderedPageBreak/>
        <w:t>no son herramientas inocentes sino dispositivos que orientan al sujeto hacia formas específicas de comprenderse y gobernarse; que el lenguaje del bienestar no describe una realidad, sino que la produce. Reconocer esto no paraliza la intervención la complejiza y la hace más honesta.</w:t>
      </w:r>
    </w:p>
    <w:p w14:paraId="4D780D88" w14:textId="055D4C28" w:rsidR="008850BB" w:rsidRPr="008850BB" w:rsidRDefault="008850BB" w:rsidP="008850BB">
      <w:r w:rsidRPr="008850BB">
        <w:t>El psicólogo crítico no es aquel que renuncia a intervenir, sino aquel que interviene sabiendo que su práctica es también una práctica política. Que cuando acompaña el sufrimiento, también está participando</w:t>
      </w:r>
      <w:r>
        <w:t xml:space="preserve">, </w:t>
      </w:r>
      <w:r w:rsidRPr="008850BB">
        <w:t>aunque sea de manera parcial y contradictoria en la producción de formas de subjetividad. Que esa participación puede orientarse hacia la normalización o hacia la apertura de posibilidades. Que la diferencia entre una y otra no reside en la técnica que se usa sino en la pregunta que la orienta</w:t>
      </w:r>
      <w:r>
        <w:t xml:space="preserve">, </w:t>
      </w:r>
      <w:r w:rsidRPr="008850BB">
        <w:t>¿hacia qué formas de vida conduce esta intervención?, ¿qué se habilita y qué se cierra cuando se nombra el malestar de esta manera?, ¿a qué racionalidades sirve este modo de cuidar? Sostener esas preguntas en la práctica cotidiana en el consultorio, en la institución, en la formación</w:t>
      </w:r>
      <w:r>
        <w:t>, o en otros escenarios</w:t>
      </w:r>
      <w:r w:rsidRPr="008850BB">
        <w:t xml:space="preserve"> es la forma más concreta de ejercer la crítica que esta </w:t>
      </w:r>
      <w:r>
        <w:t>tesis doctoral</w:t>
      </w:r>
      <w:r w:rsidRPr="008850BB">
        <w:t xml:space="preserve"> ha intentado articular.</w:t>
      </w:r>
    </w:p>
    <w:p w14:paraId="3EB171FC" w14:textId="70BA4840" w:rsidR="000E5B14" w:rsidRPr="00556A8B" w:rsidRDefault="000E5B14" w:rsidP="00357B2F">
      <w:pPr>
        <w:rPr>
          <w:lang w:val="es-MX"/>
        </w:rPr>
      </w:pPr>
      <w:r w:rsidRPr="00556A8B">
        <w:rPr>
          <w:lang w:val="es-MX"/>
        </w:rPr>
        <w:t>.</w:t>
      </w:r>
    </w:p>
    <w:p w14:paraId="514C53E1" w14:textId="77777777" w:rsidR="009C0D87" w:rsidRPr="00556A8B" w:rsidRDefault="009C0D87" w:rsidP="00357B2F">
      <w:pPr>
        <w:ind w:firstLine="708"/>
        <w:rPr>
          <w:lang w:val="es-MX"/>
        </w:rPr>
      </w:pPr>
    </w:p>
    <w:p w14:paraId="78EFBFC2" w14:textId="77777777" w:rsidR="00D25743" w:rsidRPr="00556A8B" w:rsidRDefault="00D25743" w:rsidP="00357B2F">
      <w:pPr>
        <w:ind w:firstLine="708"/>
        <w:rPr>
          <w:lang w:val="es-MX"/>
        </w:rPr>
      </w:pPr>
    </w:p>
    <w:p w14:paraId="386EA045" w14:textId="713C5323" w:rsidR="000E5B14" w:rsidRPr="00556A8B" w:rsidRDefault="000E5B14" w:rsidP="000162FA">
      <w:pPr>
        <w:pStyle w:val="Ttulo1"/>
        <w:numPr>
          <w:ilvl w:val="0"/>
          <w:numId w:val="6"/>
        </w:numPr>
        <w:spacing w:line="360" w:lineRule="auto"/>
        <w:ind w:left="426"/>
      </w:pPr>
      <w:bookmarkStart w:id="179" w:name="_Toc232580671"/>
      <w:r w:rsidRPr="00556A8B">
        <w:t>Recomendaciones</w:t>
      </w:r>
      <w:bookmarkEnd w:id="179"/>
    </w:p>
    <w:p w14:paraId="07075B19" w14:textId="77777777" w:rsidR="000E5B14" w:rsidRPr="00556A8B" w:rsidRDefault="000E5B14" w:rsidP="000162FA">
      <w:pPr>
        <w:rPr>
          <w:rFonts w:cs="Times New Roman"/>
        </w:rPr>
      </w:pPr>
    </w:p>
    <w:p w14:paraId="358761EF" w14:textId="77777777" w:rsidR="00D3327C" w:rsidRPr="00556A8B" w:rsidRDefault="00D3327C" w:rsidP="000162FA">
      <w:r w:rsidRPr="00556A8B">
        <w:t>Los hallazgos de la presente tesis doctoral permiten formular recomendaciones orientadas a distintos niveles del campo de la salud mental —formación académica, ejercicio profesional, diseño institucional y producción de conocimiento— con el propósito de promover prácticas más reflexivas, éticamente responsables y políticamente conscientes del papel que desempeñan en la producción contemporánea de subjetividad. Estas recomendaciones se organizan siguiendo la lógica analítica del caleidoscopio discursivo, de modo que cada giro abre una dirección de implicación práctica derivada directamente de los hallazgos.</w:t>
      </w:r>
    </w:p>
    <w:p w14:paraId="34D277C3" w14:textId="77777777" w:rsidR="00D3327C" w:rsidRPr="00556A8B" w:rsidRDefault="00D3327C" w:rsidP="000162FA"/>
    <w:p w14:paraId="25C4E5B8" w14:textId="77777777" w:rsidR="00D3327C" w:rsidRPr="00556A8B" w:rsidRDefault="00D3327C" w:rsidP="000162FA">
      <w:r w:rsidRPr="00556A8B">
        <w:rPr>
          <w:b/>
          <w:bCs/>
        </w:rPr>
        <w:t>Desde el primer giro: identificación enunciativa — ¿qué se dice?</w:t>
      </w:r>
    </w:p>
    <w:p w14:paraId="0DAD79CC" w14:textId="77777777" w:rsidR="00D3327C" w:rsidRPr="00556A8B" w:rsidRDefault="00D3327C" w:rsidP="000162FA">
      <w:r w:rsidRPr="00556A8B">
        <w:t xml:space="preserve">El primer giro mostró que ciertos enunciados sobre la salud mental circulan con estatuto de evidencia en la práctica profesional —bienestar, funcionalidad, adaptación, autorregulación— sin que su carácter normativo sea frecuentemente interrogado. En consecuencia, se recomienda la incorporación sistemática de espacios curriculares en la formación académica en psicología y </w:t>
      </w:r>
      <w:r w:rsidRPr="00556A8B">
        <w:lastRenderedPageBreak/>
        <w:t>psicociencias dedicados al análisis crítico de los fundamentos epistemológicos, históricos y políticos de las prácticas disciplinares. No se trata únicamente de ampliar contenidos teóricos, sino de integrar dispositivos pedagógicos que permitan preguntar qué puede decirse sobre el malestar en los contextos institucionales actuales, qué formulaciones adquieren estatuto de verdad y cuáles permanecen en los márgenes de lo enunciable. Resulta particularmente relevante fortalecer la enseñanza de perspectivas genealógicas, críticas y posestructuralistas que habiliten a los futuros profesionales a comprender la psicología no solo como técnica clínica, sino como tecnología de poder implicada en procesos de gubernamentalidad. Asimismo, se sugiere incorporar debates sobre medicalización, psicologización de la vida cotidiana, mercantilización del bienestar y responsabilización individual del malestar, favoreciendo la formación de profesionales capaces de ejercer una reflexividad sostenida sobre su propio quehacer.</w:t>
      </w:r>
    </w:p>
    <w:p w14:paraId="097619A4" w14:textId="77777777" w:rsidR="00D3327C" w:rsidRPr="00556A8B" w:rsidRDefault="00D3327C" w:rsidP="000162FA"/>
    <w:p w14:paraId="53263231" w14:textId="77777777" w:rsidR="00D3327C" w:rsidRPr="00556A8B" w:rsidRDefault="00D3327C" w:rsidP="000162FA">
      <w:r w:rsidRPr="00556A8B">
        <w:rPr>
          <w:b/>
          <w:bCs/>
        </w:rPr>
        <w:t>Desde el segundo giro: análisis de disyunciones — ¿cómo se estructuran las oposiciones?</w:t>
      </w:r>
    </w:p>
    <w:p w14:paraId="7B606CA5" w14:textId="77777777" w:rsidR="00D3327C" w:rsidRPr="00556A8B" w:rsidRDefault="00D3327C" w:rsidP="000162FA">
      <w:r w:rsidRPr="00556A8B">
        <w:t>El segundo giro reveló que el campo de la salud mental se organiza en torno a oposiciones binarias —funcional/disfuncional, autónomo/dependiente, resiliente/vulnerable, sano/enfermo— que no son meras descripciones clínicas sino organizadores jerárquicos del sentido que producen inclusión y exclusión simbólica. Desde esta perspectiva, se recomienda promover prácticas de reflexividad crítica que permitan interrogar las implicaciones normativas de las intervenciones cotidianas. Esto supone examinar cómo el uso del diagnóstico, la aplicación de técnicas de autorregulación o la formulación de objetivos terapéuticos pueden reproducir, aun de manera involuntaria, las dicotomías que sostienen el régimen de verdad sobre la salud mental. Se sugiere fomentar espacios institucionalizados de supervisión y análisis ético-político del trabajo clínico, donde puedan discutirse las tensiones entre cuidado y control, autonomía y regulación, singularidad y estandarización. En el plano institucional, se recomienda revisar críticamente la hegemonía del modelo biomédico y la lógica eficientista que organiza gran parte de los sistemas de atención, avanzando hacia modelos que no reproduzcan la oposición entre gestión sintomática y complejidad subjetiva, sino que contemplen procesos de atención que reconozcan la singularidad de las trayectorias vitales.</w:t>
      </w:r>
    </w:p>
    <w:p w14:paraId="5263DB4E" w14:textId="77777777" w:rsidR="00D3327C" w:rsidRPr="00556A8B" w:rsidRDefault="00D3327C" w:rsidP="000162FA"/>
    <w:p w14:paraId="3D34F6E5" w14:textId="77777777" w:rsidR="00D3327C" w:rsidRPr="00556A8B" w:rsidRDefault="00D3327C" w:rsidP="000162FA">
      <w:r w:rsidRPr="00556A8B">
        <w:rPr>
          <w:b/>
          <w:bCs/>
        </w:rPr>
        <w:t>Desde el tercer giro: asociaciones e isotopías — ¿qué redes estabilizan el sentido?</w:t>
      </w:r>
    </w:p>
    <w:p w14:paraId="33F079E5" w14:textId="77777777" w:rsidR="00D3327C" w:rsidRPr="00556A8B" w:rsidRDefault="00D3327C" w:rsidP="000162FA">
      <w:r w:rsidRPr="00556A8B">
        <w:lastRenderedPageBreak/>
        <w:t>El tercer giro permitió identificar las redes semánticas que ensamblan conceptos aparentemente independientes —bienestar, autonomía, productividad, autorresponsabilidad— articulando la salud mental con racionalidades neoliberales específicas. Estas asociaciones no son casuales; consolidan núcleos de sentido que naturalizan el malestar como problema individual y el bienestar como imperativo de rendimiento. En consecuencia, se recomienda que las políticas públicas incorporen de manera transversal el análisis de precariedad laboral, desigualdad estructural, violencia y exclusión social como factores centrales en la producción del malestar, evitando su traducción exclusiva a categorías diagnósticas individuales. Del mismo modo, resulta fundamental garantizar el acceso equitativo a servicios de calidad, previniendo que la salud mental se consolide como un bien de mercado condicionado por la capacidad de pago y no como componente integral del derecho a la salud. Asimismo, se recomienda incentivar enfoques de intervención que integren de manera explícita la dimensión contextual del sufrimiento, evitando su reducción a variables intrapsíquicas y reconociendo los condicionantes sociales, económicos y culturales que atraviesan la experiencia subjetiva.</w:t>
      </w:r>
    </w:p>
    <w:p w14:paraId="4E6F2DD1" w14:textId="77777777" w:rsidR="00D3327C" w:rsidRPr="00556A8B" w:rsidRDefault="00D3327C" w:rsidP="000162FA"/>
    <w:p w14:paraId="5CFF2588" w14:textId="5FAE6378" w:rsidR="00D3327C" w:rsidRPr="00556A8B" w:rsidRDefault="00D3327C" w:rsidP="000C779F">
      <w:pPr>
        <w:rPr>
          <w:b/>
          <w:bCs/>
        </w:rPr>
      </w:pPr>
      <w:r w:rsidRPr="00556A8B">
        <w:rPr>
          <w:b/>
          <w:bCs/>
        </w:rPr>
        <w:t>Desde el cuarto giro: condensación y efectos de subjetivación — ¿qué formas de sujeto se producen?</w:t>
      </w:r>
    </w:p>
    <w:p w14:paraId="159E3A3A" w14:textId="5B4BB87D" w:rsidR="00D3327C" w:rsidRPr="00556A8B" w:rsidRDefault="00D3327C" w:rsidP="000C779F">
      <w:r w:rsidRPr="00556A8B">
        <w:t xml:space="preserve">El cuarto giro, el más denso analíticamente, mostró que las prácticas discursivas de la psicología producen un tipo específico de sujeto: autorregulado, resiliente, funcionalmente adaptado, empresario de sí mismo. Esta forma de subjetividad no es la única posible, sino el efecto de un régimen de verdad históricamente situado que silencia otras maneras de comprender y habitar el malestar. Desde esta perspectiva emergen las recomendaciones más urgentes. Para futuras investigaciones, se recomienda profundizar en el análisis de las experiencias de quienes habitan los dispositivos de salud mental, explorando cómo los sujetos incorporan, negocian o resisten las gramáticas normativas del bienestar y la normalidad. Resulta especialmente relevante estudiar prácticas alternativas y formas comunitarias de acompañamiento que operen en los márgenes del modelo hegemónico, así como los modos en que emergen líneas de fuga dentro del propio dispositivo, donde se producen formas de subjetividad que no se reducen al ideal del sujeto funcional y autorregulado. Desde el punto de vista metodológico, se sugiere continuar desarrollando herramientas de análisis discursivo que permitan identificar las reglas de formación, las condensaciones semánticas y los efectos de poder presentes en los discursos </w:t>
      </w:r>
      <w:r w:rsidRPr="00556A8B">
        <w:lastRenderedPageBreak/>
        <w:t>psicológicos. El dispositivo del caleidoscopio discursivo empleado en esta tesis doctoral mostró potencial heurístico para captar la complejidad, las tensiones y las reconfiguraciones del campo, por lo que se recomienda su refinamiento teórico-metodológico y su aplicación en otros contextos, poblaciones y escalas de análisis</w:t>
      </w:r>
      <w:r w:rsidR="000C779F" w:rsidRPr="00556A8B">
        <w:t>.</w:t>
      </w:r>
    </w:p>
    <w:p w14:paraId="7C4EDFCB" w14:textId="77777777" w:rsidR="00D3327C" w:rsidRPr="00556A8B" w:rsidRDefault="00D3327C" w:rsidP="000162FA">
      <w:r w:rsidRPr="00556A8B">
        <w:t>Finalmente, se propone que la comunidad académica y profesional asuma la crítica no como ejercicio accesorio, sino como práctica constitutiva del quehacer en salud mental. Desnaturalizar las formas contemporáneas de gobierno de la subjetividad no implica abandonar el cuidado ni deslegitimar la intervención clínica, sino ampliar su horizonte ético y político. Reconocer el carácter histórico y contingente de las categorías, técnicas y dispositivos actuales —tal como lo ha hecho esta tesis doctoral a través de sus cuatro giros analíticos— abre la posibilidad de reconfigurar prácticas que no reduzcan el sufrimiento a déficit individual ni el bienestar a imperativo de rendimiento. En este sentido, la crítica genealógica no ofrece un modelo sustitutivo cerrado, pero sí contribuye a ensanchar el campo de lo pensable y lo posible en la construcción de formas de cuidado más plurales, contextualizadas y socialmente responsables.</w:t>
      </w:r>
    </w:p>
    <w:p w14:paraId="377FCE27" w14:textId="77777777" w:rsidR="00E16CA7" w:rsidRDefault="00E16CA7" w:rsidP="00710FAD">
      <w:pPr>
        <w:spacing w:after="160"/>
        <w:ind w:firstLine="0"/>
        <w:contextualSpacing w:val="0"/>
        <w:jc w:val="center"/>
        <w:rPr>
          <w:rFonts w:cs="Times New Roman"/>
          <w:b/>
        </w:rPr>
      </w:pPr>
      <w:r>
        <w:rPr>
          <w:rFonts w:cs="Times New Roman"/>
          <w:b/>
        </w:rPr>
        <w:br/>
      </w:r>
    </w:p>
    <w:p w14:paraId="56B591C7" w14:textId="77777777" w:rsidR="00E16CA7" w:rsidRDefault="00E16CA7">
      <w:pPr>
        <w:spacing w:after="160" w:line="278" w:lineRule="auto"/>
        <w:ind w:firstLine="0"/>
        <w:contextualSpacing w:val="0"/>
        <w:rPr>
          <w:rFonts w:cs="Times New Roman"/>
          <w:b/>
        </w:rPr>
      </w:pPr>
      <w:r>
        <w:rPr>
          <w:rFonts w:cs="Times New Roman"/>
          <w:b/>
        </w:rPr>
        <w:br w:type="page"/>
      </w:r>
    </w:p>
    <w:p w14:paraId="7B49D379" w14:textId="0A6CEA53" w:rsidR="000E5B14" w:rsidRPr="00556A8B" w:rsidRDefault="00BB1F67" w:rsidP="00BB1F67">
      <w:pPr>
        <w:pStyle w:val="Ttulo1"/>
      </w:pPr>
      <w:bookmarkStart w:id="180" w:name="_Toc232580672"/>
      <w:r>
        <w:lastRenderedPageBreak/>
        <w:t>Referencias</w:t>
      </w:r>
      <w:bookmarkEnd w:id="180"/>
    </w:p>
    <w:p w14:paraId="373A6988" w14:textId="77777777" w:rsidR="006C48BA" w:rsidRPr="00556A8B" w:rsidRDefault="006C48BA" w:rsidP="006C48BA">
      <w:pPr>
        <w:spacing w:after="60"/>
      </w:pPr>
    </w:p>
    <w:p w14:paraId="448D332C" w14:textId="77777777" w:rsidR="0039341F" w:rsidRPr="00556A8B" w:rsidRDefault="0039341F" w:rsidP="006C48BA">
      <w:pPr>
        <w:ind w:left="720" w:hanging="720"/>
        <w:jc w:val="both"/>
      </w:pPr>
      <w:r w:rsidRPr="00556A8B">
        <w:rPr>
          <w:rFonts w:eastAsia="Times New Roman" w:cs="Times New Roman"/>
        </w:rPr>
        <w:t xml:space="preserve">Acosta Fernández, M., Parra-Osorio, L., Burbano-Molina, C., Aguilera-Velasco, M. de los Ángeles, &amp; Pozos-Radillo, B. E. (2020). Estrés laboral, burnout, salud mental y su relación con violencia psicológica en docentes universitarios. </w:t>
      </w:r>
      <w:r w:rsidRPr="00556A8B">
        <w:rPr>
          <w:rFonts w:eastAsia="Times New Roman" w:cs="Times New Roman"/>
          <w:i/>
          <w:iCs/>
        </w:rPr>
        <w:t>Revista Científica Salud Uninorte, 35</w:t>
      </w:r>
      <w:r w:rsidRPr="00556A8B">
        <w:rPr>
          <w:rFonts w:eastAsia="Times New Roman" w:cs="Times New Roman"/>
        </w:rPr>
        <w:t>(3). https://doi.org/10.14482/sun.35.3.613.62</w:t>
      </w:r>
    </w:p>
    <w:p w14:paraId="77F0F4D9" w14:textId="77777777" w:rsidR="0039341F" w:rsidRPr="00556A8B" w:rsidRDefault="0039341F" w:rsidP="006C48BA">
      <w:pPr>
        <w:ind w:left="720" w:hanging="720"/>
        <w:jc w:val="both"/>
      </w:pPr>
      <w:r w:rsidRPr="00556A8B">
        <w:rPr>
          <w:rFonts w:eastAsia="Times New Roman" w:cs="Times New Roman"/>
        </w:rPr>
        <w:t xml:space="preserve">Agamben, G. (2011). ¿Qué es un dispositivo? </w:t>
      </w:r>
      <w:r w:rsidRPr="00556A8B">
        <w:rPr>
          <w:rFonts w:eastAsia="Times New Roman" w:cs="Times New Roman"/>
          <w:i/>
          <w:iCs/>
        </w:rPr>
        <w:t>Sociológica (México), 26</w:t>
      </w:r>
      <w:r w:rsidRPr="00556A8B">
        <w:rPr>
          <w:rFonts w:eastAsia="Times New Roman" w:cs="Times New Roman"/>
        </w:rPr>
        <w:t>(73), 249–264.</w:t>
      </w:r>
    </w:p>
    <w:p w14:paraId="71EE2F2D" w14:textId="77777777" w:rsidR="0039341F" w:rsidRPr="00556A8B" w:rsidRDefault="0039341F" w:rsidP="006C48BA">
      <w:pPr>
        <w:ind w:left="720" w:hanging="720"/>
        <w:jc w:val="both"/>
      </w:pPr>
      <w:r w:rsidRPr="00556A8B">
        <w:rPr>
          <w:rFonts w:eastAsia="Times New Roman" w:cs="Times New Roman"/>
        </w:rPr>
        <w:t xml:space="preserve">Agüero de Trenqualye, M. J., y Correa Moreira, G. (2018). Salud mental y ciudadanía: Una aproximación genealógica. </w:t>
      </w:r>
      <w:r w:rsidRPr="00556A8B">
        <w:rPr>
          <w:rFonts w:eastAsia="Times New Roman" w:cs="Times New Roman"/>
          <w:i/>
          <w:iCs/>
        </w:rPr>
        <w:t>Revista de Historia de la Psicología, 39</w:t>
      </w:r>
      <w:r w:rsidRPr="00556A8B">
        <w:rPr>
          <w:rFonts w:eastAsia="Times New Roman" w:cs="Times New Roman"/>
        </w:rPr>
        <w:t>(1), 40–46. https://doi.org/10.5093/rhp2018a6</w:t>
      </w:r>
    </w:p>
    <w:p w14:paraId="5994C569" w14:textId="77777777" w:rsidR="0039341F" w:rsidRPr="00556A8B" w:rsidRDefault="0039341F" w:rsidP="006C48BA">
      <w:pPr>
        <w:ind w:left="720" w:hanging="720"/>
        <w:jc w:val="both"/>
      </w:pPr>
      <w:r w:rsidRPr="00556A8B">
        <w:rPr>
          <w:rFonts w:eastAsia="Times New Roman" w:cs="Times New Roman"/>
        </w:rPr>
        <w:t xml:space="preserve">Ahmed, S. (2010). </w:t>
      </w:r>
      <w:r w:rsidRPr="00556A8B">
        <w:rPr>
          <w:rFonts w:eastAsia="Times New Roman" w:cs="Times New Roman"/>
          <w:i/>
          <w:iCs/>
        </w:rPr>
        <w:t>The promise of happiness.</w:t>
      </w:r>
      <w:r w:rsidRPr="00556A8B">
        <w:rPr>
          <w:rFonts w:eastAsia="Times New Roman" w:cs="Times New Roman"/>
        </w:rPr>
        <w:t xml:space="preserve"> Duke University Press.</w:t>
      </w:r>
    </w:p>
    <w:p w14:paraId="3B6634EC" w14:textId="77777777" w:rsidR="0039341F" w:rsidRPr="00556A8B" w:rsidRDefault="0039341F" w:rsidP="00641FDA">
      <w:pPr>
        <w:ind w:left="709" w:hanging="709"/>
        <w:rPr>
          <w:rFonts w:cs="Times New Roman"/>
        </w:rPr>
      </w:pPr>
      <w:r w:rsidRPr="00556A8B">
        <w:rPr>
          <w:rFonts w:cs="Times New Roman"/>
        </w:rPr>
        <w:t xml:space="preserve">Alcívar Chávez, A. C. (2022). El diagnóstico psicopedagógico y el comportamiento infantil: Estudio de caso. </w:t>
      </w:r>
      <w:r w:rsidRPr="00556A8B">
        <w:rPr>
          <w:rFonts w:cs="Times New Roman"/>
          <w:i/>
          <w:iCs/>
        </w:rPr>
        <w:t>Horizontes Revista de Investigación en Ciencias de la Educación, 6</w:t>
      </w:r>
      <w:r w:rsidRPr="00556A8B">
        <w:rPr>
          <w:rFonts w:cs="Times New Roman"/>
        </w:rPr>
        <w:t xml:space="preserve">(22), 48–62. </w:t>
      </w:r>
      <w:hyperlink r:id="rId20" w:tgtFrame="_new" w:history="1">
        <w:r w:rsidRPr="00556A8B">
          <w:rPr>
            <w:rStyle w:val="Hipervnculo"/>
            <w:rFonts w:cs="Times New Roman"/>
            <w:color w:val="auto"/>
          </w:rPr>
          <w:t>https://doi.org/10.33996/revistahorizontes.v6i22.313</w:t>
        </w:r>
      </w:hyperlink>
    </w:p>
    <w:p w14:paraId="5B090B2A" w14:textId="77777777" w:rsidR="0039341F" w:rsidRPr="00556A8B" w:rsidRDefault="0039341F" w:rsidP="006C48BA">
      <w:pPr>
        <w:ind w:left="720" w:hanging="720"/>
        <w:jc w:val="both"/>
      </w:pPr>
      <w:r w:rsidRPr="00556A8B">
        <w:rPr>
          <w:rFonts w:eastAsia="Times New Roman" w:cs="Times New Roman"/>
        </w:rPr>
        <w:t xml:space="preserve">American Psychiatric Association. (2022). </w:t>
      </w:r>
      <w:r w:rsidRPr="00556A8B">
        <w:rPr>
          <w:rFonts w:eastAsia="Times New Roman" w:cs="Times New Roman"/>
          <w:i/>
          <w:iCs/>
        </w:rPr>
        <w:t>Diagnostic and statistical manual of mental disorders</w:t>
      </w:r>
      <w:r w:rsidRPr="00556A8B">
        <w:rPr>
          <w:rFonts w:eastAsia="Times New Roman" w:cs="Times New Roman"/>
        </w:rPr>
        <w:t xml:space="preserve"> (5th ed., text rev.; DSM-5-TR). American Psychiatric Publishing.</w:t>
      </w:r>
    </w:p>
    <w:p w14:paraId="04FE2467" w14:textId="77777777" w:rsidR="0039341F" w:rsidRPr="00556A8B" w:rsidRDefault="0039341F" w:rsidP="006C48BA">
      <w:pPr>
        <w:ind w:left="720" w:hanging="720"/>
        <w:jc w:val="both"/>
      </w:pPr>
      <w:r w:rsidRPr="00556A8B">
        <w:rPr>
          <w:rFonts w:eastAsia="Times New Roman" w:cs="Times New Roman"/>
        </w:rPr>
        <w:t xml:space="preserve">American Psychological Association. (2018). Mental health. En </w:t>
      </w:r>
      <w:r w:rsidRPr="00556A8B">
        <w:rPr>
          <w:rFonts w:eastAsia="Times New Roman" w:cs="Times New Roman"/>
          <w:i/>
          <w:iCs/>
        </w:rPr>
        <w:t>APA dictionary of psychology.</w:t>
      </w:r>
      <w:r w:rsidRPr="00556A8B">
        <w:rPr>
          <w:rFonts w:eastAsia="Times New Roman" w:cs="Times New Roman"/>
        </w:rPr>
        <w:t xml:space="preserve"> https://dictionary.apa.org/mental-health</w:t>
      </w:r>
    </w:p>
    <w:p w14:paraId="24C7243D" w14:textId="77777777" w:rsidR="0039341F" w:rsidRPr="00556A8B" w:rsidRDefault="0039341F" w:rsidP="006C48BA">
      <w:pPr>
        <w:ind w:left="720" w:hanging="720"/>
        <w:jc w:val="both"/>
      </w:pPr>
      <w:r w:rsidRPr="00556A8B">
        <w:rPr>
          <w:rFonts w:eastAsia="Times New Roman" w:cs="Times New Roman"/>
        </w:rPr>
        <w:t xml:space="preserve">Anastasi, A., &amp; Urbina, S. (1997). </w:t>
      </w:r>
      <w:r w:rsidRPr="00556A8B">
        <w:rPr>
          <w:rFonts w:eastAsia="Times New Roman" w:cs="Times New Roman"/>
          <w:i/>
          <w:iCs/>
        </w:rPr>
        <w:t>Psychological testing</w:t>
      </w:r>
      <w:r w:rsidRPr="00556A8B">
        <w:rPr>
          <w:rFonts w:eastAsia="Times New Roman" w:cs="Times New Roman"/>
        </w:rPr>
        <w:t xml:space="preserve"> (7th ed.). Prentice Hall.</w:t>
      </w:r>
    </w:p>
    <w:p w14:paraId="06C60112" w14:textId="77777777" w:rsidR="0039341F" w:rsidRPr="00556A8B" w:rsidRDefault="0039341F" w:rsidP="006C48BA">
      <w:pPr>
        <w:ind w:left="720" w:hanging="720"/>
        <w:jc w:val="both"/>
      </w:pPr>
      <w:r w:rsidRPr="00556A8B">
        <w:rPr>
          <w:rFonts w:eastAsia="Times New Roman" w:cs="Times New Roman"/>
        </w:rPr>
        <w:t xml:space="preserve">Andreasen, N. C. (2001). </w:t>
      </w:r>
      <w:r w:rsidRPr="00556A8B">
        <w:rPr>
          <w:rFonts w:eastAsia="Times New Roman" w:cs="Times New Roman"/>
          <w:i/>
          <w:iCs/>
        </w:rPr>
        <w:t>Brave new brain: Conquering mental illness in the era of the genome.</w:t>
      </w:r>
      <w:r w:rsidRPr="00556A8B">
        <w:rPr>
          <w:rFonts w:eastAsia="Times New Roman" w:cs="Times New Roman"/>
        </w:rPr>
        <w:t xml:space="preserve"> Oxford University Press.</w:t>
      </w:r>
    </w:p>
    <w:p w14:paraId="7523B8E6" w14:textId="77777777" w:rsidR="0039341F" w:rsidRPr="00556A8B" w:rsidRDefault="0039341F" w:rsidP="006C48BA">
      <w:pPr>
        <w:ind w:left="720" w:hanging="720"/>
        <w:jc w:val="both"/>
      </w:pPr>
      <w:r w:rsidRPr="00556A8B">
        <w:rPr>
          <w:rFonts w:eastAsia="Times New Roman" w:cs="Times New Roman"/>
        </w:rPr>
        <w:t xml:space="preserve">Andrews, F., &amp; Withey, S. (1976). </w:t>
      </w:r>
      <w:r w:rsidRPr="00556A8B">
        <w:rPr>
          <w:rFonts w:eastAsia="Times New Roman" w:cs="Times New Roman"/>
          <w:i/>
          <w:iCs/>
        </w:rPr>
        <w:t>Social indicators of well-being: America's perception of life quality</w:t>
      </w:r>
      <w:r w:rsidRPr="00556A8B">
        <w:rPr>
          <w:rFonts w:eastAsia="Times New Roman" w:cs="Times New Roman"/>
        </w:rPr>
        <w:t xml:space="preserve"> (1st ed.). Plenum. https://doi.org/10.1007/978-1-4684-2253-5</w:t>
      </w:r>
    </w:p>
    <w:p w14:paraId="76793395" w14:textId="77777777" w:rsidR="0039341F" w:rsidRPr="00556A8B" w:rsidRDefault="0039341F" w:rsidP="00641FDA">
      <w:pPr>
        <w:ind w:left="709" w:hanging="709"/>
        <w:rPr>
          <w:rFonts w:cs="Times New Roman"/>
        </w:rPr>
      </w:pPr>
      <w:r w:rsidRPr="00556A8B">
        <w:rPr>
          <w:rFonts w:cs="Times New Roman"/>
        </w:rPr>
        <w:t xml:space="preserve">Angel, C. D. O., y Amaral, A. J. D. (2023). O poder (neuro) psiquiátrico: A psicopatologização do cotidiano na era do cérebro. </w:t>
      </w:r>
      <w:r w:rsidRPr="00556A8B">
        <w:rPr>
          <w:rFonts w:cs="Times New Roman"/>
          <w:i/>
          <w:iCs/>
        </w:rPr>
        <w:t>Psicologia y Sociedade, 35</w:t>
      </w:r>
      <w:r w:rsidRPr="00556A8B">
        <w:rPr>
          <w:rFonts w:cs="Times New Roman"/>
        </w:rPr>
        <w:t xml:space="preserve">, e262853. </w:t>
      </w:r>
      <w:hyperlink r:id="rId21" w:tgtFrame="_new" w:history="1">
        <w:r w:rsidRPr="00556A8B">
          <w:rPr>
            <w:rStyle w:val="Hipervnculo"/>
            <w:rFonts w:cs="Times New Roman"/>
            <w:color w:val="auto"/>
          </w:rPr>
          <w:t>https://doi.org/10.1590/1807-0310/2023v35262853</w:t>
        </w:r>
      </w:hyperlink>
    </w:p>
    <w:p w14:paraId="22BCC7DA" w14:textId="77777777" w:rsidR="0039341F" w:rsidRPr="00556A8B" w:rsidRDefault="0039341F" w:rsidP="00641FDA">
      <w:pPr>
        <w:ind w:firstLine="0"/>
        <w:rPr>
          <w:rFonts w:cs="Times New Roman"/>
        </w:rPr>
      </w:pPr>
      <w:r w:rsidRPr="00556A8B">
        <w:rPr>
          <w:rFonts w:cs="Times New Roman"/>
        </w:rPr>
        <w:t xml:space="preserve">Apreda, G. A. (2010). </w:t>
      </w:r>
      <w:r w:rsidRPr="00556A8B">
        <w:rPr>
          <w:rFonts w:cs="Times New Roman"/>
          <w:i/>
          <w:iCs/>
        </w:rPr>
        <w:t>La psicopatología, la psiquiatría y la salud mental</w:t>
      </w:r>
      <w:r w:rsidRPr="00556A8B">
        <w:rPr>
          <w:rFonts w:cs="Times New Roman"/>
        </w:rPr>
        <w:t>. EDULP.</w:t>
      </w:r>
    </w:p>
    <w:p w14:paraId="3F4BBF40" w14:textId="77777777" w:rsidR="0039341F" w:rsidRPr="00556A8B" w:rsidRDefault="0039341F" w:rsidP="006C48BA">
      <w:pPr>
        <w:ind w:left="720" w:hanging="720"/>
        <w:jc w:val="both"/>
      </w:pPr>
      <w:r w:rsidRPr="00556A8B">
        <w:rPr>
          <w:rFonts w:eastAsia="Times New Roman" w:cs="Times New Roman"/>
        </w:rPr>
        <w:t xml:space="preserve">Arrieta, S. O. (2014). Normalidad y anormalidad psicológica y niveles de prevención. </w:t>
      </w:r>
      <w:r w:rsidRPr="00556A8B">
        <w:rPr>
          <w:rFonts w:eastAsia="Times New Roman" w:cs="Times New Roman"/>
          <w:i/>
          <w:iCs/>
        </w:rPr>
        <w:t>Revista Electrónica Psyconex, 6</w:t>
      </w:r>
      <w:r w:rsidRPr="00556A8B">
        <w:rPr>
          <w:rFonts w:eastAsia="Times New Roman" w:cs="Times New Roman"/>
        </w:rPr>
        <w:t>(9), 1–9.</w:t>
      </w:r>
    </w:p>
    <w:p w14:paraId="57F4D7E9" w14:textId="77777777" w:rsidR="0039341F" w:rsidRPr="00556A8B" w:rsidRDefault="0039341F" w:rsidP="00641FDA">
      <w:pPr>
        <w:ind w:left="709" w:hanging="709"/>
        <w:rPr>
          <w:rFonts w:cs="Times New Roman"/>
        </w:rPr>
      </w:pPr>
      <w:r w:rsidRPr="00556A8B">
        <w:rPr>
          <w:rFonts w:cs="Times New Roman"/>
        </w:rPr>
        <w:t xml:space="preserve">Arruda Leal Ferreira, A. (2011). ¿Con cuántos dispositivos se produce una subjetividad? </w:t>
      </w:r>
      <w:r w:rsidRPr="00556A8B">
        <w:rPr>
          <w:rFonts w:cs="Times New Roman"/>
          <w:i/>
          <w:iCs/>
        </w:rPr>
        <w:t>Athenea Digital, 11</w:t>
      </w:r>
      <w:r w:rsidRPr="00556A8B">
        <w:rPr>
          <w:rFonts w:cs="Times New Roman"/>
        </w:rPr>
        <w:t xml:space="preserve">(1), 195–201. </w:t>
      </w:r>
      <w:hyperlink r:id="rId22" w:tgtFrame="_new" w:history="1">
        <w:r w:rsidRPr="00556A8B">
          <w:rPr>
            <w:rStyle w:val="Hipervnculo"/>
            <w:rFonts w:cs="Times New Roman"/>
            <w:color w:val="auto"/>
          </w:rPr>
          <w:t>https://doi.org/10.5565/rev/athenead/v11n1.821</w:t>
        </w:r>
      </w:hyperlink>
    </w:p>
    <w:p w14:paraId="670BE16E" w14:textId="77777777" w:rsidR="0039341F" w:rsidRPr="00556A8B" w:rsidRDefault="0039341F" w:rsidP="006C48BA">
      <w:pPr>
        <w:rPr>
          <w:rFonts w:cs="Times New Roman"/>
        </w:rPr>
      </w:pPr>
      <w:r w:rsidRPr="00556A8B">
        <w:rPr>
          <w:rFonts w:cs="Times New Roman"/>
        </w:rPr>
        <w:t xml:space="preserve">Arruda Leal Ferreira, A. (2014). </w:t>
      </w:r>
      <w:r w:rsidRPr="00556A8B">
        <w:rPr>
          <w:rFonts w:cs="Times New Roman"/>
          <w:i/>
          <w:iCs/>
        </w:rPr>
        <w:t>Psicologia, subjetividade e poder</w:t>
      </w:r>
      <w:r w:rsidRPr="00556A8B">
        <w:rPr>
          <w:rFonts w:cs="Times New Roman"/>
        </w:rPr>
        <w:t>. Casa do Psicólogo.</w:t>
      </w:r>
    </w:p>
    <w:p w14:paraId="4DD4265B" w14:textId="77777777" w:rsidR="0039341F" w:rsidRPr="00556A8B" w:rsidRDefault="0039341F" w:rsidP="006C48BA">
      <w:pPr>
        <w:ind w:left="720" w:hanging="720"/>
        <w:jc w:val="both"/>
      </w:pPr>
      <w:r w:rsidRPr="00556A8B">
        <w:rPr>
          <w:rFonts w:eastAsia="Times New Roman" w:cs="Times New Roman"/>
        </w:rPr>
        <w:lastRenderedPageBreak/>
        <w:t xml:space="preserve">Baltes, P. B. (1987). Theoretical propositions of life-span developmental psychology: On the dynamics between growth and decline. </w:t>
      </w:r>
      <w:r w:rsidRPr="00556A8B">
        <w:rPr>
          <w:rFonts w:eastAsia="Times New Roman" w:cs="Times New Roman"/>
          <w:i/>
          <w:iCs/>
        </w:rPr>
        <w:t>Developmental Psychology, 23</w:t>
      </w:r>
      <w:r w:rsidRPr="00556A8B">
        <w:rPr>
          <w:rFonts w:eastAsia="Times New Roman" w:cs="Times New Roman"/>
        </w:rPr>
        <w:t>(5), 611–626. https://doi.org/10.1037/0012-1649.23.5.611</w:t>
      </w:r>
    </w:p>
    <w:p w14:paraId="5ED05264" w14:textId="77777777" w:rsidR="0039341F" w:rsidRPr="00556A8B" w:rsidRDefault="0039341F" w:rsidP="00641FDA">
      <w:pPr>
        <w:ind w:firstLine="0"/>
        <w:rPr>
          <w:rFonts w:cs="Times New Roman"/>
        </w:rPr>
      </w:pPr>
      <w:r w:rsidRPr="00556A8B">
        <w:rPr>
          <w:rFonts w:cs="Times New Roman"/>
        </w:rPr>
        <w:t xml:space="preserve">Bandura, A. (1987). </w:t>
      </w:r>
      <w:r w:rsidRPr="00556A8B">
        <w:rPr>
          <w:rFonts w:cs="Times New Roman"/>
          <w:i/>
          <w:iCs/>
        </w:rPr>
        <w:t>Pensamiento y acción: Fundamentos sociales</w:t>
      </w:r>
      <w:r w:rsidRPr="00556A8B">
        <w:rPr>
          <w:rFonts w:cs="Times New Roman"/>
        </w:rPr>
        <w:t>. Martínez Roca.</w:t>
      </w:r>
    </w:p>
    <w:p w14:paraId="78F59E4A" w14:textId="77777777" w:rsidR="0039341F" w:rsidRPr="00556A8B" w:rsidRDefault="0039341F" w:rsidP="00641FDA">
      <w:pPr>
        <w:ind w:left="709" w:hanging="709"/>
        <w:rPr>
          <w:rFonts w:cs="Times New Roman"/>
        </w:rPr>
      </w:pPr>
      <w:r w:rsidRPr="00556A8B">
        <w:rPr>
          <w:rFonts w:cs="Times New Roman"/>
        </w:rPr>
        <w:t xml:space="preserve">Barbosa, T. (2022). Regímenes de saber y prácticas en la historia de la locura. </w:t>
      </w:r>
      <w:r w:rsidRPr="00556A8B">
        <w:rPr>
          <w:rFonts w:cs="Times New Roman"/>
          <w:i/>
          <w:iCs/>
        </w:rPr>
        <w:t>Humanidades y Inovação, 9</w:t>
      </w:r>
      <w:r w:rsidRPr="00556A8B">
        <w:rPr>
          <w:rFonts w:cs="Times New Roman"/>
        </w:rPr>
        <w:t>(12), 377–390.</w:t>
      </w:r>
    </w:p>
    <w:p w14:paraId="01C68688" w14:textId="77777777" w:rsidR="0039341F" w:rsidRPr="00556A8B" w:rsidRDefault="0039341F" w:rsidP="00641FDA">
      <w:pPr>
        <w:ind w:firstLine="0"/>
        <w:rPr>
          <w:rFonts w:cs="Times New Roman"/>
        </w:rPr>
      </w:pPr>
      <w:r w:rsidRPr="00556A8B">
        <w:rPr>
          <w:rFonts w:cs="Times New Roman"/>
        </w:rPr>
        <w:t xml:space="preserve">Bardin, L. (1996). </w:t>
      </w:r>
      <w:r w:rsidRPr="00556A8B">
        <w:rPr>
          <w:rFonts w:cs="Times New Roman"/>
          <w:i/>
          <w:iCs/>
        </w:rPr>
        <w:t>Análisis de contenido</w:t>
      </w:r>
      <w:r w:rsidRPr="00556A8B">
        <w:rPr>
          <w:rFonts w:cs="Times New Roman"/>
        </w:rPr>
        <w:t xml:space="preserve"> (2ª ed.). Akal.</w:t>
      </w:r>
    </w:p>
    <w:p w14:paraId="3823B672" w14:textId="77777777" w:rsidR="0039341F" w:rsidRPr="00556A8B" w:rsidRDefault="0039341F" w:rsidP="00641FDA">
      <w:pPr>
        <w:ind w:left="720" w:hanging="709"/>
        <w:jc w:val="both"/>
      </w:pPr>
      <w:r w:rsidRPr="00556A8B">
        <w:rPr>
          <w:rFonts w:eastAsia="Times New Roman" w:cs="Times New Roman"/>
        </w:rPr>
        <w:t xml:space="preserve">Barker, P. (2001). The Tidal Model: Developing an empowering, person-centred approach to recovery within psychiatric and mental health nursing. </w:t>
      </w:r>
      <w:r w:rsidRPr="00556A8B">
        <w:rPr>
          <w:rFonts w:eastAsia="Times New Roman" w:cs="Times New Roman"/>
          <w:i/>
          <w:iCs/>
        </w:rPr>
        <w:t>Journal of Psychiatric and Mental Health Nursing, 8</w:t>
      </w:r>
      <w:r w:rsidRPr="00556A8B">
        <w:rPr>
          <w:rFonts w:eastAsia="Times New Roman" w:cs="Times New Roman"/>
        </w:rPr>
        <w:t>(3), 233–240. https://doi.org/10.1046/j.1365-2850.2001.00391.x</w:t>
      </w:r>
    </w:p>
    <w:p w14:paraId="4D1AFF3E" w14:textId="77777777" w:rsidR="0039341F" w:rsidRPr="00556A8B" w:rsidRDefault="0039341F" w:rsidP="00641FDA">
      <w:pPr>
        <w:ind w:left="709" w:hanging="709"/>
        <w:rPr>
          <w:rFonts w:cs="Times New Roman"/>
          <w:lang w:val="en-US"/>
        </w:rPr>
      </w:pPr>
      <w:r w:rsidRPr="00556A8B">
        <w:rPr>
          <w:rFonts w:cs="Times New Roman"/>
        </w:rPr>
        <w:t xml:space="preserve">Barukel, A., y Stolkiner, A. (2018). El problema del diagnóstico en salud mental: Clasificaciones y noción de enfermedad. </w:t>
      </w:r>
      <w:r w:rsidRPr="00556A8B">
        <w:rPr>
          <w:rFonts w:cs="Times New Roman"/>
          <w:i/>
          <w:iCs/>
          <w:lang w:val="en-US"/>
        </w:rPr>
        <w:t>Saúde em Debate, 42</w:t>
      </w:r>
      <w:r w:rsidRPr="00556A8B">
        <w:rPr>
          <w:rFonts w:cs="Times New Roman"/>
          <w:lang w:val="en-US"/>
        </w:rPr>
        <w:t>, 646–655.</w:t>
      </w:r>
    </w:p>
    <w:p w14:paraId="1FBED779" w14:textId="77777777" w:rsidR="0039341F" w:rsidRPr="00556A8B" w:rsidRDefault="0039341F" w:rsidP="006C48BA">
      <w:pPr>
        <w:ind w:left="720" w:hanging="720"/>
        <w:jc w:val="both"/>
      </w:pPr>
      <w:r w:rsidRPr="00556A8B">
        <w:rPr>
          <w:rFonts w:eastAsia="Times New Roman" w:cs="Times New Roman"/>
        </w:rPr>
        <w:t xml:space="preserve">Bear, M. F., Connors, B. W., &amp; Paradiso, M. A. (2016). </w:t>
      </w:r>
      <w:r w:rsidRPr="00556A8B">
        <w:rPr>
          <w:rFonts w:eastAsia="Times New Roman" w:cs="Times New Roman"/>
          <w:i/>
          <w:iCs/>
        </w:rPr>
        <w:t>Neuroscience: Exploring the brain</w:t>
      </w:r>
      <w:r w:rsidRPr="00556A8B">
        <w:rPr>
          <w:rFonts w:eastAsia="Times New Roman" w:cs="Times New Roman"/>
        </w:rPr>
        <w:t xml:space="preserve"> (4th ed.). Wolters Kluwer.</w:t>
      </w:r>
    </w:p>
    <w:p w14:paraId="775D10A6" w14:textId="77777777" w:rsidR="0039341F" w:rsidRPr="00556A8B" w:rsidRDefault="0039341F" w:rsidP="00641FDA">
      <w:pPr>
        <w:ind w:left="709" w:hanging="709"/>
        <w:rPr>
          <w:rFonts w:cs="Times New Roman"/>
        </w:rPr>
      </w:pPr>
      <w:r w:rsidRPr="00556A8B">
        <w:rPr>
          <w:rFonts w:cs="Times New Roman"/>
          <w:lang w:val="en-US"/>
        </w:rPr>
        <w:t xml:space="preserve">Beavis, J. (2025). </w:t>
      </w:r>
      <w:r w:rsidRPr="00556A8B">
        <w:rPr>
          <w:rFonts w:cs="Times New Roman"/>
          <w:i/>
          <w:iCs/>
          <w:lang w:val="en-US"/>
        </w:rPr>
        <w:t>The influence of discourses and power relations on mental health constructs</w:t>
      </w:r>
      <w:r w:rsidRPr="00556A8B">
        <w:rPr>
          <w:rFonts w:cs="Times New Roman"/>
          <w:lang w:val="en-US"/>
        </w:rPr>
        <w:t xml:space="preserve"> (Tesis doctoral). </w:t>
      </w:r>
      <w:r w:rsidRPr="00556A8B">
        <w:rPr>
          <w:rFonts w:cs="Times New Roman"/>
        </w:rPr>
        <w:t>University of Hertfordshire.</w:t>
      </w:r>
    </w:p>
    <w:p w14:paraId="4854AC63" w14:textId="77777777" w:rsidR="0039341F" w:rsidRPr="00556A8B" w:rsidRDefault="0039341F" w:rsidP="00641FDA">
      <w:pPr>
        <w:ind w:left="709" w:hanging="709"/>
        <w:rPr>
          <w:rFonts w:cs="Times New Roman"/>
        </w:rPr>
      </w:pPr>
      <w:r w:rsidRPr="00556A8B">
        <w:rPr>
          <w:rFonts w:cs="Times New Roman"/>
        </w:rPr>
        <w:t xml:space="preserve">Beck, A. T. (1976). </w:t>
      </w:r>
      <w:r w:rsidRPr="00556A8B">
        <w:rPr>
          <w:rFonts w:cs="Times New Roman"/>
          <w:i/>
          <w:iCs/>
        </w:rPr>
        <w:t>Terapia cognitiva y los trastornos emocionales</w:t>
      </w:r>
      <w:r w:rsidRPr="00556A8B">
        <w:rPr>
          <w:rFonts w:cs="Times New Roman"/>
        </w:rPr>
        <w:t>. International Universities Press.</w:t>
      </w:r>
    </w:p>
    <w:p w14:paraId="73662402" w14:textId="77777777" w:rsidR="0039341F" w:rsidRPr="00556A8B" w:rsidRDefault="0039341F" w:rsidP="00641FDA">
      <w:pPr>
        <w:ind w:left="709" w:hanging="709"/>
        <w:rPr>
          <w:rFonts w:cs="Times New Roman"/>
        </w:rPr>
      </w:pPr>
      <w:r w:rsidRPr="00556A8B">
        <w:rPr>
          <w:rFonts w:cs="Times New Roman"/>
        </w:rPr>
        <w:t xml:space="preserve">Bedoya Hernández, M. H. (2016). </w:t>
      </w:r>
      <w:r w:rsidRPr="00556A8B">
        <w:rPr>
          <w:rFonts w:cs="Times New Roman"/>
          <w:i/>
          <w:iCs/>
        </w:rPr>
        <w:t>Ética heteronómica y ética creativa</w:t>
      </w:r>
      <w:r w:rsidRPr="00556A8B">
        <w:rPr>
          <w:rFonts w:cs="Times New Roman"/>
        </w:rPr>
        <w:t xml:space="preserve"> (Tesis doctoral). Universidad de Antioquia.</w:t>
      </w:r>
    </w:p>
    <w:p w14:paraId="30805CF5" w14:textId="77777777" w:rsidR="0039341F" w:rsidRPr="00556A8B" w:rsidRDefault="0039341F" w:rsidP="00641FDA">
      <w:pPr>
        <w:ind w:left="709" w:hanging="709"/>
        <w:rPr>
          <w:rFonts w:cs="Times New Roman"/>
        </w:rPr>
      </w:pPr>
      <w:r w:rsidRPr="00556A8B">
        <w:rPr>
          <w:rFonts w:cs="Times New Roman"/>
        </w:rPr>
        <w:t xml:space="preserve">Bedoya Hernández, M. H. (2018). </w:t>
      </w:r>
      <w:r w:rsidRPr="00556A8B">
        <w:rPr>
          <w:rFonts w:cs="Times New Roman"/>
          <w:i/>
          <w:iCs/>
        </w:rPr>
        <w:t>La gestión de sí mismo</w:t>
      </w:r>
      <w:r w:rsidRPr="00556A8B">
        <w:rPr>
          <w:rFonts w:cs="Times New Roman"/>
        </w:rPr>
        <w:t>. Universidad de Antioquia.</w:t>
      </w:r>
    </w:p>
    <w:p w14:paraId="477B0323" w14:textId="77777777" w:rsidR="0039341F" w:rsidRPr="00556A8B" w:rsidRDefault="0039341F" w:rsidP="00641FDA">
      <w:pPr>
        <w:ind w:left="709" w:hanging="709"/>
        <w:rPr>
          <w:rFonts w:cs="Times New Roman"/>
        </w:rPr>
      </w:pPr>
      <w:r w:rsidRPr="00556A8B">
        <w:rPr>
          <w:rFonts w:cs="Times New Roman"/>
        </w:rPr>
        <w:t xml:space="preserve">Bedoya Hernández, M. H. (2021). </w:t>
      </w:r>
      <w:r w:rsidRPr="00556A8B">
        <w:rPr>
          <w:rFonts w:cs="Times New Roman"/>
          <w:i/>
          <w:iCs/>
        </w:rPr>
        <w:t>Repolitizar la vida en el neoliberalismo</w:t>
      </w:r>
      <w:r w:rsidRPr="00556A8B">
        <w:rPr>
          <w:rFonts w:cs="Times New Roman"/>
        </w:rPr>
        <w:t>. Universidad de Antioquia.</w:t>
      </w:r>
    </w:p>
    <w:p w14:paraId="55343147" w14:textId="77777777" w:rsidR="0039341F" w:rsidRPr="00556A8B" w:rsidRDefault="0039341F" w:rsidP="00641FDA">
      <w:pPr>
        <w:ind w:left="709" w:hanging="709"/>
        <w:rPr>
          <w:rFonts w:cs="Times New Roman"/>
        </w:rPr>
      </w:pPr>
      <w:r w:rsidRPr="00556A8B">
        <w:rPr>
          <w:rFonts w:cs="Times New Roman"/>
        </w:rPr>
        <w:t xml:space="preserve">Bedoya Hernández, M. H. (2022). Psicociencias, autoayuda y ethos neoliberal. </w:t>
      </w:r>
      <w:r w:rsidRPr="00556A8B">
        <w:rPr>
          <w:rFonts w:cs="Times New Roman"/>
          <w:i/>
          <w:iCs/>
        </w:rPr>
        <w:t>Revista de Psicología Universidad de Antioquia, 13</w:t>
      </w:r>
      <w:r w:rsidRPr="00556A8B">
        <w:rPr>
          <w:rFonts w:cs="Times New Roman"/>
        </w:rPr>
        <w:t xml:space="preserve">(2), 1–22. </w:t>
      </w:r>
      <w:hyperlink r:id="rId23" w:tgtFrame="_new" w:history="1">
        <w:r w:rsidRPr="00556A8B">
          <w:rPr>
            <w:rStyle w:val="Hipervnculo"/>
            <w:rFonts w:cs="Times New Roman"/>
            <w:color w:val="auto"/>
          </w:rPr>
          <w:t>https://doi.org/10.17533/udea.rp.e345910</w:t>
        </w:r>
      </w:hyperlink>
    </w:p>
    <w:p w14:paraId="4E534948" w14:textId="77777777" w:rsidR="0039341F" w:rsidRPr="00556A8B" w:rsidRDefault="0039341F" w:rsidP="00641FDA">
      <w:pPr>
        <w:ind w:left="709" w:hanging="709"/>
        <w:rPr>
          <w:rFonts w:cs="Times New Roman"/>
        </w:rPr>
      </w:pPr>
      <w:r w:rsidRPr="00556A8B">
        <w:rPr>
          <w:rFonts w:cs="Times New Roman"/>
        </w:rPr>
        <w:t xml:space="preserve">Bedoya Hernández, M. H., y Caponi, S. (2021). Monográfico psicociencias y procesos de subjetivación. </w:t>
      </w:r>
      <w:r w:rsidRPr="00556A8B">
        <w:rPr>
          <w:rFonts w:cs="Times New Roman"/>
          <w:i/>
          <w:iCs/>
        </w:rPr>
        <w:t>Revista de Psicología Universidad de Antioquia, 13</w:t>
      </w:r>
      <w:r w:rsidRPr="00556A8B">
        <w:rPr>
          <w:rFonts w:cs="Times New Roman"/>
        </w:rPr>
        <w:t xml:space="preserve">(2), 1–8. </w:t>
      </w:r>
      <w:hyperlink r:id="rId24" w:tgtFrame="_new" w:history="1">
        <w:r w:rsidRPr="00556A8B">
          <w:rPr>
            <w:rStyle w:val="Hipervnculo"/>
            <w:rFonts w:cs="Times New Roman"/>
            <w:color w:val="auto"/>
          </w:rPr>
          <w:t>https://doi.org/10.17533/udea.rp.e349471</w:t>
        </w:r>
      </w:hyperlink>
    </w:p>
    <w:p w14:paraId="6C2F3CD9" w14:textId="77777777" w:rsidR="0039341F" w:rsidRPr="0039341F" w:rsidRDefault="0039341F" w:rsidP="0039341F">
      <w:pPr>
        <w:ind w:left="709" w:hanging="709"/>
        <w:rPr>
          <w:rFonts w:cs="Times New Roman"/>
        </w:rPr>
      </w:pPr>
      <w:r w:rsidRPr="0039341F">
        <w:rPr>
          <w:rFonts w:cs="Times New Roman"/>
        </w:rPr>
        <w:lastRenderedPageBreak/>
        <w:t xml:space="preserve">Bedoya-Hernández, M., De Francisco-León, P., &amp; Mesa-Osorio, L. (2020). A medicalização da infância como estratégia de governo: uma análise das políticas públicas de saúde mental. </w:t>
      </w:r>
      <w:r w:rsidRPr="0039341F">
        <w:rPr>
          <w:rFonts w:cs="Times New Roman"/>
          <w:i/>
          <w:iCs/>
        </w:rPr>
        <w:t>Revista de Estudos Universitários</w:t>
      </w:r>
      <w:r w:rsidRPr="0039341F">
        <w:rPr>
          <w:rFonts w:cs="Times New Roman"/>
        </w:rPr>
        <w:t xml:space="preserve">, </w:t>
      </w:r>
      <w:r w:rsidRPr="0039341F">
        <w:rPr>
          <w:rFonts w:cs="Times New Roman"/>
          <w:i/>
          <w:iCs/>
        </w:rPr>
        <w:t>46</w:t>
      </w:r>
      <w:r w:rsidRPr="0039341F">
        <w:rPr>
          <w:rFonts w:cs="Times New Roman"/>
        </w:rPr>
        <w:t>(1), 105–123.</w:t>
      </w:r>
    </w:p>
    <w:p w14:paraId="6B3E4E09" w14:textId="77777777" w:rsidR="0039341F" w:rsidRPr="00556A8B" w:rsidRDefault="0039341F" w:rsidP="006C48BA">
      <w:pPr>
        <w:ind w:left="720" w:hanging="720"/>
        <w:jc w:val="both"/>
      </w:pPr>
      <w:r w:rsidRPr="00556A8B">
        <w:rPr>
          <w:rFonts w:eastAsia="Times New Roman" w:cs="Times New Roman"/>
        </w:rPr>
        <w:t xml:space="preserve">Bedoya-Hernández, M., y Castrillón-Aldana, A. (2018). Psicociencias y gobierno de la subjetividad. </w:t>
      </w:r>
      <w:r w:rsidRPr="00556A8B">
        <w:rPr>
          <w:rFonts w:eastAsia="Times New Roman" w:cs="Times New Roman"/>
          <w:i/>
          <w:iCs/>
        </w:rPr>
        <w:t>Iatreia, 31</w:t>
      </w:r>
      <w:r w:rsidRPr="00556A8B">
        <w:rPr>
          <w:rFonts w:eastAsia="Times New Roman" w:cs="Times New Roman"/>
        </w:rPr>
        <w:t>(1), 18–28.</w:t>
      </w:r>
    </w:p>
    <w:p w14:paraId="50449D30" w14:textId="77777777" w:rsidR="0039341F" w:rsidRPr="0039341F" w:rsidRDefault="0039341F" w:rsidP="0039341F">
      <w:pPr>
        <w:ind w:left="709" w:hanging="709"/>
        <w:rPr>
          <w:rFonts w:cs="Times New Roman"/>
        </w:rPr>
      </w:pPr>
      <w:r w:rsidRPr="0039341F">
        <w:rPr>
          <w:rFonts w:cs="Times New Roman"/>
        </w:rPr>
        <w:t xml:space="preserve">Benasayag, L., &amp; Dueñas, G. (Comps.). (2011). </w:t>
      </w:r>
      <w:r w:rsidRPr="0039341F">
        <w:rPr>
          <w:rFonts w:cs="Times New Roman"/>
          <w:i/>
          <w:iCs/>
        </w:rPr>
        <w:t>Invención de enfermedades. Traiciones a la salud y a la educación: La medicalización de la vida contemporánea</w:t>
      </w:r>
      <w:r w:rsidRPr="0039341F">
        <w:rPr>
          <w:rFonts w:cs="Times New Roman"/>
        </w:rPr>
        <w:t>. Noveduc.</w:t>
      </w:r>
    </w:p>
    <w:p w14:paraId="734F2642" w14:textId="77777777" w:rsidR="0039341F" w:rsidRPr="00556A8B" w:rsidRDefault="0039341F" w:rsidP="006C48BA">
      <w:pPr>
        <w:ind w:left="720" w:hanging="720"/>
        <w:jc w:val="both"/>
      </w:pPr>
      <w:r w:rsidRPr="00556A8B">
        <w:rPr>
          <w:rFonts w:eastAsia="Times New Roman" w:cs="Times New Roman"/>
        </w:rPr>
        <w:t xml:space="preserve">Bernard, C. (1865). </w:t>
      </w:r>
      <w:r w:rsidRPr="00556A8B">
        <w:rPr>
          <w:rFonts w:eastAsia="Times New Roman" w:cs="Times New Roman"/>
          <w:i/>
          <w:iCs/>
        </w:rPr>
        <w:t>Introduction à l'étude de la médecine expérimentale.</w:t>
      </w:r>
      <w:r w:rsidRPr="00556A8B">
        <w:rPr>
          <w:rFonts w:eastAsia="Times New Roman" w:cs="Times New Roman"/>
        </w:rPr>
        <w:t xml:space="preserve"> B. Baillière et Fils.</w:t>
      </w:r>
    </w:p>
    <w:p w14:paraId="3E7B9A6D" w14:textId="77777777" w:rsidR="0039341F" w:rsidRPr="00556A8B" w:rsidRDefault="0039341F" w:rsidP="00641FDA">
      <w:pPr>
        <w:ind w:left="709" w:hanging="709"/>
        <w:rPr>
          <w:rFonts w:cs="Times New Roman"/>
        </w:rPr>
      </w:pPr>
      <w:r w:rsidRPr="00556A8B">
        <w:rPr>
          <w:rFonts w:cs="Times New Roman"/>
        </w:rPr>
        <w:t xml:space="preserve">Betancur-Betancur, C., Restrepo-Ochoa, D. A., y Arias-López, B. E. (2020). Experiencias de promoción de la salud mental en países latinoamericanos. </w:t>
      </w:r>
      <w:r w:rsidRPr="00556A8B">
        <w:rPr>
          <w:rFonts w:cs="Times New Roman"/>
          <w:i/>
          <w:iCs/>
        </w:rPr>
        <w:t>Revista de Psicología Universidad de Antioquia, 12</w:t>
      </w:r>
      <w:r w:rsidRPr="00556A8B">
        <w:rPr>
          <w:rFonts w:cs="Times New Roman"/>
        </w:rPr>
        <w:t xml:space="preserve">(1), 111–133. </w:t>
      </w:r>
      <w:hyperlink r:id="rId25" w:tgtFrame="_new" w:history="1">
        <w:r w:rsidRPr="00556A8B">
          <w:rPr>
            <w:rStyle w:val="Hipervnculo"/>
            <w:rFonts w:cs="Times New Roman"/>
            <w:color w:val="auto"/>
          </w:rPr>
          <w:t>https://doi.org/10.17533/udea.rp.v12n1a06</w:t>
        </w:r>
      </w:hyperlink>
    </w:p>
    <w:p w14:paraId="26E02988" w14:textId="77777777" w:rsidR="0039341F" w:rsidRPr="00556A8B" w:rsidRDefault="0039341F" w:rsidP="00641FDA">
      <w:pPr>
        <w:ind w:firstLine="0"/>
        <w:rPr>
          <w:rFonts w:cs="Times New Roman"/>
        </w:rPr>
      </w:pPr>
      <w:r w:rsidRPr="00556A8B">
        <w:rPr>
          <w:rFonts w:cs="Times New Roman"/>
        </w:rPr>
        <w:t xml:space="preserve">Binswanger, L. (1963). </w:t>
      </w:r>
      <w:r w:rsidRPr="00556A8B">
        <w:rPr>
          <w:rFonts w:cs="Times New Roman"/>
          <w:i/>
          <w:iCs/>
        </w:rPr>
        <w:t>Ser-en-el-mundo</w:t>
      </w:r>
      <w:r w:rsidRPr="00556A8B">
        <w:rPr>
          <w:rFonts w:cs="Times New Roman"/>
        </w:rPr>
        <w:t>. Basic Books.</w:t>
      </w:r>
    </w:p>
    <w:p w14:paraId="00A60965" w14:textId="77777777" w:rsidR="0039341F" w:rsidRPr="00556A8B" w:rsidRDefault="0039341F" w:rsidP="006C48BA">
      <w:pPr>
        <w:ind w:left="720" w:hanging="720"/>
        <w:jc w:val="both"/>
      </w:pPr>
      <w:r w:rsidRPr="00556A8B">
        <w:rPr>
          <w:rFonts w:eastAsia="Times New Roman" w:cs="Times New Roman"/>
        </w:rPr>
        <w:t xml:space="preserve">Blanco, A., &amp; Díaz, D. (2006). El bienestar social: Su concepto y medición. </w:t>
      </w:r>
      <w:r w:rsidRPr="00556A8B">
        <w:rPr>
          <w:rFonts w:eastAsia="Times New Roman" w:cs="Times New Roman"/>
          <w:i/>
          <w:iCs/>
        </w:rPr>
        <w:t>Psicothema, 18</w:t>
      </w:r>
      <w:r w:rsidRPr="00556A8B">
        <w:rPr>
          <w:rFonts w:eastAsia="Times New Roman" w:cs="Times New Roman"/>
        </w:rPr>
        <w:t>(4), 582–589.</w:t>
      </w:r>
    </w:p>
    <w:p w14:paraId="7CC32A00" w14:textId="77777777" w:rsidR="0039341F" w:rsidRPr="0039341F" w:rsidRDefault="0039341F" w:rsidP="0039341F">
      <w:pPr>
        <w:ind w:left="709" w:hanging="709"/>
        <w:rPr>
          <w:rFonts w:cs="Times New Roman"/>
        </w:rPr>
      </w:pPr>
      <w:r w:rsidRPr="0039341F">
        <w:rPr>
          <w:rFonts w:cs="Times New Roman"/>
        </w:rPr>
        <w:t xml:space="preserve">Bleichmar, S. (2005). </w:t>
      </w:r>
      <w:r w:rsidRPr="0039341F">
        <w:rPr>
          <w:rFonts w:cs="Times New Roman"/>
          <w:i/>
          <w:iCs/>
        </w:rPr>
        <w:t>La subjetividad en riesgo</w:t>
      </w:r>
      <w:r w:rsidRPr="0039341F">
        <w:rPr>
          <w:rFonts w:cs="Times New Roman"/>
        </w:rPr>
        <w:t>. Topía Editorial.</w:t>
      </w:r>
    </w:p>
    <w:p w14:paraId="662F38B0" w14:textId="77777777" w:rsidR="0039341F" w:rsidRPr="00556A8B" w:rsidRDefault="0039341F" w:rsidP="00792085">
      <w:pPr>
        <w:ind w:firstLine="0"/>
        <w:rPr>
          <w:rFonts w:cs="Times New Roman"/>
        </w:rPr>
      </w:pPr>
      <w:r w:rsidRPr="00556A8B">
        <w:rPr>
          <w:rFonts w:cs="Times New Roman"/>
        </w:rPr>
        <w:t xml:space="preserve">Braunstein, N. (2013). </w:t>
      </w:r>
      <w:r w:rsidRPr="00556A8B">
        <w:rPr>
          <w:rFonts w:cs="Times New Roman"/>
          <w:i/>
          <w:iCs/>
        </w:rPr>
        <w:t>Clasificar en psiquiatría</w:t>
      </w:r>
      <w:r w:rsidRPr="00556A8B">
        <w:rPr>
          <w:rFonts w:cs="Times New Roman"/>
        </w:rPr>
        <w:t>. Siglo XXI Editores.</w:t>
      </w:r>
    </w:p>
    <w:p w14:paraId="3C9E9287" w14:textId="77777777" w:rsidR="0039341F" w:rsidRPr="00556A8B" w:rsidRDefault="0039341F" w:rsidP="006C48BA">
      <w:pPr>
        <w:ind w:left="720" w:hanging="720"/>
        <w:jc w:val="both"/>
      </w:pPr>
      <w:r w:rsidRPr="00556A8B">
        <w:rPr>
          <w:rFonts w:eastAsia="Times New Roman" w:cs="Times New Roman"/>
        </w:rPr>
        <w:t xml:space="preserve">Buela-Casal, G., &amp; Quevedo-Blasco, R. (2011). </w:t>
      </w:r>
      <w:r w:rsidRPr="00556A8B">
        <w:rPr>
          <w:rFonts w:eastAsia="Times New Roman" w:cs="Times New Roman"/>
          <w:i/>
          <w:iCs/>
        </w:rPr>
        <w:t>Evaluación psicológica y salud.</w:t>
      </w:r>
      <w:r w:rsidRPr="00556A8B">
        <w:rPr>
          <w:rFonts w:eastAsia="Times New Roman" w:cs="Times New Roman"/>
        </w:rPr>
        <w:t xml:space="preserve"> Síntesis.</w:t>
      </w:r>
    </w:p>
    <w:p w14:paraId="2A680FAC" w14:textId="77777777" w:rsidR="0039341F" w:rsidRPr="00556A8B" w:rsidRDefault="0039341F" w:rsidP="006C48BA">
      <w:pPr>
        <w:ind w:left="720" w:hanging="720"/>
        <w:jc w:val="both"/>
      </w:pPr>
      <w:r w:rsidRPr="00556A8B">
        <w:rPr>
          <w:rFonts w:eastAsia="Times New Roman" w:cs="Times New Roman"/>
        </w:rPr>
        <w:t xml:space="preserve">Butler, J. (1997). </w:t>
      </w:r>
      <w:r w:rsidRPr="00556A8B">
        <w:rPr>
          <w:rFonts w:eastAsia="Times New Roman" w:cs="Times New Roman"/>
          <w:i/>
          <w:iCs/>
        </w:rPr>
        <w:t>The psychic life of power: Theories in subjection.</w:t>
      </w:r>
      <w:r w:rsidRPr="00556A8B">
        <w:rPr>
          <w:rFonts w:eastAsia="Times New Roman" w:cs="Times New Roman"/>
        </w:rPr>
        <w:t xml:space="preserve"> Stanford University Press.</w:t>
      </w:r>
    </w:p>
    <w:p w14:paraId="752E1006" w14:textId="77777777" w:rsidR="0039341F" w:rsidRPr="00556A8B" w:rsidRDefault="0039341F" w:rsidP="00641FDA">
      <w:pPr>
        <w:ind w:firstLine="0"/>
        <w:rPr>
          <w:rFonts w:cs="Times New Roman"/>
        </w:rPr>
      </w:pPr>
      <w:r w:rsidRPr="00556A8B">
        <w:rPr>
          <w:rFonts w:cs="Times New Roman"/>
        </w:rPr>
        <w:t xml:space="preserve">Butler, J. (2002). </w:t>
      </w:r>
      <w:r w:rsidRPr="00556A8B">
        <w:rPr>
          <w:rFonts w:cs="Times New Roman"/>
          <w:i/>
          <w:iCs/>
        </w:rPr>
        <w:t>Cuerpos que importan</w:t>
      </w:r>
      <w:r w:rsidRPr="00556A8B">
        <w:rPr>
          <w:rFonts w:cs="Times New Roman"/>
        </w:rPr>
        <w:t>. Paidós.</w:t>
      </w:r>
    </w:p>
    <w:p w14:paraId="0329AE85" w14:textId="77777777" w:rsidR="0039341F" w:rsidRPr="00556A8B" w:rsidRDefault="0039341F" w:rsidP="006C48BA">
      <w:pPr>
        <w:ind w:left="720" w:hanging="720"/>
        <w:jc w:val="both"/>
      </w:pPr>
      <w:r w:rsidRPr="00556A8B">
        <w:rPr>
          <w:rFonts w:eastAsia="Times New Roman" w:cs="Times New Roman"/>
        </w:rPr>
        <w:t xml:space="preserve">Butler, J. (2004). </w:t>
      </w:r>
      <w:r w:rsidRPr="00556A8B">
        <w:rPr>
          <w:rFonts w:eastAsia="Times New Roman" w:cs="Times New Roman"/>
          <w:i/>
          <w:iCs/>
        </w:rPr>
        <w:t>Undoing gender.</w:t>
      </w:r>
      <w:r w:rsidRPr="00556A8B">
        <w:rPr>
          <w:rFonts w:eastAsia="Times New Roman" w:cs="Times New Roman"/>
        </w:rPr>
        <w:t xml:space="preserve"> Routledge.</w:t>
      </w:r>
    </w:p>
    <w:p w14:paraId="7118CD00" w14:textId="77777777" w:rsidR="0039341F" w:rsidRPr="00556A8B" w:rsidRDefault="0039341F" w:rsidP="00641FDA">
      <w:pPr>
        <w:ind w:firstLine="0"/>
        <w:rPr>
          <w:rFonts w:cs="Times New Roman"/>
        </w:rPr>
      </w:pPr>
      <w:r w:rsidRPr="00556A8B">
        <w:rPr>
          <w:rFonts w:cs="Times New Roman"/>
        </w:rPr>
        <w:t xml:space="preserve">Cabanas, E., e Illouz, E. (2019). </w:t>
      </w:r>
      <w:r w:rsidRPr="00556A8B">
        <w:rPr>
          <w:rFonts w:cs="Times New Roman"/>
          <w:i/>
          <w:iCs/>
        </w:rPr>
        <w:t>Happycracia</w:t>
      </w:r>
      <w:r w:rsidRPr="00556A8B">
        <w:rPr>
          <w:rFonts w:cs="Times New Roman"/>
        </w:rPr>
        <w:t>. Paidós.</w:t>
      </w:r>
    </w:p>
    <w:p w14:paraId="5F7D6B0B" w14:textId="77777777" w:rsidR="0039341F" w:rsidRPr="00556A8B" w:rsidRDefault="0039341F" w:rsidP="00641FDA">
      <w:pPr>
        <w:ind w:firstLine="0"/>
        <w:rPr>
          <w:rFonts w:cs="Times New Roman"/>
        </w:rPr>
      </w:pPr>
      <w:r w:rsidRPr="00556A8B">
        <w:rPr>
          <w:rFonts w:cs="Times New Roman"/>
        </w:rPr>
        <w:t xml:space="preserve">Canguilhem, G. (1981). </w:t>
      </w:r>
      <w:r w:rsidRPr="00556A8B">
        <w:rPr>
          <w:rFonts w:cs="Times New Roman"/>
          <w:i/>
          <w:iCs/>
        </w:rPr>
        <w:t>Lo normal y lo patológico</w:t>
      </w:r>
      <w:r w:rsidRPr="00556A8B">
        <w:rPr>
          <w:rFonts w:cs="Times New Roman"/>
        </w:rPr>
        <w:t>. Siglo XXI.</w:t>
      </w:r>
    </w:p>
    <w:p w14:paraId="69806115" w14:textId="77777777" w:rsidR="0039341F" w:rsidRPr="00556A8B" w:rsidRDefault="0039341F" w:rsidP="006C48BA">
      <w:pPr>
        <w:ind w:left="720" w:hanging="720"/>
        <w:jc w:val="both"/>
      </w:pPr>
      <w:r w:rsidRPr="00556A8B">
        <w:rPr>
          <w:rFonts w:eastAsia="Times New Roman" w:cs="Times New Roman"/>
        </w:rPr>
        <w:t xml:space="preserve">Cannon, W. B. (1932). </w:t>
      </w:r>
      <w:r w:rsidRPr="00556A8B">
        <w:rPr>
          <w:rFonts w:eastAsia="Times New Roman" w:cs="Times New Roman"/>
          <w:i/>
          <w:iCs/>
        </w:rPr>
        <w:t>The wisdom of the body.</w:t>
      </w:r>
      <w:r w:rsidRPr="00556A8B">
        <w:rPr>
          <w:rFonts w:eastAsia="Times New Roman" w:cs="Times New Roman"/>
        </w:rPr>
        <w:t xml:space="preserve"> W. W. Norton &amp; Company.</w:t>
      </w:r>
    </w:p>
    <w:p w14:paraId="7D194588" w14:textId="77777777" w:rsidR="0039341F" w:rsidRPr="00556A8B" w:rsidRDefault="0039341F" w:rsidP="006C48BA">
      <w:pPr>
        <w:ind w:left="720" w:hanging="720"/>
        <w:jc w:val="both"/>
      </w:pPr>
      <w:r w:rsidRPr="00556A8B">
        <w:rPr>
          <w:rFonts w:eastAsia="Times New Roman" w:cs="Times New Roman"/>
        </w:rPr>
        <w:t xml:space="preserve">Cantor-Cruz, F., McDouall-Lombana, J., Parra, A., Martin-Benito, L., Paternina Quesada, N., González-Giraldo, C., Cárdenas Rodríguez, M. L., Castillo Gutiérrez, A. M., Garzón-Lawton, M., Ronderos-Bernal, C., García Guarín, B., Acevedo-Peña, J. R., Gómez-Gómez, O. V., y Yomayusa-González, N. (2021). Cuidado de la salud mental del personal de salud durante COVID-19: Recomendaciones basadas en evidencia y consenso de expertos. </w:t>
      </w:r>
      <w:r w:rsidRPr="00556A8B">
        <w:rPr>
          <w:rFonts w:eastAsia="Times New Roman" w:cs="Times New Roman"/>
          <w:i/>
          <w:iCs/>
        </w:rPr>
        <w:t>Revista Colombiana de Psiquiatría, 50</w:t>
      </w:r>
      <w:r w:rsidRPr="00556A8B">
        <w:rPr>
          <w:rFonts w:eastAsia="Times New Roman" w:cs="Times New Roman"/>
        </w:rPr>
        <w:t>(3), 74–80. https://doi.org/10.1016/j.rcp.2021.02.007</w:t>
      </w:r>
    </w:p>
    <w:p w14:paraId="4D8D699E" w14:textId="77777777" w:rsidR="0039341F" w:rsidRPr="00556A8B" w:rsidRDefault="0039341F" w:rsidP="00641FDA">
      <w:pPr>
        <w:ind w:left="709" w:hanging="709"/>
        <w:rPr>
          <w:rFonts w:cs="Times New Roman"/>
        </w:rPr>
      </w:pPr>
      <w:r w:rsidRPr="00556A8B">
        <w:rPr>
          <w:rFonts w:cs="Times New Roman"/>
        </w:rPr>
        <w:lastRenderedPageBreak/>
        <w:t xml:space="preserve">Caponi, S. (2009). Michel Foucault y el poder psiquiátrico. </w:t>
      </w:r>
      <w:r w:rsidRPr="00556A8B">
        <w:rPr>
          <w:rFonts w:cs="Times New Roman"/>
          <w:i/>
          <w:iCs/>
        </w:rPr>
        <w:t>Ciência &amp; Saúde Coletiva, 14</w:t>
      </w:r>
      <w:r w:rsidRPr="00556A8B">
        <w:rPr>
          <w:rFonts w:cs="Times New Roman"/>
        </w:rPr>
        <w:t>(1), 95–103.</w:t>
      </w:r>
    </w:p>
    <w:p w14:paraId="4519ABF0" w14:textId="77777777" w:rsidR="0039341F" w:rsidRPr="00556A8B" w:rsidRDefault="0039341F" w:rsidP="006C48BA">
      <w:pPr>
        <w:ind w:left="720" w:hanging="720"/>
        <w:jc w:val="both"/>
      </w:pPr>
      <w:r w:rsidRPr="00556A8B">
        <w:rPr>
          <w:rFonts w:eastAsia="Times New Roman" w:cs="Times New Roman"/>
        </w:rPr>
        <w:t xml:space="preserve">Caponi, S. (2009b). Para una genealogía de la anormalidad: La teoría de la degeneración de Morel. </w:t>
      </w:r>
      <w:r w:rsidRPr="00556A8B">
        <w:rPr>
          <w:rFonts w:eastAsia="Times New Roman" w:cs="Times New Roman"/>
          <w:i/>
          <w:iCs/>
        </w:rPr>
        <w:t>Scientiæ Studia, 7</w:t>
      </w:r>
      <w:r w:rsidRPr="00556A8B">
        <w:rPr>
          <w:rFonts w:eastAsia="Times New Roman" w:cs="Times New Roman"/>
        </w:rPr>
        <w:t>(3), 425–445.</w:t>
      </w:r>
    </w:p>
    <w:p w14:paraId="04E5F25A" w14:textId="77777777" w:rsidR="0039341F" w:rsidRPr="00556A8B" w:rsidRDefault="0039341F" w:rsidP="006C48BA">
      <w:pPr>
        <w:ind w:left="720" w:hanging="720"/>
        <w:jc w:val="both"/>
      </w:pPr>
      <w:r w:rsidRPr="00556A8B">
        <w:rPr>
          <w:rFonts w:eastAsia="Times New Roman" w:cs="Times New Roman"/>
        </w:rPr>
        <w:t xml:space="preserve">Caponi, S. (2009c). Un análisis epistemológico del diagnóstico de depresión. </w:t>
      </w:r>
      <w:r w:rsidRPr="00556A8B">
        <w:rPr>
          <w:rFonts w:eastAsia="Times New Roman" w:cs="Times New Roman"/>
          <w:i/>
          <w:iCs/>
        </w:rPr>
        <w:t>Comunicação Saúde Educação, 13</w:t>
      </w:r>
      <w:r w:rsidRPr="00556A8B">
        <w:rPr>
          <w:rFonts w:eastAsia="Times New Roman" w:cs="Times New Roman"/>
        </w:rPr>
        <w:t>(29), 327–338.</w:t>
      </w:r>
    </w:p>
    <w:p w14:paraId="048F2A36" w14:textId="77777777" w:rsidR="0039341F" w:rsidRPr="00556A8B" w:rsidRDefault="0039341F" w:rsidP="006C48BA">
      <w:pPr>
        <w:ind w:left="720" w:hanging="720"/>
        <w:jc w:val="both"/>
      </w:pPr>
      <w:r w:rsidRPr="00556A8B">
        <w:rPr>
          <w:rFonts w:eastAsia="Times New Roman" w:cs="Times New Roman"/>
        </w:rPr>
        <w:t xml:space="preserve">Caponi, S. (2009d). Para una genealogía de la anormalidad: La teoría de la degeneración de Morel. </w:t>
      </w:r>
      <w:r w:rsidRPr="00556A8B">
        <w:rPr>
          <w:rFonts w:eastAsia="Times New Roman" w:cs="Times New Roman"/>
          <w:i/>
          <w:iCs/>
        </w:rPr>
        <w:t>Cadernos Brasileiros de Saúde Mental, 3</w:t>
      </w:r>
      <w:r w:rsidRPr="00556A8B">
        <w:rPr>
          <w:rFonts w:eastAsia="Times New Roman" w:cs="Times New Roman"/>
        </w:rPr>
        <w:t>(6), 106–125.</w:t>
      </w:r>
    </w:p>
    <w:p w14:paraId="0352FFFC" w14:textId="77777777" w:rsidR="0039341F" w:rsidRPr="00556A8B" w:rsidRDefault="0039341F" w:rsidP="00641FDA">
      <w:pPr>
        <w:ind w:firstLine="0"/>
        <w:rPr>
          <w:rFonts w:cs="Times New Roman"/>
        </w:rPr>
      </w:pPr>
      <w:r w:rsidRPr="00556A8B">
        <w:rPr>
          <w:rFonts w:cs="Times New Roman"/>
        </w:rPr>
        <w:t xml:space="preserve">Caponi, S. (2012). Classificar e medicar. </w:t>
      </w:r>
      <w:r w:rsidRPr="00556A8B">
        <w:rPr>
          <w:rFonts w:cs="Times New Roman"/>
          <w:i/>
          <w:iCs/>
        </w:rPr>
        <w:t>INTERthesis, 9</w:t>
      </w:r>
      <w:r w:rsidRPr="00556A8B">
        <w:rPr>
          <w:rFonts w:cs="Times New Roman"/>
        </w:rPr>
        <w:t>(2), 101–118.</w:t>
      </w:r>
    </w:p>
    <w:p w14:paraId="22331A06" w14:textId="77777777" w:rsidR="0039341F" w:rsidRPr="0039341F" w:rsidRDefault="0039341F" w:rsidP="0039341F">
      <w:pPr>
        <w:ind w:left="709" w:hanging="709"/>
        <w:rPr>
          <w:rFonts w:cs="Times New Roman"/>
        </w:rPr>
      </w:pPr>
      <w:r w:rsidRPr="0039341F">
        <w:rPr>
          <w:rFonts w:cs="Times New Roman"/>
        </w:rPr>
        <w:t xml:space="preserve">Caponi, S. (2016). O DSM-V como dispositivo de segurança. </w:t>
      </w:r>
      <w:r w:rsidRPr="0039341F">
        <w:rPr>
          <w:rFonts w:cs="Times New Roman"/>
          <w:i/>
          <w:iCs/>
        </w:rPr>
        <w:t>Physis: Revista de Saúde Coletiva</w:t>
      </w:r>
      <w:r w:rsidRPr="0039341F">
        <w:rPr>
          <w:rFonts w:cs="Times New Roman"/>
        </w:rPr>
        <w:t xml:space="preserve">, </w:t>
      </w:r>
      <w:r w:rsidRPr="0039341F">
        <w:rPr>
          <w:rFonts w:cs="Times New Roman"/>
          <w:i/>
          <w:iCs/>
        </w:rPr>
        <w:t>26</w:t>
      </w:r>
      <w:r w:rsidRPr="0039341F">
        <w:rPr>
          <w:rFonts w:cs="Times New Roman"/>
        </w:rPr>
        <w:t>(2), 453–470.</w:t>
      </w:r>
    </w:p>
    <w:p w14:paraId="1D7A29DB" w14:textId="77777777" w:rsidR="0039341F" w:rsidRPr="00556A8B" w:rsidRDefault="0039341F" w:rsidP="00641FDA">
      <w:pPr>
        <w:ind w:firstLine="0"/>
        <w:rPr>
          <w:rFonts w:cs="Times New Roman"/>
        </w:rPr>
      </w:pPr>
      <w:r w:rsidRPr="00556A8B">
        <w:rPr>
          <w:rFonts w:cs="Times New Roman"/>
        </w:rPr>
        <w:t xml:space="preserve">Caponi, S. (2018). La psiquiatrización de la vida cotidiana. </w:t>
      </w:r>
      <w:r w:rsidRPr="00556A8B">
        <w:rPr>
          <w:rFonts w:cs="Times New Roman"/>
          <w:i/>
          <w:iCs/>
        </w:rPr>
        <w:t>Metatheoria, 8</w:t>
      </w:r>
      <w:r w:rsidRPr="00556A8B">
        <w:rPr>
          <w:rFonts w:cs="Times New Roman"/>
        </w:rPr>
        <w:t>(2), 97–103.</w:t>
      </w:r>
    </w:p>
    <w:p w14:paraId="72A48096" w14:textId="77777777" w:rsidR="0039341F" w:rsidRPr="00556A8B" w:rsidRDefault="0039341F" w:rsidP="00641FDA">
      <w:pPr>
        <w:ind w:firstLine="0"/>
        <w:rPr>
          <w:rFonts w:cs="Times New Roman"/>
        </w:rPr>
      </w:pPr>
      <w:r w:rsidRPr="00556A8B">
        <w:rPr>
          <w:rFonts w:cs="Times New Roman"/>
        </w:rPr>
        <w:t xml:space="preserve">Caponi, S. (2024). </w:t>
      </w:r>
      <w:r w:rsidRPr="00556A8B">
        <w:rPr>
          <w:rFonts w:cs="Times New Roman"/>
          <w:i/>
          <w:iCs/>
        </w:rPr>
        <w:t>Loucos e degenerados</w:t>
      </w:r>
      <w:r w:rsidRPr="00556A8B">
        <w:rPr>
          <w:rFonts w:cs="Times New Roman"/>
        </w:rPr>
        <w:t>. Fiocruz.</w:t>
      </w:r>
    </w:p>
    <w:p w14:paraId="2BE5E604" w14:textId="77777777" w:rsidR="0039341F" w:rsidRPr="00556A8B" w:rsidRDefault="0039341F" w:rsidP="00641FDA">
      <w:pPr>
        <w:ind w:firstLine="0"/>
        <w:rPr>
          <w:rFonts w:cs="Times New Roman"/>
        </w:rPr>
      </w:pPr>
      <w:r w:rsidRPr="00556A8B">
        <w:rPr>
          <w:rFonts w:cs="Times New Roman"/>
        </w:rPr>
        <w:t xml:space="preserve">Castel, R. (1986). </w:t>
      </w:r>
      <w:r w:rsidRPr="00556A8B">
        <w:rPr>
          <w:rFonts w:cs="Times New Roman"/>
          <w:i/>
          <w:iCs/>
        </w:rPr>
        <w:t>La gestión de los riesgos</w:t>
      </w:r>
      <w:r w:rsidRPr="00556A8B">
        <w:rPr>
          <w:rFonts w:cs="Times New Roman"/>
        </w:rPr>
        <w:t>. Anagrama.</w:t>
      </w:r>
    </w:p>
    <w:p w14:paraId="2DB5F41B" w14:textId="77777777" w:rsidR="0039341F" w:rsidRPr="00556A8B" w:rsidRDefault="0039341F" w:rsidP="00641FDA">
      <w:pPr>
        <w:ind w:firstLine="0"/>
        <w:rPr>
          <w:rFonts w:cs="Times New Roman"/>
        </w:rPr>
      </w:pPr>
      <w:r w:rsidRPr="00556A8B">
        <w:rPr>
          <w:rFonts w:cs="Times New Roman"/>
        </w:rPr>
        <w:t xml:space="preserve">Castel, R. (1997). </w:t>
      </w:r>
      <w:r w:rsidRPr="00556A8B">
        <w:rPr>
          <w:rFonts w:cs="Times New Roman"/>
          <w:i/>
          <w:iCs/>
        </w:rPr>
        <w:t>La metamorfosis de la cuestión social</w:t>
      </w:r>
      <w:r w:rsidRPr="00556A8B">
        <w:rPr>
          <w:rFonts w:cs="Times New Roman"/>
        </w:rPr>
        <w:t>. Paidós.</w:t>
      </w:r>
    </w:p>
    <w:p w14:paraId="386282AE" w14:textId="77777777" w:rsidR="0039341F" w:rsidRPr="00556A8B" w:rsidRDefault="0039341F" w:rsidP="006C48BA">
      <w:pPr>
        <w:ind w:left="720" w:hanging="720"/>
        <w:jc w:val="both"/>
      </w:pPr>
      <w:r w:rsidRPr="00556A8B">
        <w:rPr>
          <w:rFonts w:eastAsia="Times New Roman" w:cs="Times New Roman"/>
        </w:rPr>
        <w:t xml:space="preserve">Castro, A. (2019). Salud mental y gubernamentalidad: Reflexiones en torno a la locura en Chile. </w:t>
      </w:r>
      <w:r w:rsidRPr="00556A8B">
        <w:rPr>
          <w:rFonts w:eastAsia="Times New Roman" w:cs="Times New Roman"/>
          <w:i/>
          <w:iCs/>
        </w:rPr>
        <w:t>De Prácticas y Discursos: Cuadernos de Ciencias Sociales, 8</w:t>
      </w:r>
      <w:r w:rsidRPr="00556A8B">
        <w:rPr>
          <w:rFonts w:eastAsia="Times New Roman" w:cs="Times New Roman"/>
        </w:rPr>
        <w:t>(11).</w:t>
      </w:r>
    </w:p>
    <w:p w14:paraId="363C2301" w14:textId="77777777" w:rsidR="0039341F" w:rsidRPr="0039341F" w:rsidRDefault="0039341F" w:rsidP="0039341F">
      <w:pPr>
        <w:ind w:left="709" w:hanging="709"/>
        <w:rPr>
          <w:rFonts w:cs="Times New Roman"/>
        </w:rPr>
      </w:pPr>
      <w:r w:rsidRPr="0039341F">
        <w:rPr>
          <w:rFonts w:cs="Times New Roman"/>
        </w:rPr>
        <w:t xml:space="preserve">Castro, R. (2014). </w:t>
      </w:r>
      <w:r w:rsidRPr="0039341F">
        <w:rPr>
          <w:rFonts w:cs="Times New Roman"/>
          <w:i/>
          <w:iCs/>
        </w:rPr>
        <w:t>Génesis y práctica del habitus médico autoritario en México</w:t>
      </w:r>
      <w:r w:rsidRPr="0039341F">
        <w:rPr>
          <w:rFonts w:cs="Times New Roman"/>
        </w:rPr>
        <w:t>. UNAM.</w:t>
      </w:r>
    </w:p>
    <w:p w14:paraId="3C17B661" w14:textId="77777777" w:rsidR="0039341F" w:rsidRPr="00556A8B" w:rsidRDefault="0039341F" w:rsidP="00641FDA">
      <w:pPr>
        <w:ind w:firstLine="0"/>
        <w:rPr>
          <w:rFonts w:cs="Times New Roman"/>
        </w:rPr>
      </w:pPr>
      <w:r w:rsidRPr="00556A8B">
        <w:rPr>
          <w:rFonts w:cs="Times New Roman"/>
        </w:rPr>
        <w:t xml:space="preserve">Castro-Gómez, S. (2010). </w:t>
      </w:r>
      <w:r w:rsidRPr="00556A8B">
        <w:rPr>
          <w:rFonts w:cs="Times New Roman"/>
          <w:i/>
          <w:iCs/>
        </w:rPr>
        <w:t>Historia de la gubernamentalidad I</w:t>
      </w:r>
      <w:r w:rsidRPr="00556A8B">
        <w:rPr>
          <w:rFonts w:cs="Times New Roman"/>
        </w:rPr>
        <w:t>. Siglo del Hombre.</w:t>
      </w:r>
    </w:p>
    <w:p w14:paraId="74BC78FB" w14:textId="77777777" w:rsidR="0039341F" w:rsidRPr="00556A8B" w:rsidRDefault="0039341F" w:rsidP="00641FDA">
      <w:pPr>
        <w:ind w:firstLine="0"/>
        <w:rPr>
          <w:rFonts w:cs="Times New Roman"/>
        </w:rPr>
      </w:pPr>
      <w:r w:rsidRPr="00556A8B">
        <w:rPr>
          <w:rFonts w:cs="Times New Roman"/>
        </w:rPr>
        <w:t xml:space="preserve">Cifuentes-Muñoz, A. (2023). Modernidad y psicoterapia. </w:t>
      </w:r>
      <w:r w:rsidRPr="00556A8B">
        <w:rPr>
          <w:rFonts w:cs="Times New Roman"/>
          <w:i/>
          <w:iCs/>
        </w:rPr>
        <w:t>Revista Humanidades, 13</w:t>
      </w:r>
      <w:r w:rsidRPr="00556A8B">
        <w:rPr>
          <w:rFonts w:cs="Times New Roman"/>
        </w:rPr>
        <w:t>(1), e52332.</w:t>
      </w:r>
    </w:p>
    <w:p w14:paraId="7D7A3BE7" w14:textId="77777777" w:rsidR="0039341F" w:rsidRPr="00556A8B" w:rsidRDefault="0039341F" w:rsidP="00641FDA">
      <w:pPr>
        <w:ind w:firstLine="0"/>
        <w:rPr>
          <w:rFonts w:cs="Times New Roman"/>
        </w:rPr>
      </w:pPr>
      <w:r w:rsidRPr="00556A8B">
        <w:rPr>
          <w:rFonts w:cs="Times New Roman"/>
        </w:rPr>
        <w:t xml:space="preserve">Cifuentes-Muñoz, A. (2024). Epistemología y sufrimiento humano. </w:t>
      </w:r>
      <w:r w:rsidRPr="00556A8B">
        <w:rPr>
          <w:rFonts w:cs="Times New Roman"/>
          <w:i/>
          <w:iCs/>
        </w:rPr>
        <w:t>Prometeica, 30</w:t>
      </w:r>
      <w:r w:rsidRPr="00556A8B">
        <w:rPr>
          <w:rFonts w:cs="Times New Roman"/>
        </w:rPr>
        <w:t>, 92–110.</w:t>
      </w:r>
    </w:p>
    <w:p w14:paraId="5558FD89" w14:textId="77777777" w:rsidR="0039341F" w:rsidRPr="00556A8B" w:rsidRDefault="0039341F" w:rsidP="006C48BA">
      <w:pPr>
        <w:ind w:left="720" w:hanging="720"/>
        <w:jc w:val="both"/>
      </w:pPr>
      <w:r w:rsidRPr="00556A8B">
        <w:rPr>
          <w:rFonts w:eastAsia="Times New Roman" w:cs="Times New Roman"/>
        </w:rPr>
        <w:t xml:space="preserve">Clemmensen, M. B. (2021). Normality, subjectivity and mental health: A genealogy of Danish psychiatry, 1938–2017. </w:t>
      </w:r>
      <w:r w:rsidRPr="00556A8B">
        <w:rPr>
          <w:rFonts w:eastAsia="Times New Roman" w:cs="Times New Roman"/>
          <w:i/>
          <w:iCs/>
        </w:rPr>
        <w:t>Health: An Interdisciplinary Journal for the Social Study of Health, Illness and Medicine.</w:t>
      </w:r>
      <w:r w:rsidRPr="00556A8B">
        <w:rPr>
          <w:rFonts w:eastAsia="Times New Roman" w:cs="Times New Roman"/>
        </w:rPr>
        <w:t xml:space="preserve"> https://doi.org/10.1177/1363459319874102</w:t>
      </w:r>
    </w:p>
    <w:p w14:paraId="52034AE8" w14:textId="77777777" w:rsidR="0039341F" w:rsidRPr="00556A8B" w:rsidRDefault="0039341F" w:rsidP="006C48BA">
      <w:pPr>
        <w:ind w:left="720" w:hanging="720"/>
        <w:jc w:val="both"/>
      </w:pPr>
      <w:r w:rsidRPr="00556A8B">
        <w:rPr>
          <w:rFonts w:eastAsia="Times New Roman" w:cs="Times New Roman"/>
        </w:rPr>
        <w:t xml:space="preserve">Cohen, R. J., &amp; Swerdlik, M. E. (2010). </w:t>
      </w:r>
      <w:r w:rsidRPr="00556A8B">
        <w:rPr>
          <w:rFonts w:eastAsia="Times New Roman" w:cs="Times New Roman"/>
          <w:i/>
          <w:iCs/>
        </w:rPr>
        <w:t>Psychological testing and assessment: An introduction to tests and measurement</w:t>
      </w:r>
      <w:r w:rsidRPr="00556A8B">
        <w:rPr>
          <w:rFonts w:eastAsia="Times New Roman" w:cs="Times New Roman"/>
        </w:rPr>
        <w:t xml:space="preserve"> (7th ed.). McGraw-Hill.</w:t>
      </w:r>
    </w:p>
    <w:p w14:paraId="635D93D3" w14:textId="77777777" w:rsidR="0039341F" w:rsidRPr="00556A8B" w:rsidRDefault="0039341F" w:rsidP="006C48BA">
      <w:pPr>
        <w:ind w:left="720" w:hanging="720"/>
        <w:jc w:val="both"/>
      </w:pPr>
      <w:r w:rsidRPr="00556A8B">
        <w:rPr>
          <w:rFonts w:eastAsia="Times New Roman" w:cs="Times New Roman"/>
        </w:rPr>
        <w:t xml:space="preserve">Colegio Colombiano de Psicólogos. (2023). </w:t>
      </w:r>
      <w:r w:rsidRPr="00556A8B">
        <w:rPr>
          <w:rFonts w:eastAsia="Times New Roman" w:cs="Times New Roman"/>
          <w:i/>
          <w:iCs/>
        </w:rPr>
        <w:t>Lineamientos y orientaciones sobre salud mental.</w:t>
      </w:r>
      <w:r w:rsidRPr="00556A8B">
        <w:rPr>
          <w:rFonts w:eastAsia="Times New Roman" w:cs="Times New Roman"/>
        </w:rPr>
        <w:t xml:space="preserve"> COLPSIC.</w:t>
      </w:r>
    </w:p>
    <w:p w14:paraId="17FCF4EC" w14:textId="77777777" w:rsidR="0039341F" w:rsidRPr="0039341F" w:rsidRDefault="0039341F" w:rsidP="0039341F">
      <w:pPr>
        <w:ind w:left="709" w:hanging="709"/>
        <w:rPr>
          <w:rFonts w:cs="Times New Roman"/>
        </w:rPr>
      </w:pPr>
      <w:r w:rsidRPr="0039341F">
        <w:rPr>
          <w:rFonts w:cs="Times New Roman"/>
        </w:rPr>
        <w:t xml:space="preserve">Collares, C. A. L., &amp; Moysés, M. A. A. (1994). A transformação do espaço pedagógico em espaço clínico. </w:t>
      </w:r>
      <w:r w:rsidRPr="0039341F">
        <w:rPr>
          <w:rFonts w:cs="Times New Roman"/>
          <w:i/>
          <w:iCs/>
        </w:rPr>
        <w:t>Série Ideias</w:t>
      </w:r>
      <w:r w:rsidRPr="0039341F">
        <w:rPr>
          <w:rFonts w:cs="Times New Roman"/>
        </w:rPr>
        <w:t xml:space="preserve">, </w:t>
      </w:r>
      <w:r w:rsidRPr="0039341F">
        <w:rPr>
          <w:rFonts w:cs="Times New Roman"/>
          <w:i/>
          <w:iCs/>
        </w:rPr>
        <w:t>23</w:t>
      </w:r>
      <w:r w:rsidRPr="0039341F">
        <w:rPr>
          <w:rFonts w:cs="Times New Roman"/>
        </w:rPr>
        <w:t>, 25–31.</w:t>
      </w:r>
    </w:p>
    <w:p w14:paraId="5E4CD175" w14:textId="77777777" w:rsidR="0039341F" w:rsidRPr="00556A8B" w:rsidRDefault="0039341F" w:rsidP="00641FDA">
      <w:pPr>
        <w:ind w:firstLine="0"/>
        <w:rPr>
          <w:rFonts w:cs="Times New Roman"/>
        </w:rPr>
      </w:pPr>
      <w:r w:rsidRPr="00556A8B">
        <w:rPr>
          <w:rFonts w:cs="Times New Roman"/>
        </w:rPr>
        <w:t xml:space="preserve">Congreso de la República de Colombia. (2013). </w:t>
      </w:r>
      <w:r w:rsidRPr="00556A8B">
        <w:rPr>
          <w:rFonts w:cs="Times New Roman"/>
          <w:i/>
          <w:iCs/>
        </w:rPr>
        <w:t>Ley 1616 de 2013</w:t>
      </w:r>
      <w:r w:rsidRPr="00556A8B">
        <w:rPr>
          <w:rFonts w:cs="Times New Roman"/>
        </w:rPr>
        <w:t>.</w:t>
      </w:r>
    </w:p>
    <w:p w14:paraId="440C5989" w14:textId="77777777" w:rsidR="0039341F" w:rsidRPr="00556A8B" w:rsidRDefault="0039341F" w:rsidP="006C48BA">
      <w:pPr>
        <w:ind w:left="720" w:hanging="720"/>
        <w:jc w:val="both"/>
      </w:pPr>
      <w:r w:rsidRPr="00556A8B">
        <w:rPr>
          <w:rFonts w:eastAsia="Times New Roman" w:cs="Times New Roman"/>
        </w:rPr>
        <w:lastRenderedPageBreak/>
        <w:t xml:space="preserve">Corzine, A., &amp; Roy, A. (2024). Inside the black mirror: Current perspectives on the role of social media in mental illness self-diagnosis. </w:t>
      </w:r>
      <w:r w:rsidRPr="00556A8B">
        <w:rPr>
          <w:rFonts w:eastAsia="Times New Roman" w:cs="Times New Roman"/>
          <w:i/>
          <w:iCs/>
        </w:rPr>
        <w:t>Discover Psychology, 4</w:t>
      </w:r>
      <w:r w:rsidRPr="00556A8B">
        <w:rPr>
          <w:rFonts w:eastAsia="Times New Roman" w:cs="Times New Roman"/>
        </w:rPr>
        <w:t>(1), Artículo 40.</w:t>
      </w:r>
    </w:p>
    <w:p w14:paraId="28D3A30E" w14:textId="77777777" w:rsidR="0039341F" w:rsidRPr="00556A8B" w:rsidRDefault="0039341F" w:rsidP="006C48BA">
      <w:pPr>
        <w:ind w:left="720" w:hanging="720"/>
        <w:jc w:val="both"/>
      </w:pPr>
      <w:r w:rsidRPr="00556A8B">
        <w:rPr>
          <w:rFonts w:eastAsia="Times New Roman" w:cs="Times New Roman"/>
        </w:rPr>
        <w:t xml:space="preserve">Cova, F. (2021). Salud mental: Conceptualizaciones contemporáneas y desafíos actuales. En A. Salas &amp; R. Pérez (Eds.), </w:t>
      </w:r>
      <w:r w:rsidRPr="00556A8B">
        <w:rPr>
          <w:rFonts w:eastAsia="Times New Roman" w:cs="Times New Roman"/>
          <w:i/>
          <w:iCs/>
        </w:rPr>
        <w:t>Psicología y salud mental: Debates actuales</w:t>
      </w:r>
      <w:r w:rsidRPr="00556A8B">
        <w:rPr>
          <w:rFonts w:eastAsia="Times New Roman" w:cs="Times New Roman"/>
        </w:rPr>
        <w:t xml:space="preserve"> (pp. 45–62). Universidad Católica de Chile.</w:t>
      </w:r>
    </w:p>
    <w:p w14:paraId="5A231219" w14:textId="77777777" w:rsidR="0039341F" w:rsidRPr="00556A8B" w:rsidRDefault="0039341F" w:rsidP="006C48BA">
      <w:pPr>
        <w:rPr>
          <w:rFonts w:cs="Times New Roman"/>
        </w:rPr>
      </w:pPr>
      <w:r w:rsidRPr="00556A8B">
        <w:rPr>
          <w:rFonts w:cs="Times New Roman"/>
        </w:rPr>
        <w:t xml:space="preserve">Crespo-Suárez, J. (2021). Reduccionismo biomédico y patologización. </w:t>
      </w:r>
      <w:r w:rsidRPr="00556A8B">
        <w:rPr>
          <w:rFonts w:cs="Times New Roman"/>
          <w:i/>
          <w:iCs/>
        </w:rPr>
        <w:t>Revista Chilena de Salud Pública, 25</w:t>
      </w:r>
      <w:r w:rsidRPr="00556A8B">
        <w:rPr>
          <w:rFonts w:cs="Times New Roman"/>
        </w:rPr>
        <w:t>(1), 113–124.</w:t>
      </w:r>
    </w:p>
    <w:p w14:paraId="0E7A23E6" w14:textId="77777777" w:rsidR="0039341F" w:rsidRPr="00556A8B" w:rsidRDefault="0039341F" w:rsidP="006C48BA">
      <w:pPr>
        <w:rPr>
          <w:rFonts w:cs="Times New Roman"/>
          <w:lang w:val="en-US"/>
        </w:rPr>
      </w:pPr>
      <w:r w:rsidRPr="00556A8B">
        <w:rPr>
          <w:rFonts w:cs="Times New Roman"/>
          <w:lang w:val="en-US"/>
        </w:rPr>
        <w:t xml:space="preserve">Davis, L., Cosgrove, L., et al. (2024). Undisclosed financial conflicts of interest in DSM-5-TR. </w:t>
      </w:r>
      <w:r w:rsidRPr="00556A8B">
        <w:rPr>
          <w:rFonts w:cs="Times New Roman"/>
          <w:i/>
          <w:iCs/>
          <w:lang w:val="en-US"/>
        </w:rPr>
        <w:t>BMJ, 384</w:t>
      </w:r>
      <w:r w:rsidRPr="00556A8B">
        <w:rPr>
          <w:rFonts w:cs="Times New Roman"/>
          <w:lang w:val="en-US"/>
        </w:rPr>
        <w:t>, e076902.</w:t>
      </w:r>
    </w:p>
    <w:p w14:paraId="7EBFE7B9" w14:textId="77777777" w:rsidR="0039341F" w:rsidRPr="00556A8B" w:rsidRDefault="0039341F" w:rsidP="006C48BA">
      <w:pPr>
        <w:ind w:left="720" w:hanging="720"/>
        <w:jc w:val="both"/>
      </w:pPr>
      <w:r w:rsidRPr="00556A8B">
        <w:rPr>
          <w:rFonts w:eastAsia="Times New Roman" w:cs="Times New Roman"/>
        </w:rPr>
        <w:t xml:space="preserve">De Souza Lima, R. (2021). Ser o no ser, esa es la cuestión: Entre el estigma y la terapia en salud mental. En J. Loredo, A. Arruda y J. Chávez (Eds.), </w:t>
      </w:r>
      <w:r w:rsidRPr="00556A8B">
        <w:rPr>
          <w:rFonts w:eastAsia="Times New Roman" w:cs="Times New Roman"/>
          <w:i/>
          <w:iCs/>
        </w:rPr>
        <w:t>Procesos de subjetivación: Diez análisis de prácticas psicológicas iberoamericanas.</w:t>
      </w:r>
      <w:r w:rsidRPr="00556A8B">
        <w:rPr>
          <w:rFonts w:eastAsia="Times New Roman" w:cs="Times New Roman"/>
        </w:rPr>
        <w:t xml:space="preserve"> Universidad Nacional de Educación a Distancia.</w:t>
      </w:r>
    </w:p>
    <w:p w14:paraId="232994C0" w14:textId="77777777" w:rsidR="0039341F" w:rsidRPr="00556A8B" w:rsidRDefault="0039341F" w:rsidP="00792085">
      <w:pPr>
        <w:ind w:firstLine="0"/>
        <w:rPr>
          <w:rFonts w:cs="Times New Roman"/>
        </w:rPr>
      </w:pPr>
      <w:r w:rsidRPr="00556A8B">
        <w:rPr>
          <w:rFonts w:cs="Times New Roman"/>
          <w:lang w:val="en-US"/>
        </w:rPr>
        <w:t xml:space="preserve">Dean, M. (2010). </w:t>
      </w:r>
      <w:r w:rsidRPr="00556A8B">
        <w:rPr>
          <w:rFonts w:cs="Times New Roman"/>
          <w:i/>
          <w:iCs/>
          <w:lang w:val="en-US"/>
        </w:rPr>
        <w:t>Governmentality: Power and rule in modern society</w:t>
      </w:r>
      <w:r w:rsidRPr="00556A8B">
        <w:rPr>
          <w:rFonts w:cs="Times New Roman"/>
          <w:lang w:val="en-US"/>
        </w:rPr>
        <w:t xml:space="preserve"> (2nd ed.). </w:t>
      </w:r>
      <w:r w:rsidRPr="00556A8B">
        <w:rPr>
          <w:rFonts w:cs="Times New Roman"/>
        </w:rPr>
        <w:t>Sage.</w:t>
      </w:r>
    </w:p>
    <w:p w14:paraId="0D3C5D00" w14:textId="77777777" w:rsidR="0039341F" w:rsidRPr="00556A8B" w:rsidRDefault="0039341F" w:rsidP="006C48BA">
      <w:pPr>
        <w:ind w:left="720" w:hanging="720"/>
        <w:jc w:val="both"/>
      </w:pPr>
      <w:r w:rsidRPr="00556A8B">
        <w:rPr>
          <w:rFonts w:eastAsia="Times New Roman" w:cs="Times New Roman"/>
        </w:rPr>
        <w:t xml:space="preserve">Deleuze, G. (1986). </w:t>
      </w:r>
      <w:r w:rsidRPr="00556A8B">
        <w:rPr>
          <w:rFonts w:eastAsia="Times New Roman" w:cs="Times New Roman"/>
          <w:i/>
          <w:iCs/>
        </w:rPr>
        <w:t>Foucault</w:t>
      </w:r>
      <w:r w:rsidRPr="00556A8B">
        <w:rPr>
          <w:rFonts w:eastAsia="Times New Roman" w:cs="Times New Roman"/>
        </w:rPr>
        <w:t xml:space="preserve"> (S. Hand, Trad.). University of Minnesota Press.</w:t>
      </w:r>
    </w:p>
    <w:p w14:paraId="5FC874E8" w14:textId="77777777" w:rsidR="0039341F" w:rsidRPr="00556A8B" w:rsidRDefault="0039341F" w:rsidP="00DC02C2">
      <w:pPr>
        <w:ind w:firstLine="0"/>
        <w:rPr>
          <w:rFonts w:cs="Times New Roman"/>
        </w:rPr>
      </w:pPr>
      <w:r w:rsidRPr="00556A8B">
        <w:rPr>
          <w:rFonts w:cs="Times New Roman"/>
        </w:rPr>
        <w:t xml:space="preserve">Deleuze, G. (1987). </w:t>
      </w:r>
      <w:r w:rsidRPr="00556A8B">
        <w:rPr>
          <w:rFonts w:cs="Times New Roman"/>
          <w:i/>
          <w:iCs/>
        </w:rPr>
        <w:t>Foucault</w:t>
      </w:r>
      <w:r w:rsidRPr="00556A8B">
        <w:rPr>
          <w:rFonts w:cs="Times New Roman"/>
        </w:rPr>
        <w:t>. Paidós.</w:t>
      </w:r>
    </w:p>
    <w:p w14:paraId="2839D30E" w14:textId="77777777" w:rsidR="0039341F" w:rsidRPr="0039341F" w:rsidRDefault="0039341F" w:rsidP="0039341F">
      <w:pPr>
        <w:ind w:left="709" w:hanging="709"/>
        <w:rPr>
          <w:rFonts w:cs="Times New Roman"/>
        </w:rPr>
      </w:pPr>
      <w:r w:rsidRPr="0039341F">
        <w:rPr>
          <w:rFonts w:cs="Times New Roman"/>
        </w:rPr>
        <w:t xml:space="preserve">Deleuze, G. (1987). </w:t>
      </w:r>
      <w:r w:rsidRPr="0039341F">
        <w:rPr>
          <w:rFonts w:cs="Times New Roman"/>
          <w:i/>
          <w:iCs/>
        </w:rPr>
        <w:t>Nietzsche y la filosofía</w:t>
      </w:r>
      <w:r w:rsidRPr="0039341F">
        <w:rPr>
          <w:rFonts w:cs="Times New Roman"/>
        </w:rPr>
        <w:t>. Anagrama.</w:t>
      </w:r>
    </w:p>
    <w:p w14:paraId="4D6293B5" w14:textId="77777777" w:rsidR="0039341F" w:rsidRPr="00556A8B" w:rsidRDefault="0039341F" w:rsidP="006C48BA">
      <w:pPr>
        <w:ind w:left="720" w:hanging="720"/>
        <w:jc w:val="both"/>
      </w:pPr>
      <w:r w:rsidRPr="00556A8B">
        <w:rPr>
          <w:rFonts w:eastAsia="Times New Roman" w:cs="Times New Roman"/>
        </w:rPr>
        <w:t xml:space="preserve">Deleuze, G. (1990a). </w:t>
      </w:r>
      <w:r w:rsidRPr="00556A8B">
        <w:rPr>
          <w:rFonts w:eastAsia="Times New Roman" w:cs="Times New Roman"/>
          <w:i/>
          <w:iCs/>
        </w:rPr>
        <w:t>Foucault.</w:t>
      </w:r>
      <w:r w:rsidRPr="00556A8B">
        <w:rPr>
          <w:rFonts w:eastAsia="Times New Roman" w:cs="Times New Roman"/>
        </w:rPr>
        <w:t xml:space="preserve"> Pre-Textos.</w:t>
      </w:r>
    </w:p>
    <w:p w14:paraId="59C95581" w14:textId="77777777" w:rsidR="0039341F" w:rsidRPr="00556A8B" w:rsidRDefault="0039341F" w:rsidP="006C48BA">
      <w:pPr>
        <w:ind w:left="720" w:hanging="720"/>
        <w:jc w:val="both"/>
      </w:pPr>
      <w:r w:rsidRPr="00556A8B">
        <w:rPr>
          <w:rFonts w:eastAsia="Times New Roman" w:cs="Times New Roman"/>
        </w:rPr>
        <w:t xml:space="preserve">Deleuze, G. (1990b). ¿Qué es un dispositivo? En </w:t>
      </w:r>
      <w:r w:rsidRPr="00556A8B">
        <w:rPr>
          <w:rFonts w:eastAsia="Times New Roman" w:cs="Times New Roman"/>
          <w:i/>
          <w:iCs/>
        </w:rPr>
        <w:t>Michel Foucault, filósofo</w:t>
      </w:r>
      <w:r w:rsidRPr="00556A8B">
        <w:rPr>
          <w:rFonts w:eastAsia="Times New Roman" w:cs="Times New Roman"/>
        </w:rPr>
        <w:t xml:space="preserve"> (pp. 155–163). Gedisa.</w:t>
      </w:r>
    </w:p>
    <w:p w14:paraId="1BE20C09" w14:textId="77777777" w:rsidR="0039341F" w:rsidRPr="00556A8B" w:rsidRDefault="0039341F" w:rsidP="006C48BA">
      <w:pPr>
        <w:ind w:left="720" w:hanging="720"/>
        <w:jc w:val="both"/>
      </w:pPr>
      <w:r w:rsidRPr="00556A8B">
        <w:rPr>
          <w:rFonts w:eastAsia="Times New Roman" w:cs="Times New Roman"/>
        </w:rPr>
        <w:t xml:space="preserve">Deleuze, G. (1990c). Post-scriptum sobre las sociedades de control. En </w:t>
      </w:r>
      <w:r w:rsidRPr="00556A8B">
        <w:rPr>
          <w:rFonts w:eastAsia="Times New Roman" w:cs="Times New Roman"/>
          <w:i/>
          <w:iCs/>
        </w:rPr>
        <w:t>Conversaciones</w:t>
      </w:r>
      <w:r w:rsidRPr="00556A8B">
        <w:rPr>
          <w:rFonts w:eastAsia="Times New Roman" w:cs="Times New Roman"/>
        </w:rPr>
        <w:t xml:space="preserve"> (pp. 253–260). Pre-Textos.</w:t>
      </w:r>
    </w:p>
    <w:p w14:paraId="49F46466" w14:textId="77777777" w:rsidR="0039341F" w:rsidRPr="00556A8B" w:rsidRDefault="0039341F" w:rsidP="00792085">
      <w:pPr>
        <w:ind w:firstLine="0"/>
        <w:rPr>
          <w:rFonts w:cs="Times New Roman"/>
        </w:rPr>
      </w:pPr>
      <w:r w:rsidRPr="00556A8B">
        <w:rPr>
          <w:rFonts w:cs="Times New Roman"/>
        </w:rPr>
        <w:t xml:space="preserve">Deleuze, G. (1995). </w:t>
      </w:r>
      <w:r w:rsidRPr="00556A8B">
        <w:rPr>
          <w:rFonts w:cs="Times New Roman"/>
          <w:i/>
          <w:iCs/>
        </w:rPr>
        <w:t>Conversaciones</w:t>
      </w:r>
      <w:r w:rsidRPr="00556A8B">
        <w:rPr>
          <w:rFonts w:cs="Times New Roman"/>
        </w:rPr>
        <w:t>. Pre-Textos.</w:t>
      </w:r>
    </w:p>
    <w:p w14:paraId="3FBC808F" w14:textId="77777777" w:rsidR="0039341F" w:rsidRPr="00556A8B" w:rsidRDefault="0039341F" w:rsidP="006C48BA">
      <w:pPr>
        <w:ind w:left="720" w:hanging="720"/>
        <w:jc w:val="both"/>
      </w:pPr>
      <w:r w:rsidRPr="00556A8B">
        <w:rPr>
          <w:rFonts w:eastAsia="Times New Roman" w:cs="Times New Roman"/>
        </w:rPr>
        <w:t xml:space="preserve">Deleuze, G. (2002). </w:t>
      </w:r>
      <w:r w:rsidRPr="00556A8B">
        <w:rPr>
          <w:rFonts w:eastAsia="Times New Roman" w:cs="Times New Roman"/>
          <w:i/>
          <w:iCs/>
        </w:rPr>
        <w:t>Lógica del sentido</w:t>
      </w:r>
      <w:r w:rsidRPr="00556A8B">
        <w:rPr>
          <w:rFonts w:eastAsia="Times New Roman" w:cs="Times New Roman"/>
        </w:rPr>
        <w:t xml:space="preserve"> (A. Jiménez Redondo, Trad.). Paidós. (Obra original publicada en 1969)</w:t>
      </w:r>
    </w:p>
    <w:p w14:paraId="3D9CD02E" w14:textId="77777777" w:rsidR="0039341F" w:rsidRPr="00556A8B" w:rsidRDefault="0039341F" w:rsidP="006C48BA">
      <w:pPr>
        <w:ind w:left="720" w:hanging="720"/>
        <w:jc w:val="both"/>
      </w:pPr>
      <w:r w:rsidRPr="00556A8B">
        <w:rPr>
          <w:rFonts w:eastAsia="Times New Roman" w:cs="Times New Roman"/>
        </w:rPr>
        <w:t xml:space="preserve">Deleuze, G. (2013). </w:t>
      </w:r>
      <w:r w:rsidRPr="00556A8B">
        <w:rPr>
          <w:rFonts w:eastAsia="Times New Roman" w:cs="Times New Roman"/>
          <w:i/>
          <w:iCs/>
        </w:rPr>
        <w:t>Nietzsche y la filosofía.</w:t>
      </w:r>
      <w:r w:rsidRPr="00556A8B">
        <w:rPr>
          <w:rFonts w:eastAsia="Times New Roman" w:cs="Times New Roman"/>
        </w:rPr>
        <w:t xml:space="preserve"> Ediciones Cactus.</w:t>
      </w:r>
    </w:p>
    <w:p w14:paraId="43EB5392" w14:textId="77777777" w:rsidR="0039341F" w:rsidRPr="00556A8B" w:rsidRDefault="0039341F" w:rsidP="006C48BA">
      <w:pPr>
        <w:ind w:left="720" w:hanging="720"/>
        <w:jc w:val="both"/>
      </w:pPr>
      <w:r w:rsidRPr="00556A8B">
        <w:rPr>
          <w:rFonts w:eastAsia="Times New Roman" w:cs="Times New Roman"/>
        </w:rPr>
        <w:t xml:space="preserve">Deleuze, G., &amp; Guattari, F. (2004). </w:t>
      </w:r>
      <w:r w:rsidRPr="00556A8B">
        <w:rPr>
          <w:rFonts w:eastAsia="Times New Roman" w:cs="Times New Roman"/>
          <w:i/>
          <w:iCs/>
        </w:rPr>
        <w:t>Mil mesetas: Capitalismo y esquizofrenia.</w:t>
      </w:r>
      <w:r w:rsidRPr="00556A8B">
        <w:rPr>
          <w:rFonts w:eastAsia="Times New Roman" w:cs="Times New Roman"/>
        </w:rPr>
        <w:t xml:space="preserve"> Pre-Textos.</w:t>
      </w:r>
    </w:p>
    <w:p w14:paraId="35F1E03B" w14:textId="77777777" w:rsidR="0039341F" w:rsidRPr="00556A8B" w:rsidRDefault="0039341F" w:rsidP="006C48BA">
      <w:pPr>
        <w:ind w:left="720" w:hanging="720"/>
        <w:jc w:val="both"/>
      </w:pPr>
      <w:r w:rsidRPr="00556A8B">
        <w:rPr>
          <w:rFonts w:eastAsia="Times New Roman" w:cs="Times New Roman"/>
        </w:rPr>
        <w:t xml:space="preserve">Demirtaş, A. S. (2020). Cognitive flexibility and mental health. </w:t>
      </w:r>
      <w:r w:rsidRPr="00556A8B">
        <w:rPr>
          <w:rFonts w:eastAsia="Times New Roman" w:cs="Times New Roman"/>
          <w:i/>
          <w:iCs/>
        </w:rPr>
        <w:t>Current Psychology, 39</w:t>
      </w:r>
      <w:r w:rsidRPr="00556A8B">
        <w:rPr>
          <w:rFonts w:eastAsia="Times New Roman" w:cs="Times New Roman"/>
        </w:rPr>
        <w:t>, 1–9. https://doi.org/10.6018/analesps.336681</w:t>
      </w:r>
    </w:p>
    <w:p w14:paraId="1B340942" w14:textId="77777777" w:rsidR="0039341F" w:rsidRPr="00556A8B" w:rsidRDefault="0039341F" w:rsidP="006C48BA">
      <w:pPr>
        <w:ind w:left="720" w:hanging="720"/>
        <w:jc w:val="both"/>
      </w:pPr>
      <w:r w:rsidRPr="00556A8B">
        <w:rPr>
          <w:rFonts w:eastAsia="Times New Roman" w:cs="Times New Roman"/>
        </w:rPr>
        <w:t xml:space="preserve">Denzin, N. K. (2003). </w:t>
      </w:r>
      <w:r w:rsidRPr="00556A8B">
        <w:rPr>
          <w:rFonts w:eastAsia="Times New Roman" w:cs="Times New Roman"/>
          <w:i/>
          <w:iCs/>
        </w:rPr>
        <w:t>Performance ethnography: Critical pedagogy and the politics of culture.</w:t>
      </w:r>
      <w:r w:rsidRPr="00556A8B">
        <w:rPr>
          <w:rFonts w:eastAsia="Times New Roman" w:cs="Times New Roman"/>
        </w:rPr>
        <w:t xml:space="preserve"> SAGE Publications.</w:t>
      </w:r>
    </w:p>
    <w:p w14:paraId="3653E9F1" w14:textId="77777777" w:rsidR="0039341F" w:rsidRPr="00556A8B" w:rsidRDefault="0039341F" w:rsidP="006C48BA">
      <w:pPr>
        <w:ind w:left="720" w:hanging="720"/>
        <w:jc w:val="both"/>
      </w:pPr>
      <w:r w:rsidRPr="00556A8B">
        <w:rPr>
          <w:rFonts w:eastAsia="Times New Roman" w:cs="Times New Roman"/>
        </w:rPr>
        <w:lastRenderedPageBreak/>
        <w:t xml:space="preserve">Deroncele-Acosta, A., Rojas-Vistorte, A. O., Sartor-Harada, A., Ulloa-Guerra, O., López-Mustelier, R., &amp; Cruzata-Martínez, A. (2024). Positive mental health of Latin American university professors: A scientific framework for intervention and improvement. </w:t>
      </w:r>
      <w:r w:rsidRPr="00556A8B">
        <w:rPr>
          <w:rFonts w:eastAsia="Times New Roman" w:cs="Times New Roman"/>
          <w:i/>
          <w:iCs/>
        </w:rPr>
        <w:t>Heliyon, 10</w:t>
      </w:r>
      <w:r w:rsidRPr="00556A8B">
        <w:rPr>
          <w:rFonts w:eastAsia="Times New Roman" w:cs="Times New Roman"/>
        </w:rPr>
        <w:t>(2), Artículo e24813. https://doi.org/10.1016/j.heliyon.2024.e24813</w:t>
      </w:r>
    </w:p>
    <w:p w14:paraId="4C428889" w14:textId="77777777" w:rsidR="0039341F" w:rsidRPr="00556A8B" w:rsidRDefault="0039341F" w:rsidP="006C48BA">
      <w:pPr>
        <w:spacing w:after="200"/>
        <w:ind w:left="720" w:hanging="720"/>
        <w:jc w:val="both"/>
      </w:pPr>
      <w:r w:rsidRPr="00556A8B">
        <w:rPr>
          <w:rFonts w:eastAsia="Times New Roman" w:cs="Times New Roman"/>
        </w:rPr>
        <w:t xml:space="preserve">Derrida, J. (1967). </w:t>
      </w:r>
      <w:r w:rsidRPr="00556A8B">
        <w:rPr>
          <w:rFonts w:eastAsia="Times New Roman" w:cs="Times New Roman"/>
          <w:i/>
          <w:iCs/>
        </w:rPr>
        <w:t>De la gramatología.</w:t>
      </w:r>
      <w:r w:rsidRPr="00556A8B">
        <w:rPr>
          <w:rFonts w:eastAsia="Times New Roman" w:cs="Times New Roman"/>
        </w:rPr>
        <w:t xml:space="preserve"> Les Éditions de Minuit. [Traducción al español: Siglo XXI, 1986]</w:t>
      </w:r>
    </w:p>
    <w:p w14:paraId="2F7CBC46" w14:textId="77777777" w:rsidR="0039341F" w:rsidRPr="00556A8B" w:rsidRDefault="0039341F" w:rsidP="006C48BA">
      <w:pPr>
        <w:ind w:left="720" w:hanging="720"/>
        <w:jc w:val="both"/>
      </w:pPr>
      <w:r w:rsidRPr="00556A8B">
        <w:rPr>
          <w:rFonts w:eastAsia="Times New Roman" w:cs="Times New Roman"/>
        </w:rPr>
        <w:t xml:space="preserve">Dewey, J. (1896). The reflex arc concept in psychology. </w:t>
      </w:r>
      <w:r w:rsidRPr="00556A8B">
        <w:rPr>
          <w:rFonts w:eastAsia="Times New Roman" w:cs="Times New Roman"/>
          <w:i/>
          <w:iCs/>
        </w:rPr>
        <w:t>Psychological Review, 3</w:t>
      </w:r>
      <w:r w:rsidRPr="00556A8B">
        <w:rPr>
          <w:rFonts w:eastAsia="Times New Roman" w:cs="Times New Roman"/>
        </w:rPr>
        <w:t>(4), 357–370. https://doi.org/10.1037/h0070405</w:t>
      </w:r>
    </w:p>
    <w:p w14:paraId="5F4F8E5D" w14:textId="77777777" w:rsidR="0039341F" w:rsidRPr="00556A8B" w:rsidRDefault="0039341F" w:rsidP="006C48BA">
      <w:pPr>
        <w:rPr>
          <w:rFonts w:cs="Times New Roman"/>
          <w:lang w:val="en-US"/>
        </w:rPr>
      </w:pPr>
      <w:r w:rsidRPr="00556A8B">
        <w:rPr>
          <w:rFonts w:cs="Times New Roman"/>
        </w:rPr>
        <w:t xml:space="preserve">Diener, E. (1984). </w:t>
      </w:r>
      <w:r w:rsidRPr="00556A8B">
        <w:rPr>
          <w:rFonts w:cs="Times New Roman"/>
          <w:lang w:val="en-US"/>
        </w:rPr>
        <w:t xml:space="preserve">Subjective well-being. </w:t>
      </w:r>
      <w:r w:rsidRPr="00556A8B">
        <w:rPr>
          <w:rFonts w:cs="Times New Roman"/>
          <w:i/>
          <w:iCs/>
          <w:lang w:val="en-US"/>
        </w:rPr>
        <w:t>Psychological Bulletin, 95</w:t>
      </w:r>
      <w:r w:rsidRPr="00556A8B">
        <w:rPr>
          <w:rFonts w:cs="Times New Roman"/>
          <w:lang w:val="en-US"/>
        </w:rPr>
        <w:t>(3), 542–575.</w:t>
      </w:r>
    </w:p>
    <w:p w14:paraId="0A1563D3" w14:textId="77777777" w:rsidR="0039341F" w:rsidRPr="00556A8B" w:rsidRDefault="0039341F" w:rsidP="006C48BA">
      <w:pPr>
        <w:rPr>
          <w:rFonts w:cs="Times New Roman"/>
          <w:lang w:val="en-US"/>
        </w:rPr>
      </w:pPr>
      <w:r w:rsidRPr="00556A8B">
        <w:rPr>
          <w:rFonts w:cs="Times New Roman"/>
          <w:lang w:val="en-US"/>
        </w:rPr>
        <w:t xml:space="preserve">Diener, E. (2000). Subjective well-being. </w:t>
      </w:r>
      <w:r w:rsidRPr="00556A8B">
        <w:rPr>
          <w:rFonts w:cs="Times New Roman"/>
          <w:i/>
          <w:iCs/>
          <w:lang w:val="en-US"/>
        </w:rPr>
        <w:t>American Psychologist, 55</w:t>
      </w:r>
      <w:r w:rsidRPr="00556A8B">
        <w:rPr>
          <w:rFonts w:cs="Times New Roman"/>
          <w:lang w:val="en-US"/>
        </w:rPr>
        <w:t>(1), 34–43.</w:t>
      </w:r>
    </w:p>
    <w:p w14:paraId="71A3478D" w14:textId="77777777" w:rsidR="0039341F" w:rsidRPr="00556A8B" w:rsidRDefault="0039341F" w:rsidP="006C48BA">
      <w:pPr>
        <w:ind w:left="720" w:hanging="720"/>
        <w:jc w:val="both"/>
      </w:pPr>
      <w:r w:rsidRPr="00556A8B">
        <w:rPr>
          <w:rFonts w:eastAsia="Times New Roman" w:cs="Times New Roman"/>
        </w:rPr>
        <w:t xml:space="preserve">Diener, E., Suh, E. M., Lucas, R. E., &amp; Smith, H. L. (1999). Subjective well-being: Three decades of progress. </w:t>
      </w:r>
      <w:r w:rsidRPr="00556A8B">
        <w:rPr>
          <w:rFonts w:eastAsia="Times New Roman" w:cs="Times New Roman"/>
          <w:i/>
          <w:iCs/>
        </w:rPr>
        <w:t>Psychological Bulletin, 125</w:t>
      </w:r>
      <w:r w:rsidRPr="00556A8B">
        <w:rPr>
          <w:rFonts w:eastAsia="Times New Roman" w:cs="Times New Roman"/>
        </w:rPr>
        <w:t>(2), 276–302. https://doi.org/10.1037/0033-2909.125.2.276</w:t>
      </w:r>
    </w:p>
    <w:p w14:paraId="1FFCEB61" w14:textId="77777777" w:rsidR="0039341F" w:rsidRPr="00556A8B" w:rsidRDefault="0039341F" w:rsidP="00641FDA">
      <w:pPr>
        <w:ind w:left="709" w:hanging="709"/>
        <w:rPr>
          <w:rFonts w:cs="Times New Roman"/>
          <w:lang w:val="en-US"/>
        </w:rPr>
      </w:pPr>
      <w:r w:rsidRPr="00556A8B">
        <w:rPr>
          <w:rFonts w:cs="Times New Roman"/>
          <w:lang w:val="en-US"/>
        </w:rPr>
        <w:t xml:space="preserve">Dodge, R., Daly, A., Huyton, J., y Sanders, L. (2012). The challenge of defining wellbeing. </w:t>
      </w:r>
      <w:r w:rsidRPr="00556A8B">
        <w:rPr>
          <w:rFonts w:cs="Times New Roman"/>
          <w:i/>
          <w:iCs/>
          <w:lang w:val="en-US"/>
        </w:rPr>
        <w:t>International Journal of Wellbeing, 2</w:t>
      </w:r>
      <w:r w:rsidRPr="00556A8B">
        <w:rPr>
          <w:rFonts w:cs="Times New Roman"/>
          <w:lang w:val="en-US"/>
        </w:rPr>
        <w:t>(3), 222–235.</w:t>
      </w:r>
    </w:p>
    <w:p w14:paraId="44DEA528" w14:textId="77777777" w:rsidR="0039341F" w:rsidRPr="0039341F" w:rsidRDefault="0039341F" w:rsidP="0039341F">
      <w:pPr>
        <w:ind w:left="709" w:hanging="709"/>
        <w:rPr>
          <w:rFonts w:cs="Times New Roman"/>
        </w:rPr>
      </w:pPr>
      <w:r w:rsidRPr="0039341F">
        <w:rPr>
          <w:rFonts w:cs="Times New Roman"/>
        </w:rPr>
        <w:t xml:space="preserve">Dueñas, G. (Comp.). (2011). </w:t>
      </w:r>
      <w:r w:rsidRPr="0039341F">
        <w:rPr>
          <w:rFonts w:cs="Times New Roman"/>
          <w:i/>
          <w:iCs/>
        </w:rPr>
        <w:t>La patologización de la infancia: ¿Niños o síndromes?</w:t>
      </w:r>
      <w:r w:rsidRPr="0039341F">
        <w:rPr>
          <w:rFonts w:cs="Times New Roman"/>
        </w:rPr>
        <w:t xml:space="preserve"> Noveduc.</w:t>
      </w:r>
    </w:p>
    <w:p w14:paraId="2C72BCDC" w14:textId="77777777" w:rsidR="0039341F" w:rsidRPr="0039341F" w:rsidRDefault="0039341F" w:rsidP="0039341F">
      <w:pPr>
        <w:ind w:left="709" w:hanging="709"/>
        <w:rPr>
          <w:rFonts w:cs="Times New Roman"/>
        </w:rPr>
      </w:pPr>
      <w:r w:rsidRPr="0039341F">
        <w:rPr>
          <w:rFonts w:cs="Times New Roman"/>
        </w:rPr>
        <w:t xml:space="preserve">Dueñas, G., &amp; Kligman, C. M. (2009). La patologización y medicalización de la infancia. Reflexiones acerca del impacto de ciertos discursos y prácticas de la Psicología y la Psicopedagogía en el ámbito educativo. </w:t>
      </w:r>
      <w:r w:rsidRPr="0039341F">
        <w:rPr>
          <w:rFonts w:cs="Times New Roman"/>
          <w:i/>
          <w:iCs/>
        </w:rPr>
        <w:t>Signos Universitarios</w:t>
      </w:r>
      <w:r w:rsidRPr="0039341F">
        <w:rPr>
          <w:rFonts w:cs="Times New Roman"/>
        </w:rPr>
        <w:t xml:space="preserve">, </w:t>
      </w:r>
      <w:r w:rsidRPr="0039341F">
        <w:rPr>
          <w:rFonts w:cs="Times New Roman"/>
          <w:i/>
          <w:iCs/>
        </w:rPr>
        <w:t>28</w:t>
      </w:r>
      <w:r w:rsidRPr="0039341F">
        <w:rPr>
          <w:rFonts w:cs="Times New Roman"/>
        </w:rPr>
        <w:t>(44), 121–136.</w:t>
      </w:r>
    </w:p>
    <w:p w14:paraId="48C408C8" w14:textId="77777777" w:rsidR="0039341F" w:rsidRPr="00556A8B" w:rsidRDefault="0039341F" w:rsidP="006C48BA">
      <w:pPr>
        <w:ind w:left="720" w:hanging="720"/>
        <w:jc w:val="both"/>
      </w:pPr>
      <w:r w:rsidRPr="00556A8B">
        <w:rPr>
          <w:rFonts w:eastAsia="Times New Roman" w:cs="Times New Roman"/>
        </w:rPr>
        <w:t xml:space="preserve">Ellis, A. (1987). </w:t>
      </w:r>
      <w:r w:rsidRPr="00556A8B">
        <w:rPr>
          <w:rFonts w:eastAsia="Times New Roman" w:cs="Times New Roman"/>
          <w:i/>
          <w:iCs/>
        </w:rPr>
        <w:t>Reason and emotion in psychotherapy</w:t>
      </w:r>
      <w:r w:rsidRPr="00556A8B">
        <w:rPr>
          <w:rFonts w:eastAsia="Times New Roman" w:cs="Times New Roman"/>
        </w:rPr>
        <w:t xml:space="preserve"> (Rev. ed.). Lyle Stuart.</w:t>
      </w:r>
    </w:p>
    <w:p w14:paraId="2391B7BA" w14:textId="77777777" w:rsidR="0039341F" w:rsidRPr="00556A8B" w:rsidRDefault="0039341F" w:rsidP="006C48BA">
      <w:pPr>
        <w:spacing w:after="200"/>
        <w:ind w:left="720" w:hanging="720"/>
        <w:jc w:val="both"/>
      </w:pPr>
      <w:r w:rsidRPr="00556A8B">
        <w:rPr>
          <w:rFonts w:eastAsia="Times New Roman" w:cs="Times New Roman"/>
        </w:rPr>
        <w:t xml:space="preserve">Emanuel, E. J., Wendler, D., &amp; Grady, C. (2008). An ethical framework for biomedical research. En E. J. Emanuel, C. C. Grady, R. A. Crouch, R. K. Lie, F. G. Miller y D. D. Wendler (Eds.), </w:t>
      </w:r>
      <w:r w:rsidRPr="00556A8B">
        <w:rPr>
          <w:rFonts w:eastAsia="Times New Roman" w:cs="Times New Roman"/>
          <w:i/>
          <w:iCs/>
        </w:rPr>
        <w:t>The Oxford textbook of clinical research ethics</w:t>
      </w:r>
      <w:r w:rsidRPr="00556A8B">
        <w:rPr>
          <w:rFonts w:eastAsia="Times New Roman" w:cs="Times New Roman"/>
        </w:rPr>
        <w:t xml:space="preserve"> (pp. 123–135). Oxford University Press.</w:t>
      </w:r>
    </w:p>
    <w:p w14:paraId="28421098" w14:textId="77777777" w:rsidR="0039341F" w:rsidRPr="00556A8B" w:rsidRDefault="0039341F" w:rsidP="006C48BA">
      <w:pPr>
        <w:ind w:left="720" w:hanging="720"/>
        <w:jc w:val="both"/>
      </w:pPr>
      <w:r w:rsidRPr="00556A8B">
        <w:rPr>
          <w:rFonts w:eastAsia="Times New Roman" w:cs="Times New Roman"/>
        </w:rPr>
        <w:t xml:space="preserve">Erikson, E. H. (1950). </w:t>
      </w:r>
      <w:r w:rsidRPr="00556A8B">
        <w:rPr>
          <w:rFonts w:eastAsia="Times New Roman" w:cs="Times New Roman"/>
          <w:i/>
          <w:iCs/>
        </w:rPr>
        <w:t>Childhood and society.</w:t>
      </w:r>
      <w:r w:rsidRPr="00556A8B">
        <w:rPr>
          <w:rFonts w:eastAsia="Times New Roman" w:cs="Times New Roman"/>
        </w:rPr>
        <w:t xml:space="preserve"> W. W. Norton &amp; Company.</w:t>
      </w:r>
    </w:p>
    <w:p w14:paraId="09836FA3" w14:textId="77777777" w:rsidR="0039341F" w:rsidRPr="0039341F" w:rsidRDefault="0039341F" w:rsidP="0039341F">
      <w:pPr>
        <w:ind w:left="709" w:hanging="709"/>
        <w:rPr>
          <w:rFonts w:cs="Times New Roman"/>
        </w:rPr>
      </w:pPr>
      <w:r w:rsidRPr="0039341F">
        <w:rPr>
          <w:rFonts w:cs="Times New Roman"/>
        </w:rPr>
        <w:t xml:space="preserve">Estrada Mesa, A. M., &amp; Molina Valencia, N. (2006). Critical construction of psychology in Colombia. En A. C. Brock (Ed.), </w:t>
      </w:r>
      <w:r w:rsidRPr="0039341F">
        <w:rPr>
          <w:rFonts w:cs="Times New Roman"/>
          <w:i/>
          <w:iCs/>
        </w:rPr>
        <w:t>Internationalizing the history of psychology</w:t>
      </w:r>
      <w:r w:rsidRPr="0039341F">
        <w:rPr>
          <w:rFonts w:cs="Times New Roman"/>
        </w:rPr>
        <w:t xml:space="preserve"> (pp. 247–263). New York University Press.</w:t>
      </w:r>
    </w:p>
    <w:p w14:paraId="125E8095" w14:textId="77777777" w:rsidR="0039341F" w:rsidRPr="00556A8B" w:rsidRDefault="0039341F" w:rsidP="006C48BA">
      <w:pPr>
        <w:ind w:left="720" w:hanging="720"/>
        <w:jc w:val="both"/>
      </w:pPr>
      <w:r w:rsidRPr="00556A8B">
        <w:rPr>
          <w:rFonts w:eastAsia="Times New Roman" w:cs="Times New Roman"/>
        </w:rPr>
        <w:t xml:space="preserve">Eysenck, H. J. (1953). </w:t>
      </w:r>
      <w:r w:rsidRPr="00556A8B">
        <w:rPr>
          <w:rFonts w:eastAsia="Times New Roman" w:cs="Times New Roman"/>
          <w:i/>
          <w:iCs/>
        </w:rPr>
        <w:t>The structure of human personality.</w:t>
      </w:r>
      <w:r w:rsidRPr="00556A8B">
        <w:rPr>
          <w:rFonts w:eastAsia="Times New Roman" w:cs="Times New Roman"/>
        </w:rPr>
        <w:t xml:space="preserve"> Methuen.</w:t>
      </w:r>
    </w:p>
    <w:p w14:paraId="4E7788BA" w14:textId="77777777" w:rsidR="0039341F" w:rsidRPr="00556A8B" w:rsidRDefault="0039341F" w:rsidP="006C48BA">
      <w:pPr>
        <w:ind w:left="720" w:hanging="720"/>
        <w:jc w:val="both"/>
      </w:pPr>
      <w:r w:rsidRPr="00556A8B">
        <w:rPr>
          <w:rFonts w:eastAsia="Times New Roman" w:cs="Times New Roman"/>
        </w:rPr>
        <w:t xml:space="preserve">Fazio, H., &amp; Fazio, D. (2018). El tiempo y el presente en la historia global y su época. </w:t>
      </w:r>
      <w:r w:rsidRPr="00556A8B">
        <w:rPr>
          <w:rFonts w:eastAsia="Times New Roman" w:cs="Times New Roman"/>
          <w:i/>
          <w:iCs/>
        </w:rPr>
        <w:t>Revista de Estudios Sociales, 1</w:t>
      </w:r>
      <w:r w:rsidRPr="00556A8B">
        <w:rPr>
          <w:rFonts w:eastAsia="Times New Roman" w:cs="Times New Roman"/>
        </w:rPr>
        <w:t>(65), 12–21. https://doi.org/10.7440/res65.2018.02</w:t>
      </w:r>
    </w:p>
    <w:p w14:paraId="5AC5350A" w14:textId="77777777" w:rsidR="0039341F" w:rsidRPr="00556A8B" w:rsidRDefault="0039341F" w:rsidP="006C48BA">
      <w:pPr>
        <w:ind w:left="720" w:hanging="720"/>
        <w:jc w:val="both"/>
      </w:pPr>
      <w:r w:rsidRPr="00556A8B">
        <w:rPr>
          <w:rFonts w:eastAsia="Times New Roman" w:cs="Times New Roman"/>
        </w:rPr>
        <w:lastRenderedPageBreak/>
        <w:t xml:space="preserve">Ferraro, A. R., &amp; Ross, S. D. (2017). Diagnóstico da escolarização no Brasil na perspectiva da exclusão escolar. </w:t>
      </w:r>
      <w:r w:rsidRPr="00556A8B">
        <w:rPr>
          <w:rFonts w:eastAsia="Times New Roman" w:cs="Times New Roman"/>
          <w:i/>
          <w:iCs/>
        </w:rPr>
        <w:t>Revista Brasileira de Educação, 22</w:t>
      </w:r>
      <w:r w:rsidRPr="00556A8B">
        <w:rPr>
          <w:rFonts w:eastAsia="Times New Roman" w:cs="Times New Roman"/>
        </w:rPr>
        <w:t>(71), 170–171. https://doi.org/10.1590/S1413-24782017227164</w:t>
      </w:r>
    </w:p>
    <w:p w14:paraId="5A90A8EF" w14:textId="77777777" w:rsidR="0039341F" w:rsidRPr="0039341F" w:rsidRDefault="0039341F" w:rsidP="0039341F">
      <w:pPr>
        <w:ind w:left="709" w:hanging="709"/>
        <w:rPr>
          <w:rFonts w:cs="Times New Roman"/>
        </w:rPr>
      </w:pPr>
      <w:r w:rsidRPr="0039341F">
        <w:rPr>
          <w:rFonts w:cs="Times New Roman"/>
        </w:rPr>
        <w:t xml:space="preserve">Ferreira, A. A. L. (2014). </w:t>
      </w:r>
      <w:r w:rsidRPr="0039341F">
        <w:rPr>
          <w:rFonts w:cs="Times New Roman"/>
          <w:i/>
          <w:iCs/>
        </w:rPr>
        <w:t>Teoría actor-red y psicología</w:t>
      </w:r>
      <w:r w:rsidRPr="0039341F">
        <w:rPr>
          <w:rFonts w:cs="Times New Roman"/>
        </w:rPr>
        <w:t>. Nau Editora.</w:t>
      </w:r>
    </w:p>
    <w:p w14:paraId="7AADACAA" w14:textId="77777777" w:rsidR="0039341F" w:rsidRPr="0039341F" w:rsidRDefault="0039341F" w:rsidP="0039341F">
      <w:pPr>
        <w:ind w:left="709" w:hanging="709"/>
        <w:rPr>
          <w:rFonts w:cs="Times New Roman"/>
        </w:rPr>
      </w:pPr>
      <w:r w:rsidRPr="0039341F">
        <w:rPr>
          <w:rFonts w:cs="Times New Roman"/>
        </w:rPr>
        <w:t xml:space="preserve">Ferreira, A. A. L. (2019). Psicologia, biopolítica e produção de subjetividades. En A. A. L. Ferreira (Ed.), </w:t>
      </w:r>
      <w:r w:rsidRPr="0039341F">
        <w:rPr>
          <w:rFonts w:cs="Times New Roman"/>
          <w:i/>
          <w:iCs/>
        </w:rPr>
        <w:t>Psicologia, políticas e subjetivação</w:t>
      </w:r>
      <w:r w:rsidRPr="0039341F">
        <w:rPr>
          <w:rFonts w:cs="Times New Roman"/>
        </w:rPr>
        <w:t xml:space="preserve"> (pp. 15–36). Editora Fiocruz.</w:t>
      </w:r>
    </w:p>
    <w:p w14:paraId="73C5FFC6" w14:textId="77777777" w:rsidR="0039341F" w:rsidRPr="00556A8B" w:rsidRDefault="0039341F" w:rsidP="006C48BA">
      <w:pPr>
        <w:ind w:left="720" w:hanging="720"/>
        <w:jc w:val="both"/>
      </w:pPr>
      <w:r w:rsidRPr="00556A8B">
        <w:rPr>
          <w:rFonts w:eastAsia="Times New Roman" w:cs="Times New Roman"/>
        </w:rPr>
        <w:t xml:space="preserve">Ferreyra, J. A., &amp; Castorina, J. A. (2020). La hegemonía del "sujeto cerebral" en el campo de la salud mental: Análisis crítico de sus implicancias epistemológicas, clínicas y políticas. </w:t>
      </w:r>
      <w:r w:rsidRPr="00556A8B">
        <w:rPr>
          <w:rFonts w:eastAsia="Times New Roman" w:cs="Times New Roman"/>
          <w:i/>
          <w:iCs/>
        </w:rPr>
        <w:t>Salud Mental y Comunidad,</w:t>
      </w:r>
      <w:r w:rsidRPr="00556A8B">
        <w:rPr>
          <w:rFonts w:eastAsia="Times New Roman" w:cs="Times New Roman"/>
        </w:rPr>
        <w:t xml:space="preserve"> (8), 12–33. https://doi.org/10.18294/smyc.2020.5095</w:t>
      </w:r>
    </w:p>
    <w:p w14:paraId="0DF23F40" w14:textId="77777777" w:rsidR="0039341F" w:rsidRPr="00556A8B" w:rsidRDefault="0039341F" w:rsidP="006C48BA">
      <w:pPr>
        <w:ind w:left="720" w:hanging="720"/>
        <w:jc w:val="both"/>
      </w:pPr>
      <w:r w:rsidRPr="00556A8B">
        <w:rPr>
          <w:rFonts w:eastAsia="Times New Roman" w:cs="Times New Roman"/>
        </w:rPr>
        <w:t xml:space="preserve">Ferreyra, J., &amp; Castorina, J. (2017). El aplicacionismo de las neurociencias en el campo de la salud mental. </w:t>
      </w:r>
      <w:r w:rsidRPr="00556A8B">
        <w:rPr>
          <w:rFonts w:eastAsia="Times New Roman" w:cs="Times New Roman"/>
          <w:i/>
          <w:iCs/>
        </w:rPr>
        <w:t>Investigaciones en Psicología, 22</w:t>
      </w:r>
      <w:r w:rsidRPr="00556A8B">
        <w:rPr>
          <w:rFonts w:eastAsia="Times New Roman" w:cs="Times New Roman"/>
        </w:rPr>
        <w:t>, 25–36.</w:t>
      </w:r>
    </w:p>
    <w:p w14:paraId="21713885" w14:textId="77777777" w:rsidR="0039341F" w:rsidRDefault="0039341F" w:rsidP="006C48BA">
      <w:pPr>
        <w:ind w:left="720" w:hanging="720"/>
        <w:jc w:val="both"/>
        <w:rPr>
          <w:rFonts w:eastAsia="Times New Roman" w:cs="Times New Roman"/>
        </w:rPr>
      </w:pPr>
      <w:r w:rsidRPr="00556A8B">
        <w:rPr>
          <w:rFonts w:eastAsia="Times New Roman" w:cs="Times New Roman"/>
        </w:rPr>
        <w:t xml:space="preserve">Figueiredo, L. (2002). </w:t>
      </w:r>
      <w:r w:rsidRPr="00556A8B">
        <w:rPr>
          <w:rFonts w:eastAsia="Times New Roman" w:cs="Times New Roman"/>
          <w:i/>
          <w:iCs/>
        </w:rPr>
        <w:t>Psicología, una introducción: Visión histórica de la psicología como ciencia.</w:t>
      </w:r>
      <w:r w:rsidRPr="00556A8B">
        <w:rPr>
          <w:rFonts w:eastAsia="Times New Roman" w:cs="Times New Roman"/>
        </w:rPr>
        <w:t xml:space="preserve"> USACH.</w:t>
      </w:r>
    </w:p>
    <w:p w14:paraId="0F91F79F" w14:textId="77777777" w:rsidR="0039341F" w:rsidRPr="00556A8B" w:rsidRDefault="0039341F" w:rsidP="006C48BA">
      <w:pPr>
        <w:ind w:left="720" w:hanging="720"/>
        <w:jc w:val="both"/>
      </w:pPr>
      <w:r w:rsidRPr="00AB6AA0">
        <w:t xml:space="preserve">Flick, U. (2007). </w:t>
      </w:r>
      <w:r w:rsidRPr="00AB6AA0">
        <w:rPr>
          <w:i/>
          <w:iCs/>
        </w:rPr>
        <w:t>Introducción a la investigación cualitativa.</w:t>
      </w:r>
      <w:r w:rsidRPr="00AB6AA0">
        <w:t xml:space="preserve"> Morata</w:t>
      </w:r>
    </w:p>
    <w:p w14:paraId="6DD5562A" w14:textId="77777777" w:rsidR="0039341F" w:rsidRPr="00556A8B" w:rsidRDefault="0039341F" w:rsidP="00E16CA7">
      <w:pPr>
        <w:ind w:firstLine="0"/>
        <w:rPr>
          <w:rFonts w:cs="Times New Roman"/>
        </w:rPr>
      </w:pPr>
      <w:r w:rsidRPr="00556A8B">
        <w:rPr>
          <w:rFonts w:cs="Times New Roman"/>
          <w:lang w:val="en-US"/>
        </w:rPr>
        <w:t xml:space="preserve">Foucault, M. (1969). </w:t>
      </w:r>
      <w:r w:rsidRPr="00556A8B">
        <w:rPr>
          <w:rFonts w:cs="Times New Roman"/>
          <w:i/>
          <w:iCs/>
          <w:lang w:val="en-US"/>
        </w:rPr>
        <w:t>La arqueología del saber</w:t>
      </w:r>
      <w:r w:rsidRPr="00556A8B">
        <w:rPr>
          <w:rFonts w:cs="Times New Roman"/>
          <w:lang w:val="en-US"/>
        </w:rPr>
        <w:t xml:space="preserve">. </w:t>
      </w:r>
      <w:r w:rsidRPr="00556A8B">
        <w:rPr>
          <w:rFonts w:cs="Times New Roman"/>
        </w:rPr>
        <w:t>Siglo XXI.</w:t>
      </w:r>
    </w:p>
    <w:p w14:paraId="2C578D6F" w14:textId="77777777" w:rsidR="0039341F" w:rsidRPr="00556A8B" w:rsidRDefault="0039341F" w:rsidP="006C48BA">
      <w:pPr>
        <w:ind w:left="720" w:hanging="720"/>
        <w:jc w:val="both"/>
      </w:pPr>
      <w:r w:rsidRPr="00556A8B">
        <w:rPr>
          <w:rFonts w:eastAsia="Times New Roman" w:cs="Times New Roman"/>
        </w:rPr>
        <w:t xml:space="preserve">Foucault, M. (1970). </w:t>
      </w:r>
      <w:r w:rsidRPr="00556A8B">
        <w:rPr>
          <w:rFonts w:eastAsia="Times New Roman" w:cs="Times New Roman"/>
          <w:i/>
          <w:iCs/>
        </w:rPr>
        <w:t>El orden del discurso.</w:t>
      </w:r>
      <w:r w:rsidRPr="00556A8B">
        <w:rPr>
          <w:rFonts w:eastAsia="Times New Roman" w:cs="Times New Roman"/>
        </w:rPr>
        <w:t xml:space="preserve"> Tusquets Editores.</w:t>
      </w:r>
    </w:p>
    <w:p w14:paraId="35D99EB0" w14:textId="77777777" w:rsidR="0039341F" w:rsidRPr="00556A8B" w:rsidRDefault="0039341F" w:rsidP="006C48BA">
      <w:pPr>
        <w:spacing w:after="200"/>
        <w:ind w:left="720" w:hanging="720"/>
        <w:jc w:val="both"/>
      </w:pPr>
      <w:r w:rsidRPr="00556A8B">
        <w:rPr>
          <w:rFonts w:eastAsia="Times New Roman" w:cs="Times New Roman"/>
        </w:rPr>
        <w:t xml:space="preserve">Foucault, M. (1971). Nietzsche, la généalogie, l'histoire. En </w:t>
      </w:r>
      <w:r w:rsidRPr="00556A8B">
        <w:rPr>
          <w:rFonts w:eastAsia="Times New Roman" w:cs="Times New Roman"/>
          <w:i/>
          <w:iCs/>
        </w:rPr>
        <w:t>Hommage à Jean Hyppolite</w:t>
      </w:r>
      <w:r w:rsidRPr="00556A8B">
        <w:rPr>
          <w:rFonts w:eastAsia="Times New Roman" w:cs="Times New Roman"/>
        </w:rPr>
        <w:t xml:space="preserve"> (pp. 145–172). Presses Universitaires de France. [En español: Nietzsche, la genealogía, la historia. En </w:t>
      </w:r>
      <w:r w:rsidRPr="00556A8B">
        <w:rPr>
          <w:rFonts w:eastAsia="Times New Roman" w:cs="Times New Roman"/>
          <w:i/>
          <w:iCs/>
        </w:rPr>
        <w:t>Microfísica del poder</w:t>
      </w:r>
      <w:r w:rsidRPr="00556A8B">
        <w:rPr>
          <w:rFonts w:eastAsia="Times New Roman" w:cs="Times New Roman"/>
        </w:rPr>
        <w:t xml:space="preserve"> (3a ed., pp. 7–29). La Piqueta, 1992]</w:t>
      </w:r>
    </w:p>
    <w:p w14:paraId="78A984B9" w14:textId="77777777" w:rsidR="0039341F" w:rsidRPr="00556A8B" w:rsidRDefault="0039341F" w:rsidP="00DC02C2">
      <w:pPr>
        <w:ind w:firstLine="0"/>
        <w:rPr>
          <w:rFonts w:cs="Times New Roman"/>
        </w:rPr>
      </w:pPr>
      <w:r w:rsidRPr="00556A8B">
        <w:rPr>
          <w:rFonts w:cs="Times New Roman"/>
        </w:rPr>
        <w:t xml:space="preserve">Foucault, M. (1975). </w:t>
      </w:r>
      <w:r w:rsidRPr="00556A8B">
        <w:rPr>
          <w:rFonts w:cs="Times New Roman"/>
          <w:i/>
          <w:iCs/>
        </w:rPr>
        <w:t>Vigilar y castigar</w:t>
      </w:r>
      <w:r w:rsidRPr="00556A8B">
        <w:rPr>
          <w:rFonts w:cs="Times New Roman"/>
        </w:rPr>
        <w:t>. Siglo XXI.</w:t>
      </w:r>
    </w:p>
    <w:p w14:paraId="1A55B5A7" w14:textId="77777777" w:rsidR="0039341F" w:rsidRPr="00556A8B" w:rsidRDefault="0039341F" w:rsidP="00DC02C2">
      <w:pPr>
        <w:ind w:firstLine="0"/>
        <w:rPr>
          <w:rFonts w:cs="Times New Roman"/>
        </w:rPr>
      </w:pPr>
      <w:r w:rsidRPr="00556A8B">
        <w:rPr>
          <w:rFonts w:cs="Times New Roman"/>
        </w:rPr>
        <w:t xml:space="preserve">Foucault, M. (1976). </w:t>
      </w:r>
      <w:r w:rsidRPr="00556A8B">
        <w:rPr>
          <w:rFonts w:cs="Times New Roman"/>
          <w:i/>
          <w:iCs/>
        </w:rPr>
        <w:t>Historia de la sexualidad I: La voluntad de saber</w:t>
      </w:r>
      <w:r w:rsidRPr="00556A8B">
        <w:rPr>
          <w:rFonts w:cs="Times New Roman"/>
        </w:rPr>
        <w:t>. Siglo XXI.</w:t>
      </w:r>
    </w:p>
    <w:p w14:paraId="652698AA" w14:textId="77777777" w:rsidR="0039341F" w:rsidRPr="00556A8B" w:rsidRDefault="0039341F" w:rsidP="006C48BA">
      <w:pPr>
        <w:ind w:left="720" w:hanging="720"/>
        <w:jc w:val="both"/>
      </w:pPr>
      <w:r w:rsidRPr="00556A8B">
        <w:rPr>
          <w:rFonts w:eastAsia="Times New Roman" w:cs="Times New Roman"/>
        </w:rPr>
        <w:t xml:space="preserve">Foucault, M. (1977). El juego de Michel Foucault. En </w:t>
      </w:r>
      <w:r w:rsidRPr="00556A8B">
        <w:rPr>
          <w:rFonts w:eastAsia="Times New Roman" w:cs="Times New Roman"/>
          <w:i/>
          <w:iCs/>
        </w:rPr>
        <w:t>Dits et écrits</w:t>
      </w:r>
      <w:r w:rsidRPr="00556A8B">
        <w:rPr>
          <w:rFonts w:eastAsia="Times New Roman" w:cs="Times New Roman"/>
        </w:rPr>
        <w:t xml:space="preserve"> (Vol. III, pp. 298–329). Gallimard.</w:t>
      </w:r>
    </w:p>
    <w:p w14:paraId="14BB9929" w14:textId="77777777" w:rsidR="0039341F" w:rsidRPr="00556A8B" w:rsidRDefault="0039341F" w:rsidP="00DC02C2">
      <w:pPr>
        <w:ind w:firstLine="0"/>
        <w:rPr>
          <w:rFonts w:cs="Times New Roman"/>
        </w:rPr>
      </w:pPr>
      <w:r w:rsidRPr="00556A8B">
        <w:rPr>
          <w:rFonts w:cs="Times New Roman"/>
        </w:rPr>
        <w:t xml:space="preserve">Foucault, M. (1981). </w:t>
      </w:r>
      <w:r w:rsidRPr="00556A8B">
        <w:rPr>
          <w:rFonts w:cs="Times New Roman"/>
          <w:i/>
          <w:iCs/>
        </w:rPr>
        <w:t>El nacimiento de la clínica</w:t>
      </w:r>
      <w:r w:rsidRPr="00556A8B">
        <w:rPr>
          <w:rFonts w:cs="Times New Roman"/>
        </w:rPr>
        <w:t>. Siglo XXI.</w:t>
      </w:r>
    </w:p>
    <w:p w14:paraId="7BEF86D8" w14:textId="77777777" w:rsidR="0039341F" w:rsidRPr="00556A8B" w:rsidRDefault="0039341F" w:rsidP="006C48BA">
      <w:pPr>
        <w:spacing w:after="200"/>
        <w:ind w:left="720" w:hanging="720"/>
        <w:jc w:val="both"/>
      </w:pPr>
      <w:r w:rsidRPr="00556A8B">
        <w:rPr>
          <w:rFonts w:eastAsia="Times New Roman" w:cs="Times New Roman"/>
        </w:rPr>
        <w:t xml:space="preserve">Foucault, M. (1982). The subject and power. </w:t>
      </w:r>
      <w:r w:rsidRPr="00556A8B">
        <w:rPr>
          <w:rFonts w:eastAsia="Times New Roman" w:cs="Times New Roman"/>
          <w:i/>
          <w:iCs/>
        </w:rPr>
        <w:t>Critical Inquiry, 8</w:t>
      </w:r>
      <w:r w:rsidRPr="00556A8B">
        <w:rPr>
          <w:rFonts w:eastAsia="Times New Roman" w:cs="Times New Roman"/>
        </w:rPr>
        <w:t>(4), 777–795. https://doi.org/10.1086/448181</w:t>
      </w:r>
    </w:p>
    <w:p w14:paraId="2F14FB37" w14:textId="77777777" w:rsidR="0039341F" w:rsidRPr="00556A8B" w:rsidRDefault="0039341F" w:rsidP="006C48BA">
      <w:pPr>
        <w:ind w:left="720" w:hanging="720"/>
        <w:jc w:val="both"/>
      </w:pPr>
      <w:r w:rsidRPr="00556A8B">
        <w:rPr>
          <w:rFonts w:eastAsia="Times New Roman" w:cs="Times New Roman"/>
        </w:rPr>
        <w:t xml:space="preserve">Foucault, M. (1984a). </w:t>
      </w:r>
      <w:r w:rsidRPr="00556A8B">
        <w:rPr>
          <w:rFonts w:eastAsia="Times New Roman" w:cs="Times New Roman"/>
          <w:i/>
          <w:iCs/>
        </w:rPr>
        <w:t>Historia de la sexualidad. Vol. II: El uso de los placeres.</w:t>
      </w:r>
      <w:r w:rsidRPr="00556A8B">
        <w:rPr>
          <w:rFonts w:eastAsia="Times New Roman" w:cs="Times New Roman"/>
        </w:rPr>
        <w:t xml:space="preserve"> Siglo XXI Editores.</w:t>
      </w:r>
    </w:p>
    <w:p w14:paraId="52F63270" w14:textId="77777777" w:rsidR="0039341F" w:rsidRPr="00556A8B" w:rsidRDefault="0039341F" w:rsidP="006C48BA">
      <w:pPr>
        <w:ind w:left="720" w:hanging="720"/>
        <w:jc w:val="both"/>
      </w:pPr>
      <w:r w:rsidRPr="00556A8B">
        <w:rPr>
          <w:rFonts w:eastAsia="Times New Roman" w:cs="Times New Roman"/>
        </w:rPr>
        <w:t xml:space="preserve">Foucault, M. (1984b). </w:t>
      </w:r>
      <w:r w:rsidRPr="00556A8B">
        <w:rPr>
          <w:rFonts w:eastAsia="Times New Roman" w:cs="Times New Roman"/>
          <w:i/>
          <w:iCs/>
        </w:rPr>
        <w:t>Historia de la sexualidad. Vol. III: La inquietud de sí.</w:t>
      </w:r>
      <w:r w:rsidRPr="00556A8B">
        <w:rPr>
          <w:rFonts w:eastAsia="Times New Roman" w:cs="Times New Roman"/>
        </w:rPr>
        <w:t xml:space="preserve"> Siglo XXI Editores.</w:t>
      </w:r>
    </w:p>
    <w:p w14:paraId="49F9DB23" w14:textId="77777777" w:rsidR="0039341F" w:rsidRPr="00556A8B" w:rsidRDefault="0039341F" w:rsidP="00DC02C2">
      <w:pPr>
        <w:ind w:firstLine="0"/>
        <w:rPr>
          <w:rFonts w:cs="Times New Roman"/>
        </w:rPr>
      </w:pPr>
      <w:r w:rsidRPr="00556A8B">
        <w:rPr>
          <w:rFonts w:cs="Times New Roman"/>
        </w:rPr>
        <w:t xml:space="preserve">Foucault, M. (1992). </w:t>
      </w:r>
      <w:r w:rsidRPr="00556A8B">
        <w:rPr>
          <w:rFonts w:cs="Times New Roman"/>
          <w:i/>
          <w:iCs/>
        </w:rPr>
        <w:t>Microfísica del poder</w:t>
      </w:r>
      <w:r w:rsidRPr="00556A8B">
        <w:rPr>
          <w:rFonts w:cs="Times New Roman"/>
        </w:rPr>
        <w:t>. La Piqueta.</w:t>
      </w:r>
    </w:p>
    <w:p w14:paraId="1158AF80" w14:textId="77777777" w:rsidR="0039341F" w:rsidRPr="00556A8B" w:rsidRDefault="0039341F" w:rsidP="006C48BA">
      <w:pPr>
        <w:ind w:left="720" w:hanging="720"/>
        <w:jc w:val="both"/>
      </w:pPr>
      <w:r w:rsidRPr="00556A8B">
        <w:rPr>
          <w:rFonts w:eastAsia="Times New Roman" w:cs="Times New Roman"/>
        </w:rPr>
        <w:t xml:space="preserve">Foucault, M. (1994). ¿Qué es la Ilustración? En </w:t>
      </w:r>
      <w:r w:rsidRPr="00556A8B">
        <w:rPr>
          <w:rFonts w:eastAsia="Times New Roman" w:cs="Times New Roman"/>
          <w:i/>
          <w:iCs/>
        </w:rPr>
        <w:t>Estética, ética y hermenéutica.</w:t>
      </w:r>
      <w:r w:rsidRPr="00556A8B">
        <w:rPr>
          <w:rFonts w:eastAsia="Times New Roman" w:cs="Times New Roman"/>
        </w:rPr>
        <w:t xml:space="preserve"> Paidós.</w:t>
      </w:r>
    </w:p>
    <w:p w14:paraId="1251768D" w14:textId="77777777" w:rsidR="0039341F" w:rsidRPr="00556A8B" w:rsidRDefault="0039341F" w:rsidP="006C48BA">
      <w:pPr>
        <w:ind w:left="720" w:hanging="720"/>
        <w:jc w:val="both"/>
      </w:pPr>
      <w:r w:rsidRPr="00556A8B">
        <w:rPr>
          <w:rFonts w:eastAsia="Times New Roman" w:cs="Times New Roman"/>
        </w:rPr>
        <w:t xml:space="preserve">Foucault, M. (1996). </w:t>
      </w:r>
      <w:r w:rsidRPr="00556A8B">
        <w:rPr>
          <w:rFonts w:eastAsia="Times New Roman" w:cs="Times New Roman"/>
          <w:i/>
          <w:iCs/>
        </w:rPr>
        <w:t>La verdad y las formas jurídicas</w:t>
      </w:r>
      <w:r w:rsidRPr="00556A8B">
        <w:rPr>
          <w:rFonts w:eastAsia="Times New Roman" w:cs="Times New Roman"/>
        </w:rPr>
        <w:t xml:space="preserve"> (Ó. Terán, Comp.). Gedisa.</w:t>
      </w:r>
    </w:p>
    <w:p w14:paraId="5A3DC9C6" w14:textId="77777777" w:rsidR="0039341F" w:rsidRPr="00556A8B" w:rsidRDefault="0039341F" w:rsidP="00DC02C2">
      <w:pPr>
        <w:ind w:firstLine="0"/>
        <w:rPr>
          <w:rFonts w:cs="Times New Roman"/>
        </w:rPr>
      </w:pPr>
      <w:r w:rsidRPr="00556A8B">
        <w:rPr>
          <w:rFonts w:cs="Times New Roman"/>
        </w:rPr>
        <w:lastRenderedPageBreak/>
        <w:t xml:space="preserve">Foucault, M. (2002). </w:t>
      </w:r>
      <w:r w:rsidRPr="00556A8B">
        <w:rPr>
          <w:rFonts w:cs="Times New Roman"/>
          <w:i/>
          <w:iCs/>
        </w:rPr>
        <w:t>La hermenéutica del sujeto</w:t>
      </w:r>
      <w:r w:rsidRPr="00556A8B">
        <w:rPr>
          <w:rFonts w:cs="Times New Roman"/>
        </w:rPr>
        <w:t>. Fondo de Cultura Económica.</w:t>
      </w:r>
    </w:p>
    <w:p w14:paraId="0F72A6DF" w14:textId="77777777" w:rsidR="0039341F" w:rsidRPr="00556A8B" w:rsidRDefault="0039341F" w:rsidP="00DC02C2">
      <w:pPr>
        <w:ind w:firstLine="0"/>
        <w:rPr>
          <w:rFonts w:cs="Times New Roman"/>
        </w:rPr>
      </w:pPr>
      <w:r w:rsidRPr="00556A8B">
        <w:rPr>
          <w:rFonts w:cs="Times New Roman"/>
        </w:rPr>
        <w:t xml:space="preserve">Foucault, M. (2006). </w:t>
      </w:r>
      <w:r w:rsidRPr="00556A8B">
        <w:rPr>
          <w:rFonts w:cs="Times New Roman"/>
          <w:i/>
          <w:iCs/>
        </w:rPr>
        <w:t>Seguridad, territorio, población</w:t>
      </w:r>
      <w:r w:rsidRPr="00556A8B">
        <w:rPr>
          <w:rFonts w:cs="Times New Roman"/>
        </w:rPr>
        <w:t>. Fondo de Cultura Económica.</w:t>
      </w:r>
    </w:p>
    <w:p w14:paraId="3C7868BE" w14:textId="77777777" w:rsidR="0039341F" w:rsidRPr="00556A8B" w:rsidRDefault="0039341F" w:rsidP="00DC02C2">
      <w:pPr>
        <w:ind w:firstLine="0"/>
        <w:rPr>
          <w:rFonts w:cs="Times New Roman"/>
        </w:rPr>
      </w:pPr>
      <w:r w:rsidRPr="00556A8B">
        <w:rPr>
          <w:rFonts w:cs="Times New Roman"/>
        </w:rPr>
        <w:t xml:space="preserve">Foucault, M. (2007). </w:t>
      </w:r>
      <w:r w:rsidRPr="00556A8B">
        <w:rPr>
          <w:rFonts w:cs="Times New Roman"/>
          <w:i/>
          <w:iCs/>
        </w:rPr>
        <w:t>El poder psiquiátrico</w:t>
      </w:r>
      <w:r w:rsidRPr="00556A8B">
        <w:rPr>
          <w:rFonts w:cs="Times New Roman"/>
        </w:rPr>
        <w:t>. Fondo de Cultura Económica.</w:t>
      </w:r>
    </w:p>
    <w:p w14:paraId="72570F8C" w14:textId="77777777" w:rsidR="0039341F" w:rsidRPr="00556A8B" w:rsidRDefault="0039341F" w:rsidP="00DC02C2">
      <w:pPr>
        <w:ind w:firstLine="0"/>
        <w:rPr>
          <w:rFonts w:cs="Times New Roman"/>
        </w:rPr>
      </w:pPr>
      <w:r w:rsidRPr="00556A8B">
        <w:rPr>
          <w:rFonts w:cs="Times New Roman"/>
        </w:rPr>
        <w:t xml:space="preserve">Foucault, M. (2008). </w:t>
      </w:r>
      <w:r>
        <w:rPr>
          <w:rFonts w:cs="Times New Roman"/>
          <w:i/>
          <w:iCs/>
        </w:rPr>
        <w:t>Prácticas de sí</w:t>
      </w:r>
      <w:r w:rsidRPr="00556A8B">
        <w:rPr>
          <w:rFonts w:cs="Times New Roman"/>
        </w:rPr>
        <w:t>. Paidós.</w:t>
      </w:r>
    </w:p>
    <w:p w14:paraId="10FC557D" w14:textId="77777777" w:rsidR="0039341F" w:rsidRPr="00556A8B" w:rsidRDefault="0039341F" w:rsidP="006C48BA">
      <w:pPr>
        <w:ind w:left="720" w:hanging="720"/>
        <w:jc w:val="both"/>
      </w:pPr>
      <w:r w:rsidRPr="00556A8B">
        <w:rPr>
          <w:rFonts w:eastAsia="Times New Roman" w:cs="Times New Roman"/>
        </w:rPr>
        <w:t xml:space="preserve">Foucault, M. (2009). </w:t>
      </w:r>
      <w:r w:rsidRPr="00556A8B">
        <w:rPr>
          <w:rFonts w:eastAsia="Times New Roman" w:cs="Times New Roman"/>
          <w:i/>
          <w:iCs/>
        </w:rPr>
        <w:t>El gobierno de sí y de los otros: Curso en el Collège de France (1982–1983).</w:t>
      </w:r>
      <w:r w:rsidRPr="00556A8B">
        <w:rPr>
          <w:rFonts w:eastAsia="Times New Roman" w:cs="Times New Roman"/>
        </w:rPr>
        <w:t xml:space="preserve"> Fondo de Cultura Económica.</w:t>
      </w:r>
    </w:p>
    <w:p w14:paraId="3B6857FB" w14:textId="77777777" w:rsidR="0039341F" w:rsidRPr="00556A8B" w:rsidRDefault="0039341F" w:rsidP="00DC02C2">
      <w:pPr>
        <w:ind w:firstLine="0"/>
        <w:rPr>
          <w:rFonts w:cs="Times New Roman"/>
        </w:rPr>
      </w:pPr>
      <w:r w:rsidRPr="00556A8B">
        <w:rPr>
          <w:rFonts w:cs="Times New Roman"/>
        </w:rPr>
        <w:t xml:space="preserve">Foucault, M. (2009b). </w:t>
      </w:r>
      <w:r w:rsidRPr="00556A8B">
        <w:rPr>
          <w:rFonts w:cs="Times New Roman"/>
          <w:i/>
          <w:iCs/>
        </w:rPr>
        <w:t>Nacimiento de la biopolítica</w:t>
      </w:r>
      <w:r w:rsidRPr="00556A8B">
        <w:rPr>
          <w:rFonts w:cs="Times New Roman"/>
        </w:rPr>
        <w:t>. Fondo de Cultura Económica.</w:t>
      </w:r>
    </w:p>
    <w:p w14:paraId="2D03FB2C" w14:textId="77777777" w:rsidR="0039341F" w:rsidRPr="00556A8B" w:rsidRDefault="0039341F" w:rsidP="006C48BA">
      <w:pPr>
        <w:ind w:left="720" w:hanging="720"/>
        <w:jc w:val="both"/>
      </w:pPr>
      <w:r w:rsidRPr="00556A8B">
        <w:rPr>
          <w:rFonts w:eastAsia="Times New Roman" w:cs="Times New Roman"/>
        </w:rPr>
        <w:t xml:space="preserve">Foucault, M. (2015). </w:t>
      </w:r>
      <w:r w:rsidRPr="00556A8B">
        <w:rPr>
          <w:rFonts w:eastAsia="Times New Roman" w:cs="Times New Roman"/>
          <w:i/>
          <w:iCs/>
        </w:rPr>
        <w:t>Historia de la locura en la época clásica, II.</w:t>
      </w:r>
      <w:r w:rsidRPr="00556A8B">
        <w:rPr>
          <w:rFonts w:eastAsia="Times New Roman" w:cs="Times New Roman"/>
        </w:rPr>
        <w:t xml:space="preserve"> Fondo de Cultura Económica.</w:t>
      </w:r>
    </w:p>
    <w:p w14:paraId="0CC7894D" w14:textId="77777777" w:rsidR="0039341F" w:rsidRPr="00556A8B" w:rsidRDefault="0039341F" w:rsidP="006C48BA">
      <w:pPr>
        <w:ind w:left="720" w:hanging="720"/>
        <w:jc w:val="both"/>
      </w:pPr>
      <w:r w:rsidRPr="00556A8B">
        <w:rPr>
          <w:rFonts w:eastAsia="Times New Roman" w:cs="Times New Roman"/>
        </w:rPr>
        <w:t xml:space="preserve">Foucault, M. (2016). </w:t>
      </w:r>
      <w:r w:rsidRPr="00556A8B">
        <w:rPr>
          <w:rFonts w:eastAsia="Times New Roman" w:cs="Times New Roman"/>
          <w:i/>
          <w:iCs/>
        </w:rPr>
        <w:t>Enfermedad mental y psicología.</w:t>
      </w:r>
      <w:r w:rsidRPr="00556A8B">
        <w:rPr>
          <w:rFonts w:eastAsia="Times New Roman" w:cs="Times New Roman"/>
        </w:rPr>
        <w:t xml:space="preserve"> Paidós.</w:t>
      </w:r>
    </w:p>
    <w:p w14:paraId="5DEAF8EE" w14:textId="77777777" w:rsidR="0039341F" w:rsidRPr="00556A8B" w:rsidRDefault="0039341F" w:rsidP="006C48BA">
      <w:pPr>
        <w:ind w:left="720" w:hanging="720"/>
        <w:jc w:val="both"/>
      </w:pPr>
      <w:r w:rsidRPr="00556A8B">
        <w:rPr>
          <w:rFonts w:eastAsia="Times New Roman" w:cs="Times New Roman"/>
        </w:rPr>
        <w:t xml:space="preserve">Foucault, M. (2023). </w:t>
      </w:r>
      <w:r w:rsidRPr="00556A8B">
        <w:rPr>
          <w:rFonts w:eastAsia="Times New Roman" w:cs="Times New Roman"/>
          <w:i/>
          <w:iCs/>
        </w:rPr>
        <w:t>Los anormales: Curso en el Collège de France (1974–1975).</w:t>
      </w:r>
      <w:r w:rsidRPr="00556A8B">
        <w:rPr>
          <w:rFonts w:eastAsia="Times New Roman" w:cs="Times New Roman"/>
        </w:rPr>
        <w:t xml:space="preserve"> Fondo de Cultura Económica.</w:t>
      </w:r>
    </w:p>
    <w:p w14:paraId="1A5CB7E0" w14:textId="77777777" w:rsidR="0039341F" w:rsidRPr="00556A8B" w:rsidRDefault="0039341F" w:rsidP="00DC02C2">
      <w:pPr>
        <w:ind w:firstLine="0"/>
        <w:rPr>
          <w:rFonts w:cs="Times New Roman"/>
        </w:rPr>
      </w:pPr>
      <w:r w:rsidRPr="00556A8B">
        <w:rPr>
          <w:rFonts w:cs="Times New Roman"/>
        </w:rPr>
        <w:t xml:space="preserve">Frances, A. (2014). </w:t>
      </w:r>
      <w:r w:rsidRPr="00556A8B">
        <w:rPr>
          <w:rFonts w:cs="Times New Roman"/>
          <w:i/>
          <w:iCs/>
        </w:rPr>
        <w:t>¿Somos todos enfermos mentales?</w:t>
      </w:r>
      <w:r w:rsidRPr="00556A8B">
        <w:rPr>
          <w:rFonts w:cs="Times New Roman"/>
        </w:rPr>
        <w:t xml:space="preserve"> Ariel.</w:t>
      </w:r>
    </w:p>
    <w:p w14:paraId="7206D80D" w14:textId="77777777" w:rsidR="0039341F" w:rsidRPr="00556A8B" w:rsidRDefault="0039341F" w:rsidP="006C48BA">
      <w:pPr>
        <w:ind w:left="720" w:hanging="720"/>
        <w:jc w:val="both"/>
      </w:pPr>
      <w:r w:rsidRPr="00556A8B">
        <w:rPr>
          <w:rFonts w:eastAsia="Times New Roman" w:cs="Times New Roman"/>
        </w:rPr>
        <w:t xml:space="preserve">Frankl, V. E. (1988). </w:t>
      </w:r>
      <w:r w:rsidRPr="00556A8B">
        <w:rPr>
          <w:rFonts w:eastAsia="Times New Roman" w:cs="Times New Roman"/>
          <w:i/>
          <w:iCs/>
        </w:rPr>
        <w:t>La voluntad de sentido.</w:t>
      </w:r>
      <w:r w:rsidRPr="00556A8B">
        <w:rPr>
          <w:rFonts w:eastAsia="Times New Roman" w:cs="Times New Roman"/>
        </w:rPr>
        <w:t xml:space="preserve"> Herder.</w:t>
      </w:r>
    </w:p>
    <w:p w14:paraId="0B9B5619" w14:textId="77777777" w:rsidR="0039341F" w:rsidRPr="00556A8B" w:rsidRDefault="0039341F" w:rsidP="006C48BA">
      <w:pPr>
        <w:ind w:left="720" w:hanging="720"/>
        <w:jc w:val="both"/>
      </w:pPr>
      <w:r w:rsidRPr="00556A8B">
        <w:rPr>
          <w:rFonts w:eastAsia="Times New Roman" w:cs="Times New Roman"/>
        </w:rPr>
        <w:t xml:space="preserve">Frankl, V. E. (1998). </w:t>
      </w:r>
      <w:r w:rsidRPr="00556A8B">
        <w:rPr>
          <w:rFonts w:eastAsia="Times New Roman" w:cs="Times New Roman"/>
          <w:i/>
          <w:iCs/>
        </w:rPr>
        <w:t>El hombre en busca de sentido.</w:t>
      </w:r>
      <w:r w:rsidRPr="00556A8B">
        <w:rPr>
          <w:rFonts w:eastAsia="Times New Roman" w:cs="Times New Roman"/>
        </w:rPr>
        <w:t xml:space="preserve"> Herder.</w:t>
      </w:r>
    </w:p>
    <w:p w14:paraId="6142BBCC" w14:textId="77777777" w:rsidR="0039341F" w:rsidRPr="00556A8B" w:rsidRDefault="0039341F" w:rsidP="006C48BA">
      <w:pPr>
        <w:ind w:left="720" w:hanging="720"/>
        <w:jc w:val="both"/>
      </w:pPr>
      <w:r w:rsidRPr="00556A8B">
        <w:rPr>
          <w:rFonts w:eastAsia="Times New Roman" w:cs="Times New Roman"/>
        </w:rPr>
        <w:t xml:space="preserve">Freud, S. (1917). </w:t>
      </w:r>
      <w:r w:rsidRPr="00556A8B">
        <w:rPr>
          <w:rFonts w:eastAsia="Times New Roman" w:cs="Times New Roman"/>
          <w:i/>
          <w:iCs/>
        </w:rPr>
        <w:t>Conferencias de introducción al psicoanálisis</w:t>
      </w:r>
      <w:r w:rsidRPr="00556A8B">
        <w:rPr>
          <w:rFonts w:eastAsia="Times New Roman" w:cs="Times New Roman"/>
        </w:rPr>
        <w:t xml:space="preserve"> (Vol. 16). Amorrortu. (Trabajo original publicado en 1916–1917)</w:t>
      </w:r>
    </w:p>
    <w:p w14:paraId="582B5C39" w14:textId="77777777" w:rsidR="0039341F" w:rsidRPr="00556A8B" w:rsidRDefault="0039341F" w:rsidP="006C48BA">
      <w:pPr>
        <w:ind w:left="720" w:hanging="720"/>
        <w:jc w:val="both"/>
      </w:pPr>
      <w:r w:rsidRPr="00556A8B">
        <w:rPr>
          <w:rFonts w:eastAsia="Times New Roman" w:cs="Times New Roman"/>
        </w:rPr>
        <w:t xml:space="preserve">Freud, S. (1923). </w:t>
      </w:r>
      <w:r w:rsidRPr="00556A8B">
        <w:rPr>
          <w:rFonts w:eastAsia="Times New Roman" w:cs="Times New Roman"/>
          <w:i/>
          <w:iCs/>
        </w:rPr>
        <w:t>El yo y el ello</w:t>
      </w:r>
      <w:r w:rsidRPr="00556A8B">
        <w:rPr>
          <w:rFonts w:eastAsia="Times New Roman" w:cs="Times New Roman"/>
        </w:rPr>
        <w:t xml:space="preserve"> (Vol. 19). Amorrortu. (Trabajo original publicado en 1923)</w:t>
      </w:r>
    </w:p>
    <w:p w14:paraId="127DCBC1" w14:textId="77777777" w:rsidR="0039341F" w:rsidRPr="00556A8B" w:rsidRDefault="0039341F" w:rsidP="00DC02C2">
      <w:pPr>
        <w:ind w:firstLine="0"/>
        <w:rPr>
          <w:rFonts w:cs="Times New Roman"/>
        </w:rPr>
      </w:pPr>
      <w:r w:rsidRPr="00556A8B">
        <w:rPr>
          <w:rFonts w:cs="Times New Roman"/>
        </w:rPr>
        <w:t xml:space="preserve">Freud, S. (1930). </w:t>
      </w:r>
      <w:r w:rsidRPr="00556A8B">
        <w:rPr>
          <w:rFonts w:cs="Times New Roman"/>
          <w:i/>
          <w:iCs/>
        </w:rPr>
        <w:t>El malestar en la cultura</w:t>
      </w:r>
      <w:r w:rsidRPr="00556A8B">
        <w:rPr>
          <w:rFonts w:cs="Times New Roman"/>
        </w:rPr>
        <w:t>. Amorrortu.</w:t>
      </w:r>
    </w:p>
    <w:p w14:paraId="7EFE64CE" w14:textId="77777777" w:rsidR="0039341F" w:rsidRPr="00556A8B" w:rsidRDefault="0039341F" w:rsidP="006C48BA">
      <w:pPr>
        <w:ind w:left="720" w:hanging="720"/>
        <w:jc w:val="both"/>
      </w:pPr>
      <w:r w:rsidRPr="00556A8B">
        <w:rPr>
          <w:rFonts w:eastAsia="Times New Roman" w:cs="Times New Roman"/>
        </w:rPr>
        <w:t xml:space="preserve">Fromm, E. (1995). </w:t>
      </w:r>
      <w:r w:rsidRPr="00556A8B">
        <w:rPr>
          <w:rFonts w:eastAsia="Times New Roman" w:cs="Times New Roman"/>
          <w:i/>
          <w:iCs/>
        </w:rPr>
        <w:t>Psicoanálisis de la sociedad contemporánea.</w:t>
      </w:r>
      <w:r w:rsidRPr="00556A8B">
        <w:rPr>
          <w:rFonts w:eastAsia="Times New Roman" w:cs="Times New Roman"/>
        </w:rPr>
        <w:t xml:space="preserve"> Fondo de Cultura Económica.</w:t>
      </w:r>
    </w:p>
    <w:p w14:paraId="006E2DCC" w14:textId="77777777" w:rsidR="0039341F" w:rsidRPr="00556A8B" w:rsidRDefault="0039341F" w:rsidP="00641FDA">
      <w:pPr>
        <w:ind w:left="709" w:hanging="709"/>
        <w:rPr>
          <w:rFonts w:cs="Times New Roman"/>
        </w:rPr>
      </w:pPr>
      <w:r w:rsidRPr="00556A8B">
        <w:rPr>
          <w:rFonts w:cs="Times New Roman"/>
        </w:rPr>
        <w:t xml:space="preserve">Gallo Acosta, J. E., y Quiñones Useche, A. (2016). Subjetividad y neoliberalismo. </w:t>
      </w:r>
      <w:r w:rsidRPr="00556A8B">
        <w:rPr>
          <w:rFonts w:cs="Times New Roman"/>
          <w:i/>
          <w:iCs/>
        </w:rPr>
        <w:t>Athenea Digital, 16</w:t>
      </w:r>
      <w:r w:rsidRPr="00556A8B">
        <w:rPr>
          <w:rFonts w:cs="Times New Roman"/>
        </w:rPr>
        <w:t>(2), 139–168.</w:t>
      </w:r>
    </w:p>
    <w:p w14:paraId="1DDFA16F" w14:textId="77777777" w:rsidR="0039341F" w:rsidRPr="00556A8B" w:rsidRDefault="0039341F" w:rsidP="006C48BA">
      <w:pPr>
        <w:ind w:left="720" w:hanging="720"/>
        <w:jc w:val="both"/>
      </w:pPr>
      <w:r w:rsidRPr="00556A8B">
        <w:rPr>
          <w:rFonts w:eastAsia="Times New Roman" w:cs="Times New Roman"/>
        </w:rPr>
        <w:t xml:space="preserve">Galton, F. (1889). </w:t>
      </w:r>
      <w:r w:rsidRPr="00556A8B">
        <w:rPr>
          <w:rFonts w:eastAsia="Times New Roman" w:cs="Times New Roman"/>
          <w:i/>
          <w:iCs/>
        </w:rPr>
        <w:t>Natural inheritance.</w:t>
      </w:r>
      <w:r w:rsidRPr="00556A8B">
        <w:rPr>
          <w:rFonts w:eastAsia="Times New Roman" w:cs="Times New Roman"/>
        </w:rPr>
        <w:t xml:space="preserve"> Macmillan.</w:t>
      </w:r>
    </w:p>
    <w:p w14:paraId="2740ED41" w14:textId="77777777" w:rsidR="0039341F" w:rsidRPr="00556A8B" w:rsidRDefault="0039341F" w:rsidP="006C48BA">
      <w:pPr>
        <w:ind w:left="720" w:hanging="720"/>
        <w:jc w:val="both"/>
      </w:pPr>
      <w:r w:rsidRPr="00556A8B">
        <w:rPr>
          <w:rFonts w:eastAsia="Times New Roman" w:cs="Times New Roman"/>
        </w:rPr>
        <w:t xml:space="preserve">García-Viniegras, C., &amp; López-González, V. (2003). Consideraciones teóricas sobre el bienestar y la salud. </w:t>
      </w:r>
      <w:r w:rsidRPr="00556A8B">
        <w:rPr>
          <w:rFonts w:eastAsia="Times New Roman" w:cs="Times New Roman"/>
          <w:i/>
          <w:iCs/>
        </w:rPr>
        <w:t>Revista Habanera de Ciencias Médicas, 2</w:t>
      </w:r>
      <w:r w:rsidRPr="00556A8B">
        <w:rPr>
          <w:rFonts w:eastAsia="Times New Roman" w:cs="Times New Roman"/>
        </w:rPr>
        <w:t>(7), 21.</w:t>
      </w:r>
    </w:p>
    <w:p w14:paraId="00DA9200" w14:textId="77777777" w:rsidR="0039341F" w:rsidRPr="00556A8B" w:rsidRDefault="0039341F" w:rsidP="006C48BA">
      <w:pPr>
        <w:ind w:left="720" w:hanging="720"/>
        <w:jc w:val="both"/>
      </w:pPr>
      <w:r w:rsidRPr="00556A8B">
        <w:rPr>
          <w:rFonts w:eastAsia="Times New Roman" w:cs="Times New Roman"/>
        </w:rPr>
        <w:t xml:space="preserve">Gibson-Graham, J. K. (2002). Intervenciones posestructurales. </w:t>
      </w:r>
      <w:r w:rsidRPr="00556A8B">
        <w:rPr>
          <w:rFonts w:eastAsia="Times New Roman" w:cs="Times New Roman"/>
          <w:i/>
          <w:iCs/>
        </w:rPr>
        <w:t>Revista Colombiana de Antropología, 38</w:t>
      </w:r>
      <w:r w:rsidRPr="00556A8B">
        <w:rPr>
          <w:rFonts w:eastAsia="Times New Roman" w:cs="Times New Roman"/>
        </w:rPr>
        <w:t>, 261–286. http://www.scielo.org.co/scielo.php?script=sci_arttext&amp;pid=S0486-65252002000100011</w:t>
      </w:r>
    </w:p>
    <w:p w14:paraId="5C1FA862" w14:textId="77777777" w:rsidR="0039341F" w:rsidRPr="00556A8B" w:rsidRDefault="0039341F" w:rsidP="006C48BA">
      <w:pPr>
        <w:spacing w:after="200"/>
        <w:ind w:left="720" w:hanging="720"/>
        <w:jc w:val="both"/>
      </w:pPr>
      <w:r w:rsidRPr="00556A8B">
        <w:rPr>
          <w:rFonts w:eastAsia="Times New Roman" w:cs="Times New Roman"/>
        </w:rPr>
        <w:t xml:space="preserve">Glynos, J., &amp; Howarth, D. (2007). </w:t>
      </w:r>
      <w:r w:rsidRPr="00556A8B">
        <w:rPr>
          <w:rFonts w:eastAsia="Times New Roman" w:cs="Times New Roman"/>
          <w:i/>
          <w:iCs/>
        </w:rPr>
        <w:t>Logics of critical explanation in social and political theory.</w:t>
      </w:r>
      <w:r w:rsidRPr="00556A8B">
        <w:rPr>
          <w:rFonts w:eastAsia="Times New Roman" w:cs="Times New Roman"/>
        </w:rPr>
        <w:t xml:space="preserve"> Routledge.</w:t>
      </w:r>
    </w:p>
    <w:p w14:paraId="458B9766" w14:textId="77777777" w:rsidR="0039341F" w:rsidRPr="00556A8B" w:rsidRDefault="0039341F" w:rsidP="00641FDA">
      <w:pPr>
        <w:ind w:left="709" w:hanging="709"/>
        <w:rPr>
          <w:rFonts w:cs="Times New Roman"/>
        </w:rPr>
      </w:pPr>
      <w:r w:rsidRPr="00556A8B">
        <w:rPr>
          <w:rFonts w:cs="Times New Roman"/>
        </w:rPr>
        <w:t xml:space="preserve">Gómez-Arias, R. D. (2018). ¿Qué se ha entendido por salud y enfermedad? </w:t>
      </w:r>
      <w:r w:rsidRPr="00556A8B">
        <w:rPr>
          <w:rFonts w:cs="Times New Roman"/>
          <w:i/>
          <w:iCs/>
        </w:rPr>
        <w:t>Revista Facultad Nacional de Salud Pública, 36</w:t>
      </w:r>
      <w:r w:rsidRPr="00556A8B">
        <w:rPr>
          <w:rFonts w:cs="Times New Roman"/>
        </w:rPr>
        <w:t>(1), 64–102.</w:t>
      </w:r>
    </w:p>
    <w:p w14:paraId="173BFEF2" w14:textId="77777777" w:rsidR="0039341F" w:rsidRPr="00556A8B" w:rsidRDefault="0039341F" w:rsidP="006C48BA">
      <w:pPr>
        <w:ind w:left="720" w:hanging="720"/>
        <w:jc w:val="both"/>
      </w:pPr>
      <w:r w:rsidRPr="00556A8B">
        <w:rPr>
          <w:rFonts w:eastAsia="Times New Roman" w:cs="Times New Roman"/>
        </w:rPr>
        <w:lastRenderedPageBreak/>
        <w:t xml:space="preserve">Gonzales, S., &amp; Piñones, C. (2018). Tres exponentes: Tres críticas a la psicología como ideología. </w:t>
      </w:r>
      <w:r w:rsidRPr="00556A8B">
        <w:rPr>
          <w:rFonts w:eastAsia="Times New Roman" w:cs="Times New Roman"/>
          <w:i/>
          <w:iCs/>
        </w:rPr>
        <w:t>Teoría y Crítica de la Psicología,</w:t>
      </w:r>
      <w:r w:rsidRPr="00556A8B">
        <w:rPr>
          <w:rFonts w:eastAsia="Times New Roman" w:cs="Times New Roman"/>
        </w:rPr>
        <w:t xml:space="preserve"> (10), 171–194.</w:t>
      </w:r>
    </w:p>
    <w:p w14:paraId="73B04A0D" w14:textId="77777777" w:rsidR="0039341F" w:rsidRPr="00556A8B" w:rsidRDefault="0039341F" w:rsidP="00556A8B">
      <w:pPr>
        <w:ind w:left="709" w:hanging="709"/>
        <w:rPr>
          <w:rFonts w:cs="Times New Roman"/>
        </w:rPr>
      </w:pPr>
      <w:r w:rsidRPr="00556A8B">
        <w:rPr>
          <w:rFonts w:cs="Times New Roman"/>
        </w:rPr>
        <w:t xml:space="preserve">González Duro, E. (2000). De la psiquiatría a la salud mental. </w:t>
      </w:r>
      <w:r w:rsidRPr="00556A8B">
        <w:rPr>
          <w:rFonts w:cs="Times New Roman"/>
          <w:i/>
          <w:iCs/>
        </w:rPr>
        <w:t>Revista de la AEN, 20</w:t>
      </w:r>
      <w:r w:rsidRPr="00556A8B">
        <w:rPr>
          <w:rFonts w:cs="Times New Roman"/>
        </w:rPr>
        <w:t>(74), 249–260.</w:t>
      </w:r>
    </w:p>
    <w:p w14:paraId="4D15C125" w14:textId="77777777" w:rsidR="0039341F" w:rsidRPr="00556A8B" w:rsidRDefault="0039341F" w:rsidP="006C48BA">
      <w:pPr>
        <w:ind w:left="720" w:hanging="720"/>
        <w:jc w:val="both"/>
      </w:pPr>
      <w:r w:rsidRPr="00556A8B">
        <w:rPr>
          <w:rFonts w:eastAsia="Times New Roman" w:cs="Times New Roman"/>
        </w:rPr>
        <w:t xml:space="preserve">González, J. (2015). Psicoterapia: ¿Promesa de bienestar? ¿Sanación de malestar? En R. Enríquez-Rosas, E. N. Gómez-Gómez y T. Zohn-Muldoon (Coords.), </w:t>
      </w:r>
      <w:r w:rsidRPr="00556A8B">
        <w:rPr>
          <w:rFonts w:eastAsia="Times New Roman" w:cs="Times New Roman"/>
          <w:i/>
          <w:iCs/>
        </w:rPr>
        <w:t>La psicoterapia frente al bienestar y al malestar</w:t>
      </w:r>
      <w:r w:rsidRPr="00556A8B">
        <w:rPr>
          <w:rFonts w:eastAsia="Times New Roman" w:cs="Times New Roman"/>
        </w:rPr>
        <w:t xml:space="preserve"> (pp. 19–63). ITESO.</w:t>
      </w:r>
    </w:p>
    <w:p w14:paraId="569F7BFC" w14:textId="77777777" w:rsidR="0039341F" w:rsidRPr="00556A8B" w:rsidRDefault="0039341F" w:rsidP="006C48BA">
      <w:pPr>
        <w:ind w:left="720" w:hanging="720"/>
        <w:jc w:val="both"/>
      </w:pPr>
      <w:r w:rsidRPr="00556A8B">
        <w:rPr>
          <w:rFonts w:eastAsia="Times New Roman" w:cs="Times New Roman"/>
        </w:rPr>
        <w:t xml:space="preserve">González-Rivera, J., y Álvarez-Alatorre, Y. (2022). DSM-5-TR: Antecedentes históricos y descripción general de los principales cambios. </w:t>
      </w:r>
      <w:r w:rsidRPr="00556A8B">
        <w:rPr>
          <w:rFonts w:eastAsia="Times New Roman" w:cs="Times New Roman"/>
          <w:i/>
          <w:iCs/>
        </w:rPr>
        <w:t>Revista Puertorriqueña de Psicología, 33</w:t>
      </w:r>
      <w:r w:rsidRPr="00556A8B">
        <w:rPr>
          <w:rFonts w:eastAsia="Times New Roman" w:cs="Times New Roman"/>
        </w:rPr>
        <w:t>(2), 302–317. https://doi.org/10.55611/reps.3302.08</w:t>
      </w:r>
    </w:p>
    <w:p w14:paraId="3F6460B1" w14:textId="77777777" w:rsidR="0039341F" w:rsidRPr="00556A8B" w:rsidRDefault="0039341F" w:rsidP="006C48BA">
      <w:pPr>
        <w:spacing w:after="200"/>
        <w:ind w:left="720" w:hanging="720"/>
        <w:jc w:val="both"/>
      </w:pPr>
      <w:r w:rsidRPr="00556A8B">
        <w:rPr>
          <w:rFonts w:eastAsia="Times New Roman" w:cs="Times New Roman"/>
        </w:rPr>
        <w:t xml:space="preserve">Greimas, A. J. (1983). </w:t>
      </w:r>
      <w:r w:rsidRPr="00556A8B">
        <w:rPr>
          <w:rFonts w:eastAsia="Times New Roman" w:cs="Times New Roman"/>
          <w:i/>
          <w:iCs/>
        </w:rPr>
        <w:t>Structural semantics: An attempt at a method</w:t>
      </w:r>
      <w:r w:rsidRPr="00556A8B">
        <w:rPr>
          <w:rFonts w:eastAsia="Times New Roman" w:cs="Times New Roman"/>
        </w:rPr>
        <w:t xml:space="preserve"> (D. McDowell, R. Schleifer, y A. Velie, Trads.). University of Nebraska Press. (Obra original publicada en 1966 como </w:t>
      </w:r>
      <w:r w:rsidRPr="00556A8B">
        <w:rPr>
          <w:rFonts w:eastAsia="Times New Roman" w:cs="Times New Roman"/>
          <w:i/>
          <w:iCs/>
        </w:rPr>
        <w:t>Sémantique structurale</w:t>
      </w:r>
      <w:r w:rsidRPr="00556A8B">
        <w:rPr>
          <w:rFonts w:eastAsia="Times New Roman" w:cs="Times New Roman"/>
        </w:rPr>
        <w:t>)</w:t>
      </w:r>
    </w:p>
    <w:p w14:paraId="08DE4098" w14:textId="77777777" w:rsidR="0039341F" w:rsidRPr="00556A8B" w:rsidRDefault="0039341F" w:rsidP="006C48BA">
      <w:pPr>
        <w:spacing w:after="200"/>
        <w:ind w:left="720" w:hanging="720"/>
        <w:jc w:val="both"/>
      </w:pPr>
      <w:r w:rsidRPr="00556A8B">
        <w:rPr>
          <w:rFonts w:eastAsia="Times New Roman" w:cs="Times New Roman"/>
        </w:rPr>
        <w:t xml:space="preserve">Guillemin, M., &amp; Gillam, L. (2004). Ethics, reflexivity, and "ethically important moments" in research. </w:t>
      </w:r>
      <w:r w:rsidRPr="00556A8B">
        <w:rPr>
          <w:rFonts w:eastAsia="Times New Roman" w:cs="Times New Roman"/>
          <w:i/>
          <w:iCs/>
        </w:rPr>
        <w:t>Qualitative Inquiry, 10</w:t>
      </w:r>
      <w:r w:rsidRPr="00556A8B">
        <w:rPr>
          <w:rFonts w:eastAsia="Times New Roman" w:cs="Times New Roman"/>
        </w:rPr>
        <w:t>(2), 261–280. https://doi.org/10.1177/1077800403262360</w:t>
      </w:r>
    </w:p>
    <w:p w14:paraId="5160B5F9" w14:textId="77777777" w:rsidR="0039341F" w:rsidRPr="00556A8B" w:rsidRDefault="0039341F" w:rsidP="006C48BA">
      <w:pPr>
        <w:ind w:left="720" w:hanging="720"/>
        <w:jc w:val="both"/>
      </w:pPr>
      <w:r w:rsidRPr="00556A8B">
        <w:rPr>
          <w:rFonts w:eastAsia="Times New Roman" w:cs="Times New Roman"/>
        </w:rPr>
        <w:t xml:space="preserve">Guze, S. B. (1992). </w:t>
      </w:r>
      <w:r w:rsidRPr="00556A8B">
        <w:rPr>
          <w:rFonts w:eastAsia="Times New Roman" w:cs="Times New Roman"/>
          <w:i/>
          <w:iCs/>
        </w:rPr>
        <w:t>Why psychiatry is a branch of medicine.</w:t>
      </w:r>
      <w:r w:rsidRPr="00556A8B">
        <w:rPr>
          <w:rFonts w:eastAsia="Times New Roman" w:cs="Times New Roman"/>
        </w:rPr>
        <w:t xml:space="preserve"> Oxford University Press.</w:t>
      </w:r>
    </w:p>
    <w:p w14:paraId="0631F87D" w14:textId="77777777" w:rsidR="0039341F" w:rsidRPr="00556A8B" w:rsidRDefault="0039341F" w:rsidP="006C48BA">
      <w:pPr>
        <w:ind w:left="720" w:hanging="720"/>
        <w:jc w:val="both"/>
      </w:pPr>
      <w:r w:rsidRPr="00556A8B">
        <w:rPr>
          <w:rFonts w:eastAsia="Times New Roman" w:cs="Times New Roman"/>
        </w:rPr>
        <w:t xml:space="preserve">Hacking, I. (1990). </w:t>
      </w:r>
      <w:r w:rsidRPr="00556A8B">
        <w:rPr>
          <w:rFonts w:eastAsia="Times New Roman" w:cs="Times New Roman"/>
          <w:i/>
          <w:iCs/>
        </w:rPr>
        <w:t>The taming of chance.</w:t>
      </w:r>
      <w:r w:rsidRPr="00556A8B">
        <w:rPr>
          <w:rFonts w:eastAsia="Times New Roman" w:cs="Times New Roman"/>
        </w:rPr>
        <w:t xml:space="preserve"> Cambridge University Press.</w:t>
      </w:r>
    </w:p>
    <w:p w14:paraId="46167D85" w14:textId="77777777" w:rsidR="0039341F" w:rsidRPr="00556A8B" w:rsidRDefault="0039341F" w:rsidP="006C48BA">
      <w:pPr>
        <w:spacing w:after="200"/>
        <w:ind w:left="720" w:hanging="720"/>
        <w:jc w:val="both"/>
      </w:pPr>
      <w:r w:rsidRPr="00556A8B">
        <w:rPr>
          <w:rFonts w:eastAsia="Times New Roman" w:cs="Times New Roman"/>
        </w:rPr>
        <w:t xml:space="preserve">Hadot, P. (1995). </w:t>
      </w:r>
      <w:r w:rsidRPr="00556A8B">
        <w:rPr>
          <w:rFonts w:eastAsia="Times New Roman" w:cs="Times New Roman"/>
          <w:i/>
          <w:iCs/>
        </w:rPr>
        <w:t>Philosophy as a way of life: Spiritual exercises from Socrates to Foucault</w:t>
      </w:r>
      <w:r w:rsidRPr="00556A8B">
        <w:rPr>
          <w:rFonts w:eastAsia="Times New Roman" w:cs="Times New Roman"/>
        </w:rPr>
        <w:t xml:space="preserve"> (A. I. Davidson, Ed.; M. Chase, Trad.). Blackwell.</w:t>
      </w:r>
    </w:p>
    <w:p w14:paraId="67DA344D" w14:textId="77777777" w:rsidR="0039341F" w:rsidRPr="00556A8B" w:rsidRDefault="0039341F" w:rsidP="006C48BA">
      <w:pPr>
        <w:ind w:left="720" w:hanging="720"/>
        <w:jc w:val="both"/>
      </w:pPr>
      <w:r w:rsidRPr="00556A8B">
        <w:rPr>
          <w:rFonts w:eastAsia="Times New Roman" w:cs="Times New Roman"/>
        </w:rPr>
        <w:t xml:space="preserve">Halliday, M. A. K. (1994). </w:t>
      </w:r>
      <w:r w:rsidRPr="00556A8B">
        <w:rPr>
          <w:rFonts w:eastAsia="Times New Roman" w:cs="Times New Roman"/>
          <w:i/>
          <w:iCs/>
        </w:rPr>
        <w:t>An introduction to functional grammar</w:t>
      </w:r>
      <w:r w:rsidRPr="00556A8B">
        <w:rPr>
          <w:rFonts w:eastAsia="Times New Roman" w:cs="Times New Roman"/>
        </w:rPr>
        <w:t xml:space="preserve"> (2nd ed.). Edward Arnold.</w:t>
      </w:r>
    </w:p>
    <w:p w14:paraId="391557C6" w14:textId="77777777" w:rsidR="0039341F" w:rsidRPr="00556A8B" w:rsidRDefault="0039341F" w:rsidP="00DC02C2">
      <w:pPr>
        <w:ind w:firstLine="0"/>
        <w:rPr>
          <w:rFonts w:cs="Times New Roman"/>
        </w:rPr>
      </w:pPr>
      <w:r w:rsidRPr="00556A8B">
        <w:rPr>
          <w:rFonts w:cs="Times New Roman"/>
        </w:rPr>
        <w:t xml:space="preserve">Han, B.-C. (2012). </w:t>
      </w:r>
      <w:r w:rsidRPr="00556A8B">
        <w:rPr>
          <w:rFonts w:cs="Times New Roman"/>
          <w:i/>
          <w:iCs/>
        </w:rPr>
        <w:t>La sociedad del cansancio</w:t>
      </w:r>
      <w:r w:rsidRPr="00556A8B">
        <w:rPr>
          <w:rFonts w:cs="Times New Roman"/>
        </w:rPr>
        <w:t>. Herder.</w:t>
      </w:r>
    </w:p>
    <w:p w14:paraId="02D50CB1" w14:textId="77777777" w:rsidR="0039341F" w:rsidRPr="00556A8B" w:rsidRDefault="0039341F" w:rsidP="00DC02C2">
      <w:pPr>
        <w:ind w:firstLine="0"/>
        <w:rPr>
          <w:rFonts w:cs="Times New Roman"/>
        </w:rPr>
      </w:pPr>
      <w:r w:rsidRPr="00556A8B">
        <w:rPr>
          <w:rFonts w:cs="Times New Roman"/>
        </w:rPr>
        <w:t xml:space="preserve">Han, B.-C. (2014). </w:t>
      </w:r>
      <w:r w:rsidRPr="00556A8B">
        <w:rPr>
          <w:rFonts w:cs="Times New Roman"/>
          <w:i/>
          <w:iCs/>
        </w:rPr>
        <w:t>Psicopolítica</w:t>
      </w:r>
      <w:r w:rsidRPr="00556A8B">
        <w:rPr>
          <w:rFonts w:cs="Times New Roman"/>
        </w:rPr>
        <w:t>. Herder.</w:t>
      </w:r>
    </w:p>
    <w:p w14:paraId="425499E6" w14:textId="77777777" w:rsidR="0039341F" w:rsidRPr="00556A8B" w:rsidRDefault="0039341F" w:rsidP="006C48BA">
      <w:pPr>
        <w:ind w:left="720" w:hanging="720"/>
        <w:jc w:val="both"/>
      </w:pPr>
      <w:r w:rsidRPr="00556A8B">
        <w:rPr>
          <w:rFonts w:eastAsia="Times New Roman" w:cs="Times New Roman"/>
        </w:rPr>
        <w:t xml:space="preserve">Han, B.-C. (2016). </w:t>
      </w:r>
      <w:r w:rsidRPr="00556A8B">
        <w:rPr>
          <w:rFonts w:eastAsia="Times New Roman" w:cs="Times New Roman"/>
          <w:i/>
          <w:iCs/>
        </w:rPr>
        <w:t>Topología de la violencia.</w:t>
      </w:r>
      <w:r w:rsidRPr="00556A8B">
        <w:rPr>
          <w:rFonts w:eastAsia="Times New Roman" w:cs="Times New Roman"/>
        </w:rPr>
        <w:t xml:space="preserve"> Herder Editorial.</w:t>
      </w:r>
    </w:p>
    <w:p w14:paraId="42A0DDDB" w14:textId="77777777" w:rsidR="0039341F" w:rsidRPr="00556A8B" w:rsidRDefault="0039341F" w:rsidP="006C48BA">
      <w:pPr>
        <w:spacing w:after="200"/>
        <w:ind w:left="720" w:hanging="720"/>
        <w:jc w:val="both"/>
      </w:pPr>
      <w:r w:rsidRPr="00556A8B">
        <w:rPr>
          <w:rFonts w:eastAsia="Times New Roman" w:cs="Times New Roman"/>
        </w:rPr>
        <w:t xml:space="preserve">Haraway, D. (1988). Situated knowledges: The science question in feminism and the privilege of partial perspective. </w:t>
      </w:r>
      <w:r w:rsidRPr="00556A8B">
        <w:rPr>
          <w:rFonts w:eastAsia="Times New Roman" w:cs="Times New Roman"/>
          <w:i/>
          <w:iCs/>
        </w:rPr>
        <w:t>Feminist Studies, 14</w:t>
      </w:r>
      <w:r w:rsidRPr="00556A8B">
        <w:rPr>
          <w:rFonts w:eastAsia="Times New Roman" w:cs="Times New Roman"/>
        </w:rPr>
        <w:t>(3), 575–599. https://doi.org/10.2307/3178066</w:t>
      </w:r>
    </w:p>
    <w:p w14:paraId="306BE81C" w14:textId="77777777" w:rsidR="0039341F" w:rsidRPr="00556A8B" w:rsidRDefault="0039341F" w:rsidP="006C48BA">
      <w:pPr>
        <w:ind w:left="720" w:hanging="720"/>
        <w:jc w:val="both"/>
      </w:pPr>
      <w:r w:rsidRPr="00556A8B">
        <w:rPr>
          <w:rFonts w:eastAsia="Times New Roman" w:cs="Times New Roman"/>
        </w:rPr>
        <w:t xml:space="preserve">Hartmann, H. (1958). </w:t>
      </w:r>
      <w:r w:rsidRPr="00556A8B">
        <w:rPr>
          <w:rFonts w:eastAsia="Times New Roman" w:cs="Times New Roman"/>
          <w:i/>
          <w:iCs/>
        </w:rPr>
        <w:t>Ego psychology and the problem of adaptation.</w:t>
      </w:r>
      <w:r w:rsidRPr="00556A8B">
        <w:rPr>
          <w:rFonts w:eastAsia="Times New Roman" w:cs="Times New Roman"/>
        </w:rPr>
        <w:t xml:space="preserve"> International Universities Press. (Trabajo original publicado en 1939)</w:t>
      </w:r>
    </w:p>
    <w:p w14:paraId="36B453F0" w14:textId="77777777" w:rsidR="0039341F" w:rsidRPr="00556A8B" w:rsidRDefault="0039341F" w:rsidP="006C48BA">
      <w:pPr>
        <w:ind w:left="720" w:hanging="720"/>
        <w:jc w:val="both"/>
      </w:pPr>
      <w:r w:rsidRPr="00556A8B">
        <w:rPr>
          <w:rFonts w:eastAsia="Times New Roman" w:cs="Times New Roman"/>
        </w:rPr>
        <w:t xml:space="preserve">Hayes, S. C., Strosahl, K. D., &amp; Wilson, K. G. (1999). </w:t>
      </w:r>
      <w:r w:rsidRPr="00556A8B">
        <w:rPr>
          <w:rFonts w:eastAsia="Times New Roman" w:cs="Times New Roman"/>
          <w:i/>
          <w:iCs/>
        </w:rPr>
        <w:t>Acceptance and commitment therapy.</w:t>
      </w:r>
      <w:r w:rsidRPr="00556A8B">
        <w:rPr>
          <w:rFonts w:eastAsia="Times New Roman" w:cs="Times New Roman"/>
        </w:rPr>
        <w:t xml:space="preserve"> Guilford Press.</w:t>
      </w:r>
    </w:p>
    <w:p w14:paraId="3F04E8E4" w14:textId="77777777" w:rsidR="0039341F" w:rsidRPr="00556A8B" w:rsidRDefault="0039341F" w:rsidP="006C48BA">
      <w:pPr>
        <w:ind w:left="720" w:hanging="720"/>
        <w:jc w:val="both"/>
      </w:pPr>
      <w:r w:rsidRPr="00556A8B">
        <w:rPr>
          <w:rFonts w:eastAsia="Times New Roman" w:cs="Times New Roman"/>
        </w:rPr>
        <w:t xml:space="preserve">Hennig, B. (2022). Algunas reflexiones político-teóricas sobre el campo de la salud mental. </w:t>
      </w:r>
      <w:r w:rsidRPr="00556A8B">
        <w:rPr>
          <w:rFonts w:eastAsia="Times New Roman" w:cs="Times New Roman"/>
          <w:i/>
          <w:iCs/>
        </w:rPr>
        <w:t>Question/Cuestión, 3</w:t>
      </w:r>
      <w:r w:rsidRPr="00556A8B">
        <w:rPr>
          <w:rFonts w:eastAsia="Times New Roman" w:cs="Times New Roman"/>
        </w:rPr>
        <w:t>(72), Artículo E720. https://doi.org/10.24215/16696581e720</w:t>
      </w:r>
    </w:p>
    <w:p w14:paraId="3A675057" w14:textId="77777777" w:rsidR="0039341F" w:rsidRPr="00556A8B" w:rsidRDefault="0039341F" w:rsidP="006C48BA">
      <w:pPr>
        <w:ind w:left="720" w:hanging="720"/>
        <w:jc w:val="both"/>
      </w:pPr>
      <w:r w:rsidRPr="00556A8B">
        <w:rPr>
          <w:rFonts w:eastAsia="Times New Roman" w:cs="Times New Roman"/>
        </w:rPr>
        <w:lastRenderedPageBreak/>
        <w:t xml:space="preserve">Hernández Holguín, D. M., y Sanmartín Rueda, C. F. (2018). La paradoja de la salud mental en Colombia: Entre los derechos humanos, la primacía de lo administrativo y el estigma. </w:t>
      </w:r>
      <w:r w:rsidRPr="00556A8B">
        <w:rPr>
          <w:rFonts w:eastAsia="Times New Roman" w:cs="Times New Roman"/>
          <w:i/>
          <w:iCs/>
        </w:rPr>
        <w:t>Revista Gerencia y Políticas de Salud, 17</w:t>
      </w:r>
      <w:r w:rsidRPr="00556A8B">
        <w:rPr>
          <w:rFonts w:eastAsia="Times New Roman" w:cs="Times New Roman"/>
        </w:rPr>
        <w:t>(35), 43–56. https://doi.org/10.11144/Javeriana.rgps17-35.psmc</w:t>
      </w:r>
    </w:p>
    <w:p w14:paraId="2881E775" w14:textId="77777777" w:rsidR="0039341F" w:rsidRPr="00556A8B" w:rsidRDefault="0039341F" w:rsidP="00641FDA">
      <w:pPr>
        <w:ind w:firstLine="0"/>
        <w:rPr>
          <w:rFonts w:cs="Times New Roman"/>
          <w:lang w:val="en-US"/>
        </w:rPr>
      </w:pPr>
      <w:r w:rsidRPr="00556A8B">
        <w:rPr>
          <w:rFonts w:cs="Times New Roman"/>
        </w:rPr>
        <w:t xml:space="preserve">Hernández-Holguín, D. M. (2020). Perspectivas conceptuales en salud mental. </w:t>
      </w:r>
      <w:r w:rsidRPr="00556A8B">
        <w:rPr>
          <w:rFonts w:cs="Times New Roman"/>
          <w:i/>
          <w:iCs/>
          <w:lang w:val="en-US"/>
        </w:rPr>
        <w:t>Ciência &amp; Saúde Coletiva, 25</w:t>
      </w:r>
      <w:r w:rsidRPr="00556A8B">
        <w:rPr>
          <w:rFonts w:cs="Times New Roman"/>
          <w:lang w:val="en-US"/>
        </w:rPr>
        <w:t>(3), 929–942.</w:t>
      </w:r>
    </w:p>
    <w:p w14:paraId="1A9942C8" w14:textId="77777777" w:rsidR="0039341F" w:rsidRPr="00556A8B" w:rsidRDefault="0039341F" w:rsidP="006C48BA">
      <w:pPr>
        <w:ind w:left="720" w:hanging="720"/>
        <w:jc w:val="both"/>
      </w:pPr>
      <w:r w:rsidRPr="00556A8B">
        <w:rPr>
          <w:rFonts w:eastAsia="Times New Roman" w:cs="Times New Roman"/>
        </w:rPr>
        <w:t xml:space="preserve">Hiernaux, D. (2008a). Análisis estructural de contenido y de modelos culturales. Aplicación a materiales voluminosos. En H. Suárez (Ed.), </w:t>
      </w:r>
      <w:r w:rsidRPr="00556A8B">
        <w:rPr>
          <w:rFonts w:eastAsia="Times New Roman" w:cs="Times New Roman"/>
          <w:i/>
          <w:iCs/>
        </w:rPr>
        <w:t>El sentido y el método: Sociología de la cultura y análisis de contenido.</w:t>
      </w:r>
      <w:r w:rsidRPr="00556A8B">
        <w:rPr>
          <w:rFonts w:eastAsia="Times New Roman" w:cs="Times New Roman"/>
        </w:rPr>
        <w:t xml:space="preserve"> El Colegio de Michoacán.</w:t>
      </w:r>
    </w:p>
    <w:p w14:paraId="04A3ACE1" w14:textId="77777777" w:rsidR="0039341F" w:rsidRPr="00556A8B" w:rsidRDefault="0039341F" w:rsidP="006C48BA">
      <w:pPr>
        <w:ind w:left="720" w:hanging="720"/>
        <w:jc w:val="both"/>
      </w:pPr>
      <w:r w:rsidRPr="00556A8B">
        <w:rPr>
          <w:rFonts w:eastAsia="Times New Roman" w:cs="Times New Roman"/>
        </w:rPr>
        <w:t xml:space="preserve">Hiernaux, D. (2008b). </w:t>
      </w:r>
      <w:r w:rsidRPr="00556A8B">
        <w:rPr>
          <w:rFonts w:eastAsia="Times New Roman" w:cs="Times New Roman"/>
          <w:i/>
          <w:iCs/>
        </w:rPr>
        <w:t>El análisis estructural del discurso.</w:t>
      </w:r>
      <w:r w:rsidRPr="00556A8B">
        <w:rPr>
          <w:rFonts w:eastAsia="Times New Roman" w:cs="Times New Roman"/>
        </w:rPr>
        <w:t xml:space="preserve"> Universidad Autónoma Metropolitana.</w:t>
      </w:r>
    </w:p>
    <w:p w14:paraId="162BEC63" w14:textId="77777777" w:rsidR="0039341F" w:rsidRPr="00556A8B" w:rsidRDefault="0039341F" w:rsidP="006C48BA">
      <w:pPr>
        <w:rPr>
          <w:rFonts w:cs="Times New Roman"/>
          <w:lang w:val="en-US"/>
        </w:rPr>
      </w:pPr>
      <w:r w:rsidRPr="00556A8B">
        <w:rPr>
          <w:rFonts w:cs="Times New Roman"/>
          <w:lang w:val="en-US"/>
        </w:rPr>
        <w:t xml:space="preserve">Huppert, F. A. (2009). Psychological well-being. </w:t>
      </w:r>
      <w:r w:rsidRPr="00556A8B">
        <w:rPr>
          <w:rFonts w:cs="Times New Roman"/>
          <w:i/>
          <w:iCs/>
          <w:lang w:val="en-US"/>
        </w:rPr>
        <w:t>Applied Psychology, 1</w:t>
      </w:r>
      <w:r w:rsidRPr="00556A8B">
        <w:rPr>
          <w:rFonts w:cs="Times New Roman"/>
          <w:lang w:val="en-US"/>
        </w:rPr>
        <w:t>(2), 137–164.</w:t>
      </w:r>
    </w:p>
    <w:p w14:paraId="2E1851BB" w14:textId="77777777" w:rsidR="0039341F" w:rsidRPr="00556A8B" w:rsidRDefault="0039341F" w:rsidP="006C48BA">
      <w:pPr>
        <w:ind w:left="720" w:hanging="720"/>
        <w:jc w:val="both"/>
      </w:pPr>
      <w:r w:rsidRPr="00556A8B">
        <w:rPr>
          <w:rFonts w:eastAsia="Times New Roman" w:cs="Times New Roman"/>
        </w:rPr>
        <w:t xml:space="preserve">Ibáñez, J. (1996). </w:t>
      </w:r>
      <w:r w:rsidRPr="00556A8B">
        <w:rPr>
          <w:rFonts w:eastAsia="Times New Roman" w:cs="Times New Roman"/>
          <w:i/>
          <w:iCs/>
        </w:rPr>
        <w:t>El regreso del sujeto: La investigación social de segundo orden.</w:t>
      </w:r>
      <w:r w:rsidRPr="00556A8B">
        <w:rPr>
          <w:rFonts w:eastAsia="Times New Roman" w:cs="Times New Roman"/>
        </w:rPr>
        <w:t xml:space="preserve"> Siglo XXI Editores.</w:t>
      </w:r>
    </w:p>
    <w:p w14:paraId="76043C83" w14:textId="77777777" w:rsidR="0039341F" w:rsidRPr="00556A8B" w:rsidRDefault="0039341F" w:rsidP="006C48BA">
      <w:pPr>
        <w:ind w:left="720" w:hanging="720"/>
        <w:jc w:val="both"/>
      </w:pPr>
      <w:r w:rsidRPr="00556A8B">
        <w:rPr>
          <w:rFonts w:eastAsia="Times New Roman" w:cs="Times New Roman"/>
        </w:rPr>
        <w:t xml:space="preserve">Iliopoulos, J. (2021). Foucault understood critical psychiatry. </w:t>
      </w:r>
      <w:r w:rsidRPr="00556A8B">
        <w:rPr>
          <w:rFonts w:eastAsia="Times New Roman" w:cs="Times New Roman"/>
          <w:i/>
          <w:iCs/>
        </w:rPr>
        <w:t>BJPsych Advances, 28</w:t>
      </w:r>
      <w:r w:rsidRPr="00556A8B">
        <w:rPr>
          <w:rFonts w:eastAsia="Times New Roman" w:cs="Times New Roman"/>
        </w:rPr>
        <w:t>(4), 252–261. https://doi.org/10.1192/bja.2021.22</w:t>
      </w:r>
    </w:p>
    <w:p w14:paraId="1B9255AB" w14:textId="77777777" w:rsidR="0039341F" w:rsidRPr="0039341F" w:rsidRDefault="0039341F" w:rsidP="0039341F">
      <w:pPr>
        <w:ind w:left="709" w:hanging="709"/>
        <w:rPr>
          <w:rFonts w:cs="Times New Roman"/>
        </w:rPr>
      </w:pPr>
      <w:r w:rsidRPr="0039341F">
        <w:rPr>
          <w:rFonts w:cs="Times New Roman"/>
        </w:rPr>
        <w:t xml:space="preserve">Illanes, M. A. (1993). </w:t>
      </w:r>
      <w:r w:rsidRPr="0039341F">
        <w:rPr>
          <w:rFonts w:cs="Times New Roman"/>
          <w:i/>
          <w:iCs/>
        </w:rPr>
        <w:t>En el nombre del pueblo, del Estado y de la ciencia: Historia social de la salud pública en Chile, 1880–1973</w:t>
      </w:r>
      <w:r w:rsidRPr="0039341F">
        <w:rPr>
          <w:rFonts w:cs="Times New Roman"/>
        </w:rPr>
        <w:t>. Colectivo de Atención Primaria.</w:t>
      </w:r>
    </w:p>
    <w:p w14:paraId="57ED4022" w14:textId="77777777" w:rsidR="0039341F" w:rsidRPr="0039341F" w:rsidRDefault="0039341F" w:rsidP="0039341F">
      <w:pPr>
        <w:ind w:left="709" w:hanging="709"/>
        <w:rPr>
          <w:rFonts w:cs="Times New Roman"/>
        </w:rPr>
      </w:pPr>
      <w:r w:rsidRPr="0039341F">
        <w:rPr>
          <w:rFonts w:cs="Times New Roman"/>
        </w:rPr>
        <w:t xml:space="preserve">Illanes, M. A. (2007). </w:t>
      </w:r>
      <w:r w:rsidRPr="0039341F">
        <w:rPr>
          <w:rFonts w:cs="Times New Roman"/>
          <w:i/>
          <w:iCs/>
        </w:rPr>
        <w:t>Cuerpo y sangre de la política: La construcción histórica de las visitadoras sociales (1887–1940)</w:t>
      </w:r>
      <w:r w:rsidRPr="0039341F">
        <w:rPr>
          <w:rFonts w:cs="Times New Roman"/>
        </w:rPr>
        <w:t>. LOM Ediciones.</w:t>
      </w:r>
    </w:p>
    <w:p w14:paraId="43C24F56" w14:textId="77777777" w:rsidR="0039341F" w:rsidRPr="00556A8B" w:rsidRDefault="0039341F" w:rsidP="006C48BA">
      <w:pPr>
        <w:ind w:left="720" w:hanging="720"/>
        <w:jc w:val="both"/>
      </w:pPr>
      <w:r w:rsidRPr="00556A8B">
        <w:rPr>
          <w:rFonts w:eastAsia="Times New Roman" w:cs="Times New Roman"/>
        </w:rPr>
        <w:t xml:space="preserve">Illouz, E. (2007). </w:t>
      </w:r>
      <w:r w:rsidRPr="00556A8B">
        <w:rPr>
          <w:rFonts w:eastAsia="Times New Roman" w:cs="Times New Roman"/>
          <w:i/>
          <w:iCs/>
        </w:rPr>
        <w:t>Consuming the romantic utopia: Love and the cultural contradictions of capitalism.</w:t>
      </w:r>
      <w:r w:rsidRPr="00556A8B">
        <w:rPr>
          <w:rFonts w:eastAsia="Times New Roman" w:cs="Times New Roman"/>
        </w:rPr>
        <w:t xml:space="preserve"> University of California Press.</w:t>
      </w:r>
    </w:p>
    <w:p w14:paraId="106A812B" w14:textId="77777777" w:rsidR="0039341F" w:rsidRPr="00556A8B" w:rsidRDefault="0039341F" w:rsidP="006C48BA">
      <w:pPr>
        <w:rPr>
          <w:rFonts w:cs="Times New Roman"/>
          <w:lang w:val="en-US"/>
        </w:rPr>
      </w:pPr>
      <w:r w:rsidRPr="00556A8B">
        <w:rPr>
          <w:rFonts w:cs="Times New Roman"/>
        </w:rPr>
        <w:t xml:space="preserve">Illouz, E. (2008). </w:t>
      </w:r>
      <w:r w:rsidRPr="00556A8B">
        <w:rPr>
          <w:rFonts w:cs="Times New Roman"/>
          <w:i/>
          <w:iCs/>
        </w:rPr>
        <w:t>La salvación del alma moderna</w:t>
      </w:r>
      <w:r w:rsidRPr="00556A8B">
        <w:rPr>
          <w:rFonts w:cs="Times New Roman"/>
        </w:rPr>
        <w:t xml:space="preserve">. </w:t>
      </w:r>
      <w:r w:rsidRPr="00556A8B">
        <w:rPr>
          <w:rFonts w:cs="Times New Roman"/>
          <w:lang w:val="en-US"/>
        </w:rPr>
        <w:t>Katz.</w:t>
      </w:r>
    </w:p>
    <w:p w14:paraId="60EA09D0" w14:textId="77777777" w:rsidR="0039341F" w:rsidRPr="00556A8B" w:rsidRDefault="0039341F" w:rsidP="006C48BA">
      <w:pPr>
        <w:ind w:left="720" w:hanging="720"/>
        <w:jc w:val="both"/>
      </w:pPr>
      <w:r w:rsidRPr="00556A8B">
        <w:rPr>
          <w:rFonts w:eastAsia="Times New Roman" w:cs="Times New Roman"/>
        </w:rPr>
        <w:t xml:space="preserve">Illouz, E. (2010). </w:t>
      </w:r>
      <w:r w:rsidRPr="00556A8B">
        <w:rPr>
          <w:rFonts w:eastAsia="Times New Roman" w:cs="Times New Roman"/>
          <w:i/>
          <w:iCs/>
        </w:rPr>
        <w:t>La salvación del alma moderna: Terapia, emociones y la cultura de la autoayuda.</w:t>
      </w:r>
      <w:r w:rsidRPr="00556A8B">
        <w:rPr>
          <w:rFonts w:eastAsia="Times New Roman" w:cs="Times New Roman"/>
        </w:rPr>
        <w:t xml:space="preserve"> Katz Editores.</w:t>
      </w:r>
    </w:p>
    <w:p w14:paraId="0D875D70" w14:textId="77777777" w:rsidR="0039341F" w:rsidRPr="00556A8B" w:rsidRDefault="0039341F" w:rsidP="00DC02C2">
      <w:pPr>
        <w:ind w:firstLine="0"/>
        <w:rPr>
          <w:rFonts w:cs="Times New Roman"/>
          <w:lang w:val="en-US"/>
        </w:rPr>
      </w:pPr>
      <w:r w:rsidRPr="00556A8B">
        <w:rPr>
          <w:rFonts w:cs="Times New Roman"/>
          <w:lang w:val="en-US"/>
        </w:rPr>
        <w:t xml:space="preserve">Jahoda, M. (1958). </w:t>
      </w:r>
      <w:r w:rsidRPr="00556A8B">
        <w:rPr>
          <w:rFonts w:cs="Times New Roman"/>
          <w:i/>
          <w:iCs/>
          <w:lang w:val="en-US"/>
        </w:rPr>
        <w:t>Current concepts of positive mental health</w:t>
      </w:r>
      <w:r w:rsidRPr="00556A8B">
        <w:rPr>
          <w:rFonts w:cs="Times New Roman"/>
          <w:lang w:val="en-US"/>
        </w:rPr>
        <w:t>. Basic Books.</w:t>
      </w:r>
    </w:p>
    <w:p w14:paraId="1D18423E" w14:textId="77777777" w:rsidR="0039341F" w:rsidRPr="00556A8B" w:rsidRDefault="0039341F" w:rsidP="006C48BA">
      <w:pPr>
        <w:ind w:left="720" w:hanging="720"/>
        <w:jc w:val="both"/>
      </w:pPr>
      <w:r w:rsidRPr="00556A8B">
        <w:rPr>
          <w:rFonts w:eastAsia="Times New Roman" w:cs="Times New Roman"/>
        </w:rPr>
        <w:t xml:space="preserve">James, W. (1890). </w:t>
      </w:r>
      <w:r w:rsidRPr="00556A8B">
        <w:rPr>
          <w:rFonts w:eastAsia="Times New Roman" w:cs="Times New Roman"/>
          <w:i/>
          <w:iCs/>
        </w:rPr>
        <w:t>The principles of psychology</w:t>
      </w:r>
      <w:r w:rsidRPr="00556A8B">
        <w:rPr>
          <w:rFonts w:eastAsia="Times New Roman" w:cs="Times New Roman"/>
        </w:rPr>
        <w:t xml:space="preserve"> (Vols. 1–2). Henry Holt and Company.</w:t>
      </w:r>
    </w:p>
    <w:p w14:paraId="46B212F9" w14:textId="77777777" w:rsidR="0039341F" w:rsidRPr="0039341F" w:rsidRDefault="0039341F" w:rsidP="0039341F">
      <w:pPr>
        <w:ind w:left="709" w:hanging="709"/>
        <w:rPr>
          <w:rFonts w:cs="Times New Roman"/>
        </w:rPr>
      </w:pPr>
      <w:r w:rsidRPr="0039341F">
        <w:rPr>
          <w:rFonts w:cs="Times New Roman"/>
        </w:rPr>
        <w:t xml:space="preserve">Janin, B. (2011). </w:t>
      </w:r>
      <w:r w:rsidRPr="0039341F">
        <w:rPr>
          <w:rFonts w:cs="Times New Roman"/>
          <w:i/>
          <w:iCs/>
        </w:rPr>
        <w:t>El sufrimiento psíquico en los niños: Psicopatología infantil y constitución subjetiva</w:t>
      </w:r>
      <w:r w:rsidRPr="0039341F">
        <w:rPr>
          <w:rFonts w:cs="Times New Roman"/>
        </w:rPr>
        <w:t>. Noveduc.</w:t>
      </w:r>
    </w:p>
    <w:p w14:paraId="388EBB1E" w14:textId="77777777" w:rsidR="0039341F" w:rsidRPr="0039341F" w:rsidRDefault="0039341F" w:rsidP="0039341F">
      <w:pPr>
        <w:ind w:left="709" w:hanging="709"/>
        <w:rPr>
          <w:rFonts w:cs="Times New Roman"/>
        </w:rPr>
      </w:pPr>
      <w:r w:rsidRPr="0039341F">
        <w:rPr>
          <w:rFonts w:cs="Times New Roman"/>
        </w:rPr>
        <w:t xml:space="preserve">Janin, B. (Comp.). (2013). </w:t>
      </w:r>
      <w:r w:rsidRPr="0039341F">
        <w:rPr>
          <w:rFonts w:cs="Times New Roman"/>
          <w:i/>
          <w:iCs/>
        </w:rPr>
        <w:t>Las patologías graves en los niños: Subjetividad y constitución psíquica</w:t>
      </w:r>
      <w:r w:rsidRPr="0039341F">
        <w:rPr>
          <w:rFonts w:cs="Times New Roman"/>
        </w:rPr>
        <w:t>. Noveduc.</w:t>
      </w:r>
    </w:p>
    <w:p w14:paraId="56AD2D83" w14:textId="77777777" w:rsidR="0039341F" w:rsidRPr="00556A8B" w:rsidRDefault="0039341F" w:rsidP="006C48BA">
      <w:pPr>
        <w:ind w:left="720" w:hanging="720"/>
        <w:jc w:val="both"/>
      </w:pPr>
      <w:r w:rsidRPr="00556A8B">
        <w:rPr>
          <w:rFonts w:eastAsia="Times New Roman" w:cs="Times New Roman"/>
        </w:rPr>
        <w:lastRenderedPageBreak/>
        <w:t xml:space="preserve">Jaramillo García, O. A. (2018). </w:t>
      </w:r>
      <w:r w:rsidRPr="00556A8B">
        <w:rPr>
          <w:rFonts w:eastAsia="Times New Roman" w:cs="Times New Roman"/>
          <w:i/>
          <w:iCs/>
        </w:rPr>
        <w:t>Prácticas artísticas y modos de subjetivación en experiencias de la música y la danza en la ciudad de Pereira</w:t>
      </w:r>
      <w:r w:rsidRPr="00556A8B">
        <w:rPr>
          <w:rFonts w:eastAsia="Times New Roman" w:cs="Times New Roman"/>
        </w:rPr>
        <w:t xml:space="preserve"> [Tesis doctoral]. Universidad de Pereira.</w:t>
      </w:r>
    </w:p>
    <w:p w14:paraId="4CB7DC98" w14:textId="77777777" w:rsidR="0039341F" w:rsidRPr="00556A8B" w:rsidRDefault="0039341F" w:rsidP="006C48BA">
      <w:pPr>
        <w:ind w:left="720" w:hanging="720"/>
        <w:jc w:val="both"/>
      </w:pPr>
      <w:r w:rsidRPr="00556A8B">
        <w:rPr>
          <w:rFonts w:eastAsia="Times New Roman" w:cs="Times New Roman"/>
        </w:rPr>
        <w:t xml:space="preserve">Jaramillo, C. H. J., de Haro, M. C. P., Bayona, K. P., Hernández, L. O., Pallares, C. R., &amp; Díaz, J. F. T. (2024). La normalidad como paradigma en la sociedad actual. </w:t>
      </w:r>
      <w:r w:rsidRPr="00556A8B">
        <w:rPr>
          <w:rFonts w:eastAsia="Times New Roman" w:cs="Times New Roman"/>
          <w:i/>
          <w:iCs/>
        </w:rPr>
        <w:t>PSIMONART, 11</w:t>
      </w:r>
      <w:r w:rsidRPr="00556A8B">
        <w:rPr>
          <w:rFonts w:eastAsia="Times New Roman" w:cs="Times New Roman"/>
        </w:rPr>
        <w:t>(1), 78–86.</w:t>
      </w:r>
    </w:p>
    <w:p w14:paraId="4496A389" w14:textId="77777777" w:rsidR="0039341F" w:rsidRPr="00556A8B" w:rsidRDefault="0039341F" w:rsidP="006C48BA">
      <w:pPr>
        <w:ind w:left="720" w:hanging="720"/>
        <w:jc w:val="both"/>
      </w:pPr>
      <w:r w:rsidRPr="00556A8B">
        <w:rPr>
          <w:rFonts w:eastAsia="Times New Roman" w:cs="Times New Roman"/>
        </w:rPr>
        <w:t xml:space="preserve">Joranger, L. (2025). Foucault's social, community, and cultural psychology. </w:t>
      </w:r>
      <w:r w:rsidRPr="00556A8B">
        <w:rPr>
          <w:rFonts w:eastAsia="Times New Roman" w:cs="Times New Roman"/>
          <w:i/>
          <w:iCs/>
        </w:rPr>
        <w:t>Integrative Psychological and Behavioral Science, 59</w:t>
      </w:r>
      <w:r w:rsidRPr="00556A8B">
        <w:rPr>
          <w:rFonts w:eastAsia="Times New Roman" w:cs="Times New Roman"/>
        </w:rPr>
        <w:t>, Artículo 17. https://doi.org/10.1007/s12124-024-09878-0</w:t>
      </w:r>
    </w:p>
    <w:p w14:paraId="620CA352" w14:textId="77777777" w:rsidR="0039341F" w:rsidRPr="00556A8B" w:rsidRDefault="0039341F" w:rsidP="006C48BA">
      <w:pPr>
        <w:ind w:left="720" w:hanging="720"/>
        <w:jc w:val="both"/>
      </w:pPr>
      <w:r w:rsidRPr="00556A8B">
        <w:rPr>
          <w:rFonts w:eastAsia="Times New Roman" w:cs="Times New Roman"/>
        </w:rPr>
        <w:t xml:space="preserve">Julien, G. A. (1966). </w:t>
      </w:r>
      <w:r w:rsidRPr="00556A8B">
        <w:rPr>
          <w:rFonts w:eastAsia="Times New Roman" w:cs="Times New Roman"/>
          <w:i/>
          <w:iCs/>
        </w:rPr>
        <w:t>Semántica estructural: Investigación metodológica.</w:t>
      </w:r>
      <w:r w:rsidRPr="00556A8B">
        <w:rPr>
          <w:rFonts w:eastAsia="Times New Roman" w:cs="Times New Roman"/>
        </w:rPr>
        <w:t xml:space="preserve"> Gredos.</w:t>
      </w:r>
    </w:p>
    <w:p w14:paraId="19E277DA" w14:textId="77777777" w:rsidR="0039341F" w:rsidRPr="00556A8B" w:rsidRDefault="0039341F" w:rsidP="006C48BA">
      <w:pPr>
        <w:ind w:left="720" w:hanging="720"/>
        <w:jc w:val="both"/>
      </w:pPr>
      <w:r w:rsidRPr="00556A8B">
        <w:rPr>
          <w:rFonts w:eastAsia="Times New Roman" w:cs="Times New Roman"/>
        </w:rPr>
        <w:t xml:space="preserve">Kernberg, O. F. (1975). </w:t>
      </w:r>
      <w:r w:rsidRPr="00556A8B">
        <w:rPr>
          <w:rFonts w:eastAsia="Times New Roman" w:cs="Times New Roman"/>
          <w:i/>
          <w:iCs/>
        </w:rPr>
        <w:t>Borderline conditions and pathological narcissism.</w:t>
      </w:r>
      <w:r w:rsidRPr="00556A8B">
        <w:rPr>
          <w:rFonts w:eastAsia="Times New Roman" w:cs="Times New Roman"/>
        </w:rPr>
        <w:t xml:space="preserve"> Jason Aronson.</w:t>
      </w:r>
    </w:p>
    <w:p w14:paraId="201CB1BA" w14:textId="77777777" w:rsidR="0039341F" w:rsidRPr="00556A8B" w:rsidRDefault="0039341F" w:rsidP="00DC02C2">
      <w:pPr>
        <w:ind w:firstLine="0"/>
        <w:rPr>
          <w:rFonts w:cs="Times New Roman"/>
          <w:lang w:val="en-US"/>
        </w:rPr>
      </w:pPr>
      <w:r w:rsidRPr="00556A8B">
        <w:rPr>
          <w:rFonts w:cs="Times New Roman"/>
          <w:lang w:val="en-US"/>
        </w:rPr>
        <w:t xml:space="preserve">Keyes, C. L. M. (1998). Social well-being. </w:t>
      </w:r>
      <w:r w:rsidRPr="00556A8B">
        <w:rPr>
          <w:rFonts w:cs="Times New Roman"/>
          <w:i/>
          <w:iCs/>
          <w:lang w:val="en-US"/>
        </w:rPr>
        <w:t>Social Psychology Quarterly, 61</w:t>
      </w:r>
      <w:r w:rsidRPr="00556A8B">
        <w:rPr>
          <w:rFonts w:cs="Times New Roman"/>
          <w:lang w:val="en-US"/>
        </w:rPr>
        <w:t>(2), 121–140.</w:t>
      </w:r>
    </w:p>
    <w:p w14:paraId="07DAE3A5" w14:textId="77777777" w:rsidR="0039341F" w:rsidRPr="00556A8B" w:rsidRDefault="0039341F" w:rsidP="00556A8B">
      <w:pPr>
        <w:ind w:left="709" w:hanging="709"/>
        <w:rPr>
          <w:rFonts w:cs="Times New Roman"/>
          <w:lang w:val="en-US"/>
        </w:rPr>
      </w:pPr>
      <w:r w:rsidRPr="00556A8B">
        <w:rPr>
          <w:rFonts w:cs="Times New Roman"/>
          <w:lang w:val="en-US"/>
        </w:rPr>
        <w:t xml:space="preserve">Keyes, C. L. M. (2002). The mental health continuum. </w:t>
      </w:r>
      <w:r w:rsidRPr="00556A8B">
        <w:rPr>
          <w:rFonts w:cs="Times New Roman"/>
          <w:i/>
          <w:iCs/>
          <w:lang w:val="en-US"/>
        </w:rPr>
        <w:t>Journal of Health and Social Behavior, 43</w:t>
      </w:r>
      <w:r w:rsidRPr="00556A8B">
        <w:rPr>
          <w:rFonts w:cs="Times New Roman"/>
          <w:lang w:val="en-US"/>
        </w:rPr>
        <w:t>(2), 207–222.</w:t>
      </w:r>
    </w:p>
    <w:p w14:paraId="735BF7D2" w14:textId="77777777" w:rsidR="0039341F" w:rsidRPr="00556A8B" w:rsidRDefault="0039341F" w:rsidP="006C48BA">
      <w:pPr>
        <w:ind w:left="720" w:hanging="720"/>
        <w:jc w:val="both"/>
      </w:pPr>
      <w:r w:rsidRPr="00556A8B">
        <w:rPr>
          <w:rFonts w:eastAsia="Times New Roman" w:cs="Times New Roman"/>
        </w:rPr>
        <w:t xml:space="preserve">Keyes, C. L. M. (2005). Mental illness and/or mental health? Investigating axioms of the complete state model of health. </w:t>
      </w:r>
      <w:r w:rsidRPr="00556A8B">
        <w:rPr>
          <w:rFonts w:eastAsia="Times New Roman" w:cs="Times New Roman"/>
          <w:i/>
          <w:iCs/>
        </w:rPr>
        <w:t>Journal of Consulting and Clinical Psychology, 73</w:t>
      </w:r>
      <w:r w:rsidRPr="00556A8B">
        <w:rPr>
          <w:rFonts w:eastAsia="Times New Roman" w:cs="Times New Roman"/>
        </w:rPr>
        <w:t>(3), 539–548. https://doi.org/10.1037/0022-006X.73.3.539</w:t>
      </w:r>
    </w:p>
    <w:p w14:paraId="2A3F2D0D" w14:textId="77777777" w:rsidR="0039341F" w:rsidRPr="00556A8B" w:rsidRDefault="0039341F" w:rsidP="006C48BA">
      <w:pPr>
        <w:ind w:left="720" w:hanging="720"/>
        <w:jc w:val="both"/>
      </w:pPr>
      <w:r w:rsidRPr="00556A8B">
        <w:rPr>
          <w:rFonts w:eastAsia="Times New Roman" w:cs="Times New Roman"/>
        </w:rPr>
        <w:t xml:space="preserve">Klein, M. (1946). Notes on some schizoid mechanisms. </w:t>
      </w:r>
      <w:r w:rsidRPr="00556A8B">
        <w:rPr>
          <w:rFonts w:eastAsia="Times New Roman" w:cs="Times New Roman"/>
          <w:i/>
          <w:iCs/>
        </w:rPr>
        <w:t>The International Journal of Psychoanalysis, 27</w:t>
      </w:r>
      <w:r w:rsidRPr="00556A8B">
        <w:rPr>
          <w:rFonts w:eastAsia="Times New Roman" w:cs="Times New Roman"/>
        </w:rPr>
        <w:t>, 99–110.</w:t>
      </w:r>
    </w:p>
    <w:p w14:paraId="54B005A4" w14:textId="77777777" w:rsidR="0039341F" w:rsidRPr="00556A8B" w:rsidRDefault="0039341F" w:rsidP="006C48BA">
      <w:pPr>
        <w:ind w:left="720" w:hanging="720"/>
        <w:jc w:val="both"/>
      </w:pPr>
      <w:r w:rsidRPr="00556A8B">
        <w:rPr>
          <w:rFonts w:eastAsia="Times New Roman" w:cs="Times New Roman"/>
        </w:rPr>
        <w:t xml:space="preserve">Klein, M. (1960). </w:t>
      </w:r>
      <w:r w:rsidRPr="00556A8B">
        <w:rPr>
          <w:rFonts w:eastAsia="Times New Roman" w:cs="Times New Roman"/>
          <w:i/>
          <w:iCs/>
        </w:rPr>
        <w:t>Our adult world and its roots in infancy.</w:t>
      </w:r>
      <w:r w:rsidRPr="00556A8B">
        <w:rPr>
          <w:rFonts w:eastAsia="Times New Roman" w:cs="Times New Roman"/>
        </w:rPr>
        <w:t xml:space="preserve"> Tavistock Publications.</w:t>
      </w:r>
    </w:p>
    <w:p w14:paraId="7FD54E13" w14:textId="77777777" w:rsidR="0039341F" w:rsidRPr="00556A8B" w:rsidRDefault="0039341F" w:rsidP="006C48BA">
      <w:pPr>
        <w:ind w:left="720" w:hanging="720"/>
        <w:jc w:val="both"/>
      </w:pPr>
      <w:r w:rsidRPr="00556A8B">
        <w:rPr>
          <w:rFonts w:eastAsia="Times New Roman" w:cs="Times New Roman"/>
        </w:rPr>
        <w:t xml:space="preserve">Kohut, H. (1971). </w:t>
      </w:r>
      <w:r w:rsidRPr="00556A8B">
        <w:rPr>
          <w:rFonts w:eastAsia="Times New Roman" w:cs="Times New Roman"/>
          <w:i/>
          <w:iCs/>
        </w:rPr>
        <w:t>The analysis of the self: A systematic approach to the psychoanalytic treatment of narcissistic personality disorders.</w:t>
      </w:r>
      <w:r w:rsidRPr="00556A8B">
        <w:rPr>
          <w:rFonts w:eastAsia="Times New Roman" w:cs="Times New Roman"/>
        </w:rPr>
        <w:t xml:space="preserve"> International Universities Press.</w:t>
      </w:r>
    </w:p>
    <w:p w14:paraId="35212584" w14:textId="77777777" w:rsidR="0039341F" w:rsidRPr="00556A8B" w:rsidRDefault="0039341F" w:rsidP="006C48BA">
      <w:pPr>
        <w:ind w:left="720" w:hanging="720"/>
        <w:jc w:val="both"/>
      </w:pPr>
      <w:r w:rsidRPr="00556A8B">
        <w:rPr>
          <w:rFonts w:eastAsia="Times New Roman" w:cs="Times New Roman"/>
        </w:rPr>
        <w:t xml:space="preserve">Kvale, S. (2011). </w:t>
      </w:r>
      <w:r w:rsidRPr="00556A8B">
        <w:rPr>
          <w:rFonts w:eastAsia="Times New Roman" w:cs="Times New Roman"/>
          <w:i/>
          <w:iCs/>
        </w:rPr>
        <w:t>Las entrevistas en investigación cualitativa.</w:t>
      </w:r>
      <w:r w:rsidRPr="00556A8B">
        <w:rPr>
          <w:rFonts w:eastAsia="Times New Roman" w:cs="Times New Roman"/>
        </w:rPr>
        <w:t xml:space="preserve"> Morata.</w:t>
      </w:r>
    </w:p>
    <w:p w14:paraId="53A9011C" w14:textId="77777777" w:rsidR="0039341F" w:rsidRPr="00556A8B" w:rsidRDefault="0039341F" w:rsidP="006C48BA">
      <w:pPr>
        <w:rPr>
          <w:rFonts w:cs="Times New Roman"/>
        </w:rPr>
      </w:pPr>
      <w:r w:rsidRPr="00556A8B">
        <w:rPr>
          <w:rFonts w:cs="Times New Roman"/>
        </w:rPr>
        <w:t xml:space="preserve">Laclau, E., y Mouffe, C. (1985). </w:t>
      </w:r>
      <w:r w:rsidRPr="00556A8B">
        <w:rPr>
          <w:rFonts w:cs="Times New Roman"/>
          <w:i/>
          <w:iCs/>
        </w:rPr>
        <w:t>Hegemonía y estrategia socialista</w:t>
      </w:r>
      <w:r w:rsidRPr="00556A8B">
        <w:rPr>
          <w:rFonts w:cs="Times New Roman"/>
        </w:rPr>
        <w:t>. Verso.</w:t>
      </w:r>
    </w:p>
    <w:p w14:paraId="159C65F1" w14:textId="77777777" w:rsidR="0039341F" w:rsidRPr="00556A8B" w:rsidRDefault="0039341F" w:rsidP="006C48BA">
      <w:pPr>
        <w:ind w:left="720" w:hanging="720"/>
        <w:jc w:val="both"/>
      </w:pPr>
      <w:r w:rsidRPr="00556A8B">
        <w:rPr>
          <w:rFonts w:eastAsia="Times New Roman" w:cs="Times New Roman"/>
        </w:rPr>
        <w:t xml:space="preserve">Laing, R. D. (1967). </w:t>
      </w:r>
      <w:r w:rsidRPr="00556A8B">
        <w:rPr>
          <w:rFonts w:eastAsia="Times New Roman" w:cs="Times New Roman"/>
          <w:i/>
          <w:iCs/>
        </w:rPr>
        <w:t>The politics of experience and the bird of paradise.</w:t>
      </w:r>
      <w:r w:rsidRPr="00556A8B">
        <w:rPr>
          <w:rFonts w:eastAsia="Times New Roman" w:cs="Times New Roman"/>
        </w:rPr>
        <w:t xml:space="preserve"> Penguin Books.</w:t>
      </w:r>
    </w:p>
    <w:p w14:paraId="2BFF8F11" w14:textId="77777777" w:rsidR="0039341F" w:rsidRPr="00556A8B" w:rsidRDefault="0039341F" w:rsidP="006C48BA">
      <w:pPr>
        <w:rPr>
          <w:rFonts w:cs="Times New Roman"/>
        </w:rPr>
      </w:pPr>
      <w:r w:rsidRPr="00556A8B">
        <w:rPr>
          <w:rFonts w:cs="Times New Roman"/>
        </w:rPr>
        <w:t xml:space="preserve">Laval, C., y Dardot, P. (2013). </w:t>
      </w:r>
      <w:r w:rsidRPr="00556A8B">
        <w:rPr>
          <w:rFonts w:cs="Times New Roman"/>
          <w:i/>
          <w:iCs/>
        </w:rPr>
        <w:t>La nueva razón del mundo</w:t>
      </w:r>
      <w:r w:rsidRPr="00556A8B">
        <w:rPr>
          <w:rFonts w:cs="Times New Roman"/>
        </w:rPr>
        <w:t>. Gedisa.</w:t>
      </w:r>
    </w:p>
    <w:p w14:paraId="062041B7" w14:textId="77777777" w:rsidR="0039341F" w:rsidRPr="00556A8B" w:rsidRDefault="0039341F" w:rsidP="006C48BA">
      <w:pPr>
        <w:ind w:left="720" w:hanging="720"/>
        <w:jc w:val="both"/>
      </w:pPr>
      <w:r w:rsidRPr="00556A8B">
        <w:rPr>
          <w:rFonts w:eastAsia="Times New Roman" w:cs="Times New Roman"/>
        </w:rPr>
        <w:t xml:space="preserve">Leiva-Peña, V., Rubí-González, P., y Vicente-Parada, B. (2021). Determinantes sociales de la salud mental: Políticas públicas desde el modelo biopsicosocial en países latinoamericanos. </w:t>
      </w:r>
      <w:r w:rsidRPr="00556A8B">
        <w:rPr>
          <w:rFonts w:eastAsia="Times New Roman" w:cs="Times New Roman"/>
          <w:i/>
          <w:iCs/>
        </w:rPr>
        <w:t>Revista Panamericana de Salud Pública, 45</w:t>
      </w:r>
      <w:r w:rsidRPr="00556A8B">
        <w:rPr>
          <w:rFonts w:eastAsia="Times New Roman" w:cs="Times New Roman"/>
        </w:rPr>
        <w:t>, Artículo e158. https://doi.org/10.26633/RPSP.2021.158</w:t>
      </w:r>
    </w:p>
    <w:p w14:paraId="1E85C859" w14:textId="77777777" w:rsidR="0039341F" w:rsidRPr="00556A8B" w:rsidRDefault="0039341F" w:rsidP="00DC02C2">
      <w:pPr>
        <w:ind w:firstLine="0"/>
        <w:rPr>
          <w:rFonts w:cs="Times New Roman"/>
        </w:rPr>
      </w:pPr>
      <w:r w:rsidRPr="00556A8B">
        <w:rPr>
          <w:rFonts w:cs="Times New Roman"/>
        </w:rPr>
        <w:t xml:space="preserve">López-Rodríguez, J. A. (2018). Sobrediagnóstico. </w:t>
      </w:r>
      <w:r w:rsidRPr="00556A8B">
        <w:rPr>
          <w:rFonts w:cs="Times New Roman"/>
          <w:i/>
          <w:iCs/>
        </w:rPr>
        <w:t>Atención Primaria, 50</w:t>
      </w:r>
      <w:r w:rsidRPr="00556A8B">
        <w:rPr>
          <w:rFonts w:cs="Times New Roman"/>
        </w:rPr>
        <w:t>, 65–69.</w:t>
      </w:r>
    </w:p>
    <w:p w14:paraId="0D63C106" w14:textId="77777777" w:rsidR="0039341F" w:rsidRPr="00556A8B" w:rsidRDefault="0039341F" w:rsidP="006C48BA">
      <w:pPr>
        <w:ind w:left="720" w:hanging="720"/>
        <w:jc w:val="both"/>
      </w:pPr>
      <w:r w:rsidRPr="00556A8B">
        <w:rPr>
          <w:rFonts w:eastAsia="Times New Roman" w:cs="Times New Roman"/>
        </w:rPr>
        <w:lastRenderedPageBreak/>
        <w:t xml:space="preserve">Loredo, J., Arruda, A., y Chávez, J. (2021). </w:t>
      </w:r>
      <w:r w:rsidRPr="00556A8B">
        <w:rPr>
          <w:rFonts w:eastAsia="Times New Roman" w:cs="Times New Roman"/>
          <w:i/>
          <w:iCs/>
        </w:rPr>
        <w:t>Procesos de subjetivación: Diez análisis de prácticas psicológicas iberoamericanas.</w:t>
      </w:r>
      <w:r w:rsidRPr="00556A8B">
        <w:rPr>
          <w:rFonts w:eastAsia="Times New Roman" w:cs="Times New Roman"/>
        </w:rPr>
        <w:t xml:space="preserve"> Editorial UNED.</w:t>
      </w:r>
    </w:p>
    <w:p w14:paraId="46F0A99E" w14:textId="77777777" w:rsidR="0039341F" w:rsidRPr="00556A8B" w:rsidRDefault="0039341F" w:rsidP="00DC02C2">
      <w:pPr>
        <w:ind w:firstLine="0"/>
        <w:rPr>
          <w:rFonts w:cs="Times New Roman"/>
        </w:rPr>
      </w:pPr>
      <w:r w:rsidRPr="00556A8B">
        <w:rPr>
          <w:rFonts w:cs="Times New Roman"/>
        </w:rPr>
        <w:t xml:space="preserve">Maingueneau, D. (2005). </w:t>
      </w:r>
      <w:r w:rsidRPr="00556A8B">
        <w:rPr>
          <w:rFonts w:cs="Times New Roman"/>
          <w:i/>
          <w:iCs/>
        </w:rPr>
        <w:t>El análisis del discurso</w:t>
      </w:r>
      <w:r w:rsidRPr="00556A8B">
        <w:rPr>
          <w:rFonts w:cs="Times New Roman"/>
        </w:rPr>
        <w:t>. Nueva Visión.</w:t>
      </w:r>
    </w:p>
    <w:p w14:paraId="19A7F335" w14:textId="77777777" w:rsidR="0039341F" w:rsidRPr="00556A8B" w:rsidRDefault="0039341F" w:rsidP="006C48BA">
      <w:pPr>
        <w:ind w:left="720" w:hanging="720"/>
        <w:jc w:val="both"/>
      </w:pPr>
      <w:r w:rsidRPr="00556A8B">
        <w:rPr>
          <w:rFonts w:eastAsia="Times New Roman" w:cs="Times New Roman"/>
        </w:rPr>
        <w:t xml:space="preserve">Maitta Rosada, I., Cedeño Párraga, J., y Escobar García, M. (2018). Factores biológicos, psicológicos y sociales que afectan la salud mental. </w:t>
      </w:r>
      <w:r w:rsidRPr="00556A8B">
        <w:rPr>
          <w:rFonts w:eastAsia="Times New Roman" w:cs="Times New Roman"/>
          <w:i/>
          <w:iCs/>
        </w:rPr>
        <w:t>Revista Caribeña de Ciencias Sociales.</w:t>
      </w:r>
      <w:r w:rsidRPr="00556A8B">
        <w:rPr>
          <w:rFonts w:eastAsia="Times New Roman" w:cs="Times New Roman"/>
        </w:rPr>
        <w:t xml:space="preserve"> https://www.eumed.net/rev/caribe/2018/03/factores-salud-mental.html</w:t>
      </w:r>
    </w:p>
    <w:p w14:paraId="5B2A05CE" w14:textId="77777777" w:rsidR="0039341F" w:rsidRPr="00556A8B" w:rsidRDefault="0039341F" w:rsidP="006C48BA">
      <w:pPr>
        <w:ind w:left="720" w:hanging="720"/>
        <w:jc w:val="both"/>
      </w:pPr>
      <w:r w:rsidRPr="00556A8B">
        <w:rPr>
          <w:rFonts w:eastAsia="Times New Roman" w:cs="Times New Roman"/>
        </w:rPr>
        <w:t xml:space="preserve">Martín, L. (2014). Subjetivismo crítico: Una respuesta a los manuales diagnósticos. </w:t>
      </w:r>
      <w:r w:rsidRPr="00556A8B">
        <w:rPr>
          <w:rFonts w:eastAsia="Times New Roman" w:cs="Times New Roman"/>
          <w:i/>
          <w:iCs/>
        </w:rPr>
        <w:t>Boletín de la Asociación Madrileña de Salud Mental, 37</w:t>
      </w:r>
      <w:r w:rsidRPr="00556A8B">
        <w:rPr>
          <w:rFonts w:eastAsia="Times New Roman" w:cs="Times New Roman"/>
        </w:rPr>
        <w:t>, 35–40.</w:t>
      </w:r>
    </w:p>
    <w:p w14:paraId="762D8999" w14:textId="77777777" w:rsidR="0039341F" w:rsidRPr="00556A8B" w:rsidRDefault="0039341F" w:rsidP="00DC02C2">
      <w:pPr>
        <w:ind w:firstLine="0"/>
        <w:rPr>
          <w:rFonts w:cs="Times New Roman"/>
        </w:rPr>
      </w:pPr>
      <w:r w:rsidRPr="00556A8B">
        <w:rPr>
          <w:rFonts w:cs="Times New Roman"/>
        </w:rPr>
        <w:t xml:space="preserve">Martín-Baró, I. (1998). </w:t>
      </w:r>
      <w:r w:rsidRPr="00556A8B">
        <w:rPr>
          <w:rFonts w:cs="Times New Roman"/>
          <w:i/>
          <w:iCs/>
        </w:rPr>
        <w:t>Psicología de la liberación</w:t>
      </w:r>
      <w:r w:rsidRPr="00556A8B">
        <w:rPr>
          <w:rFonts w:cs="Times New Roman"/>
        </w:rPr>
        <w:t>. Trotta.</w:t>
      </w:r>
    </w:p>
    <w:p w14:paraId="4C04A3A6" w14:textId="77777777" w:rsidR="0039341F" w:rsidRPr="00556A8B" w:rsidRDefault="0039341F" w:rsidP="006C48BA">
      <w:pPr>
        <w:ind w:left="720" w:hanging="720"/>
        <w:jc w:val="both"/>
      </w:pPr>
      <w:r w:rsidRPr="00556A8B">
        <w:rPr>
          <w:rFonts w:eastAsia="Times New Roman" w:cs="Times New Roman"/>
        </w:rPr>
        <w:t xml:space="preserve">Martínez Palau, A. (2015). </w:t>
      </w:r>
      <w:r w:rsidRPr="00556A8B">
        <w:rPr>
          <w:rFonts w:eastAsia="Times New Roman" w:cs="Times New Roman"/>
          <w:i/>
          <w:iCs/>
        </w:rPr>
        <w:t>Funcionamiento social y su relación con variables psicoeducativas</w:t>
      </w:r>
      <w:r w:rsidRPr="00556A8B">
        <w:rPr>
          <w:rFonts w:eastAsia="Times New Roman" w:cs="Times New Roman"/>
        </w:rPr>
        <w:t xml:space="preserve"> [Tesis doctoral, Universidad de Alicante]. RUA: Repositorio Institucional de la Universidad de Alicante.</w:t>
      </w:r>
    </w:p>
    <w:p w14:paraId="6906F4E3" w14:textId="77777777" w:rsidR="0039341F" w:rsidRPr="00556A8B" w:rsidRDefault="0039341F" w:rsidP="006C48BA">
      <w:pPr>
        <w:ind w:left="720" w:hanging="720"/>
        <w:jc w:val="both"/>
      </w:pPr>
      <w:r w:rsidRPr="00556A8B">
        <w:rPr>
          <w:rFonts w:eastAsia="Times New Roman" w:cs="Times New Roman"/>
        </w:rPr>
        <w:t xml:space="preserve">Martínez Yacelga, A. d. R., &amp; Almeida Márquez, L. (2021). Relación entre las habilidades de adaptación conductual y las dificultades emocionales y comportamentales en adolescentes. </w:t>
      </w:r>
      <w:r w:rsidRPr="00556A8B">
        <w:rPr>
          <w:rFonts w:eastAsia="Times New Roman" w:cs="Times New Roman"/>
          <w:i/>
          <w:iCs/>
        </w:rPr>
        <w:t>Uniandes Episteme, 8</w:t>
      </w:r>
      <w:r w:rsidRPr="00556A8B">
        <w:rPr>
          <w:rFonts w:eastAsia="Times New Roman" w:cs="Times New Roman"/>
        </w:rPr>
        <w:t>(3), 364–378.</w:t>
      </w:r>
    </w:p>
    <w:p w14:paraId="4AEDA3A6" w14:textId="77777777" w:rsidR="0039341F" w:rsidRPr="00556A8B" w:rsidRDefault="0039341F" w:rsidP="006C48BA">
      <w:pPr>
        <w:ind w:left="720" w:hanging="720"/>
        <w:jc w:val="both"/>
      </w:pPr>
      <w:r w:rsidRPr="00556A8B">
        <w:rPr>
          <w:rFonts w:eastAsia="Times New Roman" w:cs="Times New Roman"/>
        </w:rPr>
        <w:t xml:space="preserve">Martínez, M. (1982). </w:t>
      </w:r>
      <w:r w:rsidRPr="00556A8B">
        <w:rPr>
          <w:rFonts w:eastAsia="Times New Roman" w:cs="Times New Roman"/>
          <w:i/>
          <w:iCs/>
        </w:rPr>
        <w:t>La psicología humanista: Fundamentos y aplicaciones.</w:t>
      </w:r>
      <w:r w:rsidRPr="00556A8B">
        <w:rPr>
          <w:rFonts w:eastAsia="Times New Roman" w:cs="Times New Roman"/>
        </w:rPr>
        <w:t xml:space="preserve"> Trillas.</w:t>
      </w:r>
    </w:p>
    <w:p w14:paraId="19ABE276" w14:textId="77777777" w:rsidR="0039341F" w:rsidRPr="00556A8B" w:rsidRDefault="0039341F" w:rsidP="006C48BA">
      <w:pPr>
        <w:ind w:left="720" w:hanging="720"/>
        <w:jc w:val="both"/>
      </w:pPr>
      <w:r w:rsidRPr="00556A8B">
        <w:rPr>
          <w:rFonts w:eastAsia="Times New Roman" w:cs="Times New Roman"/>
        </w:rPr>
        <w:t xml:space="preserve">Martínez-Vargas, J. A., &amp; Rivera-Porras, D. (2019). Factores que influyen en el bienestar de las personas dentro de su contexto laboral. </w:t>
      </w:r>
      <w:r w:rsidRPr="00556A8B">
        <w:rPr>
          <w:rFonts w:eastAsia="Times New Roman" w:cs="Times New Roman"/>
          <w:i/>
          <w:iCs/>
        </w:rPr>
        <w:t>AiBi Revista de Investigación, Administración e Ingeniería, 7</w:t>
      </w:r>
      <w:r w:rsidRPr="00556A8B">
        <w:rPr>
          <w:rFonts w:eastAsia="Times New Roman" w:cs="Times New Roman"/>
        </w:rPr>
        <w:t>(2), 77–81. https://doi.org/10.15649/2346030X.559</w:t>
      </w:r>
    </w:p>
    <w:p w14:paraId="721B8375" w14:textId="77777777" w:rsidR="0039341F" w:rsidRPr="00556A8B" w:rsidRDefault="0039341F" w:rsidP="00DC02C2">
      <w:pPr>
        <w:ind w:left="709" w:hanging="709"/>
        <w:rPr>
          <w:rFonts w:cs="Times New Roman"/>
        </w:rPr>
      </w:pPr>
      <w:r w:rsidRPr="00556A8B">
        <w:rPr>
          <w:rFonts w:cs="Times New Roman"/>
        </w:rPr>
        <w:t xml:space="preserve">Marzal, J., y Caponi, S. (2025). La psiquiatrización de la vida cotidiana. </w:t>
      </w:r>
      <w:r w:rsidRPr="00556A8B">
        <w:rPr>
          <w:rFonts w:cs="Times New Roman"/>
          <w:i/>
          <w:iCs/>
        </w:rPr>
        <w:t>Revista TOMO, 44</w:t>
      </w:r>
      <w:r w:rsidRPr="00556A8B">
        <w:rPr>
          <w:rFonts w:cs="Times New Roman"/>
        </w:rPr>
        <w:t>, e21851.</w:t>
      </w:r>
    </w:p>
    <w:p w14:paraId="248F215B" w14:textId="77777777" w:rsidR="0039341F" w:rsidRPr="00556A8B" w:rsidRDefault="0039341F" w:rsidP="006C48BA">
      <w:pPr>
        <w:ind w:left="720" w:hanging="720"/>
        <w:jc w:val="both"/>
      </w:pPr>
      <w:r w:rsidRPr="00556A8B">
        <w:rPr>
          <w:rFonts w:eastAsia="Times New Roman" w:cs="Times New Roman"/>
        </w:rPr>
        <w:t xml:space="preserve">Maslow, A. H. (1964). </w:t>
      </w:r>
      <w:r w:rsidRPr="00556A8B">
        <w:rPr>
          <w:rFonts w:eastAsia="Times New Roman" w:cs="Times New Roman"/>
          <w:i/>
          <w:iCs/>
        </w:rPr>
        <w:t>Religions, values, and peak experiences.</w:t>
      </w:r>
      <w:r w:rsidRPr="00556A8B">
        <w:rPr>
          <w:rFonts w:eastAsia="Times New Roman" w:cs="Times New Roman"/>
        </w:rPr>
        <w:t xml:space="preserve"> Ohio State University Press.</w:t>
      </w:r>
    </w:p>
    <w:p w14:paraId="21FF71A8" w14:textId="77777777" w:rsidR="0039341F" w:rsidRPr="00556A8B" w:rsidRDefault="0039341F" w:rsidP="006C48BA">
      <w:pPr>
        <w:ind w:left="720" w:hanging="720"/>
        <w:jc w:val="both"/>
      </w:pPr>
      <w:r w:rsidRPr="00556A8B">
        <w:rPr>
          <w:rFonts w:eastAsia="Times New Roman" w:cs="Times New Roman"/>
        </w:rPr>
        <w:t xml:space="preserve">Maslow, A. H. (1994). </w:t>
      </w:r>
      <w:r w:rsidRPr="00556A8B">
        <w:rPr>
          <w:rFonts w:eastAsia="Times New Roman" w:cs="Times New Roman"/>
          <w:i/>
          <w:iCs/>
        </w:rPr>
        <w:t>Motivation and personality</w:t>
      </w:r>
      <w:r w:rsidRPr="00556A8B">
        <w:rPr>
          <w:rFonts w:eastAsia="Times New Roman" w:cs="Times New Roman"/>
        </w:rPr>
        <w:t xml:space="preserve"> (3rd ed.). Harper &amp; Row.</w:t>
      </w:r>
    </w:p>
    <w:p w14:paraId="5FB80C73" w14:textId="77777777" w:rsidR="0039341F" w:rsidRPr="00556A8B" w:rsidRDefault="0039341F" w:rsidP="006C48BA">
      <w:pPr>
        <w:ind w:left="720" w:hanging="720"/>
        <w:jc w:val="both"/>
      </w:pPr>
      <w:r w:rsidRPr="00556A8B">
        <w:rPr>
          <w:rFonts w:eastAsia="Times New Roman" w:cs="Times New Roman"/>
        </w:rPr>
        <w:t xml:space="preserve">Maslow, A. H. (2016). </w:t>
      </w:r>
      <w:r w:rsidRPr="00556A8B">
        <w:rPr>
          <w:rFonts w:eastAsia="Times New Roman" w:cs="Times New Roman"/>
          <w:i/>
          <w:iCs/>
        </w:rPr>
        <w:t>La personalidad creadora.</w:t>
      </w:r>
      <w:r w:rsidRPr="00556A8B">
        <w:rPr>
          <w:rFonts w:eastAsia="Times New Roman" w:cs="Times New Roman"/>
        </w:rPr>
        <w:t xml:space="preserve"> Kairós.</w:t>
      </w:r>
    </w:p>
    <w:p w14:paraId="32C2907D" w14:textId="77777777" w:rsidR="0039341F" w:rsidRPr="00556A8B" w:rsidRDefault="0039341F" w:rsidP="00556A8B">
      <w:pPr>
        <w:ind w:left="709" w:hanging="709"/>
        <w:rPr>
          <w:rFonts w:cs="Times New Roman"/>
        </w:rPr>
      </w:pPr>
      <w:r w:rsidRPr="00556A8B">
        <w:rPr>
          <w:rFonts w:cs="Times New Roman"/>
        </w:rPr>
        <w:t xml:space="preserve">Matos-Ramírez, P., Sánchez-Carlessi, H., y Reyes Romero, C. (2024). Ajuste psicológico y salud mental. </w:t>
      </w:r>
      <w:r w:rsidRPr="00556A8B">
        <w:rPr>
          <w:rFonts w:cs="Times New Roman"/>
          <w:i/>
          <w:iCs/>
        </w:rPr>
        <w:t>Revista de la Facultad de Medicina Humana, 24</w:t>
      </w:r>
      <w:r w:rsidRPr="00556A8B">
        <w:rPr>
          <w:rFonts w:cs="Times New Roman"/>
        </w:rPr>
        <w:t>(4), 203–214.</w:t>
      </w:r>
    </w:p>
    <w:p w14:paraId="6D2DD6C9" w14:textId="77777777" w:rsidR="0039341F" w:rsidRPr="00556A8B" w:rsidRDefault="0039341F" w:rsidP="006C48BA">
      <w:pPr>
        <w:ind w:left="720" w:hanging="720"/>
        <w:jc w:val="both"/>
      </w:pPr>
      <w:r w:rsidRPr="00556A8B">
        <w:rPr>
          <w:rFonts w:eastAsia="Times New Roman" w:cs="Times New Roman"/>
        </w:rPr>
        <w:t xml:space="preserve">May, R. (1958). </w:t>
      </w:r>
      <w:r w:rsidRPr="00556A8B">
        <w:rPr>
          <w:rFonts w:eastAsia="Times New Roman" w:cs="Times New Roman"/>
          <w:i/>
          <w:iCs/>
        </w:rPr>
        <w:t>Existence: A new dimension in psychiatry and psychology.</w:t>
      </w:r>
      <w:r w:rsidRPr="00556A8B">
        <w:rPr>
          <w:rFonts w:eastAsia="Times New Roman" w:cs="Times New Roman"/>
        </w:rPr>
        <w:t xml:space="preserve"> Basic Books.</w:t>
      </w:r>
    </w:p>
    <w:p w14:paraId="1295D2E3" w14:textId="77777777" w:rsidR="0039341F" w:rsidRPr="00556A8B" w:rsidRDefault="0039341F" w:rsidP="006C48BA">
      <w:pPr>
        <w:ind w:left="720" w:hanging="720"/>
        <w:jc w:val="both"/>
      </w:pPr>
      <w:r w:rsidRPr="00556A8B">
        <w:rPr>
          <w:rFonts w:eastAsia="Times New Roman" w:cs="Times New Roman"/>
        </w:rPr>
        <w:t xml:space="preserve">May, R. (1981). </w:t>
      </w:r>
      <w:r w:rsidRPr="00556A8B">
        <w:rPr>
          <w:rFonts w:eastAsia="Times New Roman" w:cs="Times New Roman"/>
          <w:i/>
          <w:iCs/>
        </w:rPr>
        <w:t>Freedom and destiny.</w:t>
      </w:r>
      <w:r w:rsidRPr="00556A8B">
        <w:rPr>
          <w:rFonts w:eastAsia="Times New Roman" w:cs="Times New Roman"/>
        </w:rPr>
        <w:t xml:space="preserve"> Norton &amp; Company.</w:t>
      </w:r>
    </w:p>
    <w:p w14:paraId="18C7F74E" w14:textId="77777777" w:rsidR="0039341F" w:rsidRPr="00556A8B" w:rsidRDefault="0039341F" w:rsidP="00556A8B">
      <w:pPr>
        <w:ind w:left="709" w:hanging="709"/>
        <w:rPr>
          <w:rFonts w:cs="Times New Roman"/>
        </w:rPr>
      </w:pPr>
      <w:r w:rsidRPr="00556A8B">
        <w:rPr>
          <w:rFonts w:cs="Times New Roman"/>
        </w:rPr>
        <w:t xml:space="preserve">Mebarak, M., De Castro, A., Salamanca, Y., y Quintero, M. (2009). Salud mental. </w:t>
      </w:r>
      <w:r w:rsidRPr="00556A8B">
        <w:rPr>
          <w:rFonts w:cs="Times New Roman"/>
          <w:i/>
          <w:iCs/>
        </w:rPr>
        <w:t>Psicología desde el Caribe, 24</w:t>
      </w:r>
      <w:r w:rsidRPr="00556A8B">
        <w:rPr>
          <w:rFonts w:cs="Times New Roman"/>
        </w:rPr>
        <w:t>, 83–106.</w:t>
      </w:r>
    </w:p>
    <w:p w14:paraId="4A671E96" w14:textId="77777777" w:rsidR="0039341F" w:rsidRPr="0039341F" w:rsidRDefault="0039341F" w:rsidP="0039341F">
      <w:pPr>
        <w:ind w:left="709" w:hanging="709"/>
        <w:rPr>
          <w:rFonts w:cs="Times New Roman"/>
        </w:rPr>
      </w:pPr>
      <w:r w:rsidRPr="0039341F">
        <w:rPr>
          <w:rFonts w:cs="Times New Roman"/>
        </w:rPr>
        <w:lastRenderedPageBreak/>
        <w:t xml:space="preserve">Menéndez, E. L. (1985). Modelo médico hegemónico y atención primaria. </w:t>
      </w:r>
      <w:r w:rsidRPr="0039341F">
        <w:rPr>
          <w:rFonts w:cs="Times New Roman"/>
          <w:i/>
          <w:iCs/>
        </w:rPr>
        <w:t>Segundas Jornadas de Atención Primaria de la Salud</w:t>
      </w:r>
      <w:r w:rsidRPr="0039341F">
        <w:rPr>
          <w:rFonts w:cs="Times New Roman"/>
        </w:rPr>
        <w:t>, 451–464.</w:t>
      </w:r>
    </w:p>
    <w:p w14:paraId="710D439F" w14:textId="77777777" w:rsidR="0039341F" w:rsidRPr="0039341F" w:rsidRDefault="0039341F" w:rsidP="0039341F">
      <w:pPr>
        <w:ind w:left="709" w:hanging="709"/>
        <w:rPr>
          <w:rFonts w:cs="Times New Roman"/>
        </w:rPr>
      </w:pPr>
      <w:r w:rsidRPr="0039341F">
        <w:rPr>
          <w:rFonts w:cs="Times New Roman"/>
        </w:rPr>
        <w:t xml:space="preserve">Menéndez, E. L. (2009). </w:t>
      </w:r>
      <w:r w:rsidRPr="0039341F">
        <w:rPr>
          <w:rFonts w:cs="Times New Roman"/>
          <w:i/>
          <w:iCs/>
        </w:rPr>
        <w:t>De sujetos, saberes y estructuras: Introducción al enfoque relacional en el estudio de la salud colectiva</w:t>
      </w:r>
      <w:r w:rsidRPr="0039341F">
        <w:rPr>
          <w:rFonts w:cs="Times New Roman"/>
        </w:rPr>
        <w:t>. Lugar Editorial.</w:t>
      </w:r>
    </w:p>
    <w:p w14:paraId="24E81084" w14:textId="77777777" w:rsidR="0039341F" w:rsidRPr="00556A8B" w:rsidRDefault="0039341F" w:rsidP="006C48BA">
      <w:pPr>
        <w:ind w:left="720" w:hanging="720"/>
        <w:jc w:val="both"/>
      </w:pPr>
      <w:r w:rsidRPr="00556A8B">
        <w:rPr>
          <w:rFonts w:eastAsia="Times New Roman" w:cs="Times New Roman"/>
        </w:rPr>
        <w:t xml:space="preserve">Merhej, R. (2024). The impact of neoliberalism on psychological research and practice. </w:t>
      </w:r>
      <w:r w:rsidRPr="00556A8B">
        <w:rPr>
          <w:rFonts w:eastAsia="Times New Roman" w:cs="Times New Roman"/>
          <w:i/>
          <w:iCs/>
        </w:rPr>
        <w:t>Theory &amp; Psychology, 34</w:t>
      </w:r>
      <w:r w:rsidRPr="00556A8B">
        <w:rPr>
          <w:rFonts w:eastAsia="Times New Roman" w:cs="Times New Roman"/>
        </w:rPr>
        <w:t>(1). https://doi.org/10.1177/09593543241300098</w:t>
      </w:r>
    </w:p>
    <w:p w14:paraId="75CE6534" w14:textId="77777777" w:rsidR="0039341F" w:rsidRPr="00556A8B" w:rsidRDefault="0039341F" w:rsidP="00DC02C2">
      <w:pPr>
        <w:ind w:firstLine="0"/>
        <w:rPr>
          <w:rFonts w:cs="Times New Roman"/>
          <w:lang w:val="en-US"/>
        </w:rPr>
      </w:pPr>
      <w:r w:rsidRPr="00556A8B">
        <w:rPr>
          <w:rFonts w:cs="Times New Roman"/>
        </w:rPr>
        <w:t xml:space="preserve">Miller, P., y Rose, N. (2008). </w:t>
      </w:r>
      <w:r w:rsidRPr="00556A8B">
        <w:rPr>
          <w:rFonts w:cs="Times New Roman"/>
          <w:i/>
          <w:iCs/>
          <w:lang w:val="en-US"/>
        </w:rPr>
        <w:t>Governing the present</w:t>
      </w:r>
      <w:r w:rsidRPr="00556A8B">
        <w:rPr>
          <w:rFonts w:cs="Times New Roman"/>
          <w:lang w:val="en-US"/>
        </w:rPr>
        <w:t>. Polity.</w:t>
      </w:r>
    </w:p>
    <w:p w14:paraId="0A0D6026" w14:textId="77777777" w:rsidR="0039341F" w:rsidRPr="00556A8B" w:rsidRDefault="0039341F" w:rsidP="006C48BA">
      <w:pPr>
        <w:ind w:left="720" w:hanging="720"/>
        <w:jc w:val="both"/>
      </w:pPr>
      <w:r w:rsidRPr="00556A8B">
        <w:rPr>
          <w:rFonts w:eastAsia="Times New Roman" w:cs="Times New Roman"/>
        </w:rPr>
        <w:t xml:space="preserve">Miravet, M. E., Arnal, R. B., Calvo, J. C., Carrasco, V. C., y Bover, M. B. (2020). Hábitos alimentarios, imagen corporal y bienestar emocional: Mens sana in corpore sano. </w:t>
      </w:r>
      <w:r w:rsidRPr="00556A8B">
        <w:rPr>
          <w:rFonts w:eastAsia="Times New Roman" w:cs="Times New Roman"/>
          <w:i/>
          <w:iCs/>
        </w:rPr>
        <w:t>Revista INFAD de Psicología: International Journal of Developmental and Educational Psychology, 1</w:t>
      </w:r>
      <w:r w:rsidRPr="00556A8B">
        <w:rPr>
          <w:rFonts w:eastAsia="Times New Roman" w:cs="Times New Roman"/>
        </w:rPr>
        <w:t>(1), 361–370. https://doi.org/10.17060/ijodaep.2020.n1.v1.1793</w:t>
      </w:r>
    </w:p>
    <w:p w14:paraId="3E2E46C8" w14:textId="77777777" w:rsidR="0039341F" w:rsidRPr="00556A8B" w:rsidRDefault="0039341F" w:rsidP="006C48BA">
      <w:pPr>
        <w:ind w:left="720" w:hanging="720"/>
        <w:jc w:val="both"/>
      </w:pPr>
      <w:r w:rsidRPr="00556A8B">
        <w:rPr>
          <w:rFonts w:eastAsia="Times New Roman" w:cs="Times New Roman"/>
        </w:rPr>
        <w:t xml:space="preserve">Mjøsund, N. H. (2021). A salutogenic mental health model: Flourishing as a metaphor for good mental health. En G. Haugan y M. Eriksson (Eds.), </w:t>
      </w:r>
      <w:r w:rsidRPr="00556A8B">
        <w:rPr>
          <w:rFonts w:eastAsia="Times New Roman" w:cs="Times New Roman"/>
          <w:i/>
          <w:iCs/>
        </w:rPr>
        <w:t>Health promotion in health care – Vital theories and research.</w:t>
      </w:r>
      <w:r w:rsidRPr="00556A8B">
        <w:rPr>
          <w:rFonts w:eastAsia="Times New Roman" w:cs="Times New Roman"/>
        </w:rPr>
        <w:t xml:space="preserve"> Springer. https://doi.org/10.1007/978-3-030-63135-2_5</w:t>
      </w:r>
    </w:p>
    <w:p w14:paraId="105E2A3F" w14:textId="77777777" w:rsidR="0039341F" w:rsidRPr="00556A8B" w:rsidRDefault="0039341F" w:rsidP="00DC02C2">
      <w:pPr>
        <w:ind w:firstLine="0"/>
        <w:rPr>
          <w:rFonts w:cs="Times New Roman"/>
        </w:rPr>
      </w:pPr>
      <w:r w:rsidRPr="00556A8B">
        <w:rPr>
          <w:rFonts w:cs="Times New Roman"/>
          <w:lang w:val="en-US"/>
        </w:rPr>
        <w:t xml:space="preserve">Montero, M. (2004). </w:t>
      </w:r>
      <w:r w:rsidRPr="00556A8B">
        <w:rPr>
          <w:rFonts w:cs="Times New Roman"/>
          <w:i/>
          <w:iCs/>
        </w:rPr>
        <w:t>Introducción a la psicología comunitaria</w:t>
      </w:r>
      <w:r w:rsidRPr="00556A8B">
        <w:rPr>
          <w:rFonts w:cs="Times New Roman"/>
        </w:rPr>
        <w:t>. Paidós.</w:t>
      </w:r>
    </w:p>
    <w:p w14:paraId="07876039" w14:textId="77777777" w:rsidR="0039341F" w:rsidRPr="00556A8B" w:rsidRDefault="0039341F" w:rsidP="006C48BA">
      <w:pPr>
        <w:ind w:left="720" w:hanging="720"/>
        <w:jc w:val="both"/>
      </w:pPr>
      <w:r w:rsidRPr="00556A8B">
        <w:rPr>
          <w:rFonts w:eastAsia="Times New Roman" w:cs="Times New Roman"/>
        </w:rPr>
        <w:t xml:space="preserve">Montero-Martínez, J. (2022). Los saberes para regular el autismo en Colombia: Una aproximación crítica desde la postura de Michel Foucault. </w:t>
      </w:r>
      <w:r w:rsidRPr="00556A8B">
        <w:rPr>
          <w:rFonts w:eastAsia="Times New Roman" w:cs="Times New Roman"/>
          <w:i/>
          <w:iCs/>
        </w:rPr>
        <w:t>Revista Ciencias de la Salud, 20</w:t>
      </w:r>
      <w:r w:rsidRPr="00556A8B">
        <w:rPr>
          <w:rFonts w:eastAsia="Times New Roman" w:cs="Times New Roman"/>
        </w:rPr>
        <w:t>(3). https://doi.org/10.12804/revistas.urosario.edu.co/revsalud/a.11711</w:t>
      </w:r>
    </w:p>
    <w:p w14:paraId="6F831A0F" w14:textId="77777777" w:rsidR="0039341F" w:rsidRPr="00556A8B" w:rsidRDefault="0039341F" w:rsidP="006C48BA">
      <w:pPr>
        <w:ind w:left="720" w:hanging="720"/>
        <w:jc w:val="both"/>
      </w:pPr>
      <w:r w:rsidRPr="00556A8B">
        <w:rPr>
          <w:rFonts w:eastAsia="Times New Roman" w:cs="Times New Roman"/>
        </w:rPr>
        <w:t xml:space="preserve">Montoya Vélez, E. M., López Ríos, J. M., Cristancho Marulanda, S., Valencia Franco, M. C., Montero de La Rosa, O. D., y Hernández Holguín, D. M. (2020). Aproximación a la concepción de la salud mental para los pueblos indígenas de Colombia. </w:t>
      </w:r>
      <w:r w:rsidRPr="00556A8B">
        <w:rPr>
          <w:rFonts w:eastAsia="Times New Roman" w:cs="Times New Roman"/>
          <w:i/>
          <w:iCs/>
        </w:rPr>
        <w:t>Ciência &amp; Saúde Coletiva, 25</w:t>
      </w:r>
      <w:r w:rsidRPr="00556A8B">
        <w:rPr>
          <w:rFonts w:eastAsia="Times New Roman" w:cs="Times New Roman"/>
        </w:rPr>
        <w:t>(3), 1157–1166. https://hdl.handle.net/10495/37073</w:t>
      </w:r>
    </w:p>
    <w:p w14:paraId="138BA9DD" w14:textId="77777777" w:rsidR="0039341F" w:rsidRPr="0039341F" w:rsidRDefault="0039341F" w:rsidP="0039341F">
      <w:pPr>
        <w:ind w:left="709" w:hanging="709"/>
        <w:rPr>
          <w:rFonts w:cs="Times New Roman"/>
        </w:rPr>
      </w:pPr>
      <w:r w:rsidRPr="0039341F">
        <w:rPr>
          <w:rFonts w:cs="Times New Roman"/>
        </w:rPr>
        <w:t xml:space="preserve">Moysés, M. A. A., &amp; Collares, C. A. L. (1996). </w:t>
      </w:r>
      <w:r w:rsidRPr="0039341F">
        <w:rPr>
          <w:rFonts w:cs="Times New Roman"/>
          <w:i/>
          <w:iCs/>
        </w:rPr>
        <w:t>Preconceitos no cotidiano escolar: Ensino e medicalização</w:t>
      </w:r>
      <w:r w:rsidRPr="0039341F">
        <w:rPr>
          <w:rFonts w:cs="Times New Roman"/>
        </w:rPr>
        <w:t>. Cortez.</w:t>
      </w:r>
    </w:p>
    <w:p w14:paraId="700032DD" w14:textId="77777777" w:rsidR="0039341F" w:rsidRPr="0039341F" w:rsidRDefault="0039341F" w:rsidP="0039341F">
      <w:pPr>
        <w:ind w:left="709" w:hanging="709"/>
        <w:rPr>
          <w:rFonts w:cs="Times New Roman"/>
        </w:rPr>
      </w:pPr>
      <w:r w:rsidRPr="0039341F">
        <w:rPr>
          <w:rFonts w:cs="Times New Roman"/>
        </w:rPr>
        <w:t xml:space="preserve">Moysés, M. A. A., &amp; Collares, C. A. L. (2013). Controle e medicalização da infância. </w:t>
      </w:r>
      <w:r w:rsidRPr="0039341F">
        <w:rPr>
          <w:rFonts w:cs="Times New Roman"/>
          <w:i/>
          <w:iCs/>
        </w:rPr>
        <w:t>Desidades</w:t>
      </w:r>
      <w:r w:rsidRPr="0039341F">
        <w:rPr>
          <w:rFonts w:cs="Times New Roman"/>
        </w:rPr>
        <w:t xml:space="preserve">, </w:t>
      </w:r>
      <w:r w:rsidRPr="0039341F">
        <w:rPr>
          <w:rFonts w:cs="Times New Roman"/>
          <w:i/>
          <w:iCs/>
        </w:rPr>
        <w:t>1</w:t>
      </w:r>
      <w:r w:rsidRPr="0039341F">
        <w:rPr>
          <w:rFonts w:cs="Times New Roman"/>
        </w:rPr>
        <w:t>(1), 11–21.</w:t>
      </w:r>
    </w:p>
    <w:p w14:paraId="52AC2F3C" w14:textId="77777777" w:rsidR="0039341F" w:rsidRPr="00556A8B" w:rsidRDefault="0039341F" w:rsidP="006C48BA">
      <w:pPr>
        <w:ind w:left="720" w:hanging="720"/>
        <w:jc w:val="both"/>
      </w:pPr>
      <w:r w:rsidRPr="00556A8B">
        <w:rPr>
          <w:rFonts w:eastAsia="Times New Roman" w:cs="Times New Roman"/>
        </w:rPr>
        <w:t xml:space="preserve">Muñoz Arroyave, C. O., Cardona Arango, D., Restrepo-Ochoa, D. A., y Calvo, A. C. (2022). Salud mental positiva: Entre el bienestar y el desarrollo de capacidades. </w:t>
      </w:r>
      <w:r w:rsidRPr="00556A8B">
        <w:rPr>
          <w:rFonts w:eastAsia="Times New Roman" w:cs="Times New Roman"/>
          <w:i/>
          <w:iCs/>
        </w:rPr>
        <w:t>CES Psicología, 15</w:t>
      </w:r>
      <w:r w:rsidRPr="00556A8B">
        <w:rPr>
          <w:rFonts w:eastAsia="Times New Roman" w:cs="Times New Roman"/>
        </w:rPr>
        <w:t>(2), 151–168. https://doi.org/10.21615/cesp.5275</w:t>
      </w:r>
    </w:p>
    <w:p w14:paraId="329D00D1" w14:textId="77777777" w:rsidR="0039341F" w:rsidRPr="00556A8B" w:rsidRDefault="0039341F" w:rsidP="006C48BA">
      <w:pPr>
        <w:ind w:left="720" w:hanging="720"/>
        <w:jc w:val="both"/>
      </w:pPr>
      <w:r w:rsidRPr="00556A8B">
        <w:rPr>
          <w:rFonts w:eastAsia="Times New Roman" w:cs="Times New Roman"/>
        </w:rPr>
        <w:t xml:space="preserve">Narváez, J. H., Obando-Guerrero, L. M., Hernández-Ordoñez, K. M., y De la Cruz-Gordon, E. K. (2021). Bienestar psicológico y estrategias de afrontamiento frente a la COVID-19 en </w:t>
      </w:r>
      <w:r w:rsidRPr="00556A8B">
        <w:rPr>
          <w:rFonts w:eastAsia="Times New Roman" w:cs="Times New Roman"/>
        </w:rPr>
        <w:lastRenderedPageBreak/>
        <w:t xml:space="preserve">universitarios. </w:t>
      </w:r>
      <w:r w:rsidRPr="00556A8B">
        <w:rPr>
          <w:rFonts w:eastAsia="Times New Roman" w:cs="Times New Roman"/>
          <w:i/>
          <w:iCs/>
        </w:rPr>
        <w:t>Universidad y Salud, 23</w:t>
      </w:r>
      <w:r w:rsidRPr="00556A8B">
        <w:rPr>
          <w:rFonts w:eastAsia="Times New Roman" w:cs="Times New Roman"/>
        </w:rPr>
        <w:t>(3), 207–216. https://doi.org/10.22267/rus.212303.234</w:t>
      </w:r>
    </w:p>
    <w:p w14:paraId="4C351A9B" w14:textId="77777777" w:rsidR="0039341F" w:rsidRPr="00556A8B" w:rsidRDefault="0039341F" w:rsidP="006C48BA">
      <w:pPr>
        <w:ind w:left="720" w:hanging="720"/>
        <w:jc w:val="both"/>
      </w:pPr>
      <w:r w:rsidRPr="00556A8B">
        <w:rPr>
          <w:rFonts w:eastAsia="Times New Roman" w:cs="Times New Roman"/>
        </w:rPr>
        <w:t xml:space="preserve">Neri, A. L. (2002). Bienestar subjetivo en la vida adulta y en la vejez: Hacia una psicología positiva en América Latina. </w:t>
      </w:r>
      <w:r w:rsidRPr="00556A8B">
        <w:rPr>
          <w:rFonts w:eastAsia="Times New Roman" w:cs="Times New Roman"/>
          <w:i/>
          <w:iCs/>
        </w:rPr>
        <w:t>Revista Latinoamericana de Psicología, 34</w:t>
      </w:r>
      <w:r w:rsidRPr="00556A8B">
        <w:rPr>
          <w:rFonts w:eastAsia="Times New Roman" w:cs="Times New Roman"/>
        </w:rPr>
        <w:t>(1–2), 55–74. https://www.redalyc.org/articulo.oa?id=80534207</w:t>
      </w:r>
    </w:p>
    <w:p w14:paraId="2C4A8D7E" w14:textId="77777777" w:rsidR="0039341F" w:rsidRPr="00556A8B" w:rsidRDefault="0039341F" w:rsidP="006C48BA">
      <w:pPr>
        <w:ind w:left="720" w:hanging="720"/>
        <w:jc w:val="both"/>
      </w:pPr>
      <w:r w:rsidRPr="00556A8B">
        <w:rPr>
          <w:rFonts w:eastAsia="Times New Roman" w:cs="Times New Roman"/>
        </w:rPr>
        <w:t xml:space="preserve">Nordenfelt, L. (1984). </w:t>
      </w:r>
      <w:r w:rsidRPr="00556A8B">
        <w:rPr>
          <w:rFonts w:eastAsia="Times New Roman" w:cs="Times New Roman"/>
          <w:i/>
          <w:iCs/>
        </w:rPr>
        <w:t>Health, disease, and causal explanations in medicine.</w:t>
      </w:r>
      <w:r w:rsidRPr="00556A8B">
        <w:rPr>
          <w:rFonts w:eastAsia="Times New Roman" w:cs="Times New Roman"/>
        </w:rPr>
        <w:t xml:space="preserve"> D. Reidel Publishing.</w:t>
      </w:r>
    </w:p>
    <w:p w14:paraId="4322E4CD" w14:textId="77777777" w:rsidR="0039341F" w:rsidRPr="00556A8B" w:rsidRDefault="0039341F" w:rsidP="006C48BA">
      <w:pPr>
        <w:ind w:left="720" w:hanging="720"/>
        <w:jc w:val="both"/>
      </w:pPr>
      <w:r w:rsidRPr="00556A8B">
        <w:rPr>
          <w:rFonts w:eastAsia="Times New Roman" w:cs="Times New Roman"/>
        </w:rPr>
        <w:t xml:space="preserve">Oberst, U., &amp; Azkarraga, J. (2023). </w:t>
      </w:r>
      <w:r w:rsidRPr="00556A8B">
        <w:rPr>
          <w:rFonts w:eastAsia="Times New Roman" w:cs="Times New Roman"/>
          <w:i/>
          <w:iCs/>
        </w:rPr>
        <w:t>Afán de poder: Sociedad, salud mental y educación desde una visión actual de Alfred Adler.</w:t>
      </w:r>
      <w:r w:rsidRPr="00556A8B">
        <w:rPr>
          <w:rFonts w:eastAsia="Times New Roman" w:cs="Times New Roman"/>
        </w:rPr>
        <w:t xml:space="preserve"> Herder Editorial.</w:t>
      </w:r>
    </w:p>
    <w:p w14:paraId="2CB077FF" w14:textId="77777777" w:rsidR="0039341F" w:rsidRPr="00556A8B" w:rsidRDefault="0039341F" w:rsidP="006C48BA">
      <w:pPr>
        <w:ind w:left="720" w:hanging="720"/>
        <w:jc w:val="both"/>
      </w:pPr>
      <w:r w:rsidRPr="00556A8B">
        <w:rPr>
          <w:rFonts w:eastAsia="Times New Roman" w:cs="Times New Roman"/>
        </w:rPr>
        <w:t xml:space="preserve">Oramas, A., Santana, S., &amp; Vergara, A. (2006). El bienestar psicológico, un indicador positivo de la salud mental. </w:t>
      </w:r>
      <w:r w:rsidRPr="00556A8B">
        <w:rPr>
          <w:rFonts w:eastAsia="Times New Roman" w:cs="Times New Roman"/>
          <w:i/>
          <w:iCs/>
        </w:rPr>
        <w:t>Revista Cubana de Salud y Trabajo, 7</w:t>
      </w:r>
      <w:r w:rsidRPr="00556A8B">
        <w:rPr>
          <w:rFonts w:eastAsia="Times New Roman" w:cs="Times New Roman"/>
        </w:rPr>
        <w:t>(1–2), 34–39. http://www.sld.cu/galerias/pdf/sitios/insat/rst06106.pdf</w:t>
      </w:r>
    </w:p>
    <w:p w14:paraId="08F83E38" w14:textId="77777777" w:rsidR="0039341F" w:rsidRPr="00556A8B" w:rsidRDefault="0039341F" w:rsidP="00DC02C2">
      <w:pPr>
        <w:ind w:firstLine="0"/>
        <w:rPr>
          <w:rFonts w:cs="Times New Roman"/>
          <w:lang w:val="en-US"/>
        </w:rPr>
      </w:pPr>
      <w:r w:rsidRPr="00556A8B">
        <w:rPr>
          <w:rFonts w:cs="Times New Roman"/>
        </w:rPr>
        <w:t xml:space="preserve">Organización Mundial de la Salud. (2020). </w:t>
      </w:r>
      <w:r w:rsidRPr="00556A8B">
        <w:rPr>
          <w:rFonts w:cs="Times New Roman"/>
          <w:i/>
          <w:iCs/>
        </w:rPr>
        <w:t>Salud mental: fortalecer nuestra respuesta</w:t>
      </w:r>
      <w:r w:rsidRPr="00556A8B">
        <w:rPr>
          <w:rFonts w:cs="Times New Roman"/>
        </w:rPr>
        <w:t xml:space="preserve">. </w:t>
      </w:r>
      <w:r w:rsidRPr="00556A8B">
        <w:rPr>
          <w:rFonts w:cs="Times New Roman"/>
          <w:lang w:val="en-US"/>
        </w:rPr>
        <w:t>OMS</w:t>
      </w:r>
    </w:p>
    <w:p w14:paraId="36778FE2" w14:textId="77777777" w:rsidR="0039341F" w:rsidRPr="00556A8B" w:rsidRDefault="0039341F" w:rsidP="006C48BA">
      <w:pPr>
        <w:ind w:left="720" w:hanging="720"/>
        <w:jc w:val="both"/>
      </w:pPr>
      <w:r w:rsidRPr="00556A8B">
        <w:rPr>
          <w:rFonts w:eastAsia="Times New Roman" w:cs="Times New Roman"/>
        </w:rPr>
        <w:t xml:space="preserve">Orrú, S. E. (2020). Singularidades e impacto social del autismo severo en Brasil. </w:t>
      </w:r>
      <w:r w:rsidRPr="00556A8B">
        <w:rPr>
          <w:rFonts w:eastAsia="Times New Roman" w:cs="Times New Roman"/>
          <w:i/>
          <w:iCs/>
        </w:rPr>
        <w:t>Humanidades Médicas, 20</w:t>
      </w:r>
      <w:r w:rsidRPr="00556A8B">
        <w:rPr>
          <w:rFonts w:eastAsia="Times New Roman" w:cs="Times New Roman"/>
        </w:rPr>
        <w:t>(2), 334–363. http://scielo.sld.cu/scielo.php?script=sci_arttext&amp;pid=S1727-81202020000200334</w:t>
      </w:r>
    </w:p>
    <w:p w14:paraId="23D7AB04" w14:textId="77777777" w:rsidR="0039341F" w:rsidRPr="00556A8B" w:rsidRDefault="0039341F" w:rsidP="006C48BA">
      <w:pPr>
        <w:ind w:left="720" w:hanging="720"/>
        <w:jc w:val="both"/>
      </w:pPr>
      <w:r w:rsidRPr="00556A8B">
        <w:rPr>
          <w:rFonts w:eastAsia="Times New Roman" w:cs="Times New Roman"/>
        </w:rPr>
        <w:t xml:space="preserve">Otero, E., y Gibert, J. (2016). </w:t>
      </w:r>
      <w:r w:rsidRPr="00556A8B">
        <w:rPr>
          <w:rFonts w:eastAsia="Times New Roman" w:cs="Times New Roman"/>
          <w:i/>
          <w:iCs/>
        </w:rPr>
        <w:t>Diccionario de epistemología.</w:t>
      </w:r>
      <w:r w:rsidRPr="00556A8B">
        <w:rPr>
          <w:rFonts w:eastAsia="Times New Roman" w:cs="Times New Roman"/>
        </w:rPr>
        <w:t xml:space="preserve"> RIL Editores.</w:t>
      </w:r>
    </w:p>
    <w:p w14:paraId="23C89118" w14:textId="77777777" w:rsidR="0039341F" w:rsidRPr="00556A8B" w:rsidRDefault="0039341F" w:rsidP="006C48BA">
      <w:pPr>
        <w:ind w:left="720" w:hanging="720"/>
        <w:jc w:val="both"/>
      </w:pPr>
      <w:r w:rsidRPr="00556A8B">
        <w:rPr>
          <w:rFonts w:eastAsia="Times New Roman" w:cs="Times New Roman"/>
        </w:rPr>
        <w:t xml:space="preserve">Park, C. L. (2021). Flexibility and adaptability in mental health: Coping with adversity and maintaining functioning. </w:t>
      </w:r>
      <w:r w:rsidRPr="00556A8B">
        <w:rPr>
          <w:rFonts w:eastAsia="Times New Roman" w:cs="Times New Roman"/>
          <w:i/>
          <w:iCs/>
        </w:rPr>
        <w:t>Social Science &amp; Medicine.</w:t>
      </w:r>
      <w:r w:rsidRPr="00556A8B">
        <w:rPr>
          <w:rFonts w:eastAsia="Times New Roman" w:cs="Times New Roman"/>
        </w:rPr>
        <w:t xml:space="preserve"> https://doi.org/10.1016/j.socscimed.2025.118229</w:t>
      </w:r>
    </w:p>
    <w:p w14:paraId="60731AFC" w14:textId="77777777" w:rsidR="0039341F" w:rsidRPr="00556A8B" w:rsidRDefault="0039341F" w:rsidP="00DC02C2">
      <w:pPr>
        <w:ind w:firstLine="0"/>
        <w:rPr>
          <w:rFonts w:cs="Times New Roman"/>
          <w:lang w:val="en-US"/>
        </w:rPr>
      </w:pPr>
      <w:r w:rsidRPr="00556A8B">
        <w:rPr>
          <w:rFonts w:cs="Times New Roman"/>
          <w:lang w:val="en-US"/>
        </w:rPr>
        <w:t xml:space="preserve">Parker, I. (1992). </w:t>
      </w:r>
      <w:r w:rsidRPr="00556A8B">
        <w:rPr>
          <w:rFonts w:cs="Times New Roman"/>
          <w:i/>
          <w:iCs/>
          <w:lang w:val="en-US"/>
        </w:rPr>
        <w:t>Discourse dynamics</w:t>
      </w:r>
      <w:r w:rsidRPr="00556A8B">
        <w:rPr>
          <w:rFonts w:cs="Times New Roman"/>
          <w:lang w:val="en-US"/>
        </w:rPr>
        <w:t>. Routledge.</w:t>
      </w:r>
    </w:p>
    <w:p w14:paraId="3ADF2A83" w14:textId="77777777" w:rsidR="0039341F" w:rsidRPr="00556A8B" w:rsidRDefault="0039341F" w:rsidP="00DC02C2">
      <w:pPr>
        <w:ind w:firstLine="0"/>
        <w:rPr>
          <w:rFonts w:cs="Times New Roman"/>
        </w:rPr>
      </w:pPr>
      <w:r w:rsidRPr="00556A8B">
        <w:rPr>
          <w:rFonts w:cs="Times New Roman"/>
          <w:lang w:val="en-US"/>
        </w:rPr>
        <w:t xml:space="preserve">Parker, I. (2015). </w:t>
      </w:r>
      <w:r w:rsidRPr="00556A8B">
        <w:rPr>
          <w:rFonts w:cs="Times New Roman"/>
          <w:i/>
          <w:iCs/>
          <w:lang w:val="en-US"/>
        </w:rPr>
        <w:t>Psychology and the status quo</w:t>
      </w:r>
      <w:r w:rsidRPr="00556A8B">
        <w:rPr>
          <w:rFonts w:cs="Times New Roman"/>
          <w:lang w:val="en-US"/>
        </w:rPr>
        <w:t xml:space="preserve">. </w:t>
      </w:r>
      <w:r w:rsidRPr="00556A8B">
        <w:rPr>
          <w:rFonts w:cs="Times New Roman"/>
        </w:rPr>
        <w:t>Routledge.</w:t>
      </w:r>
    </w:p>
    <w:p w14:paraId="1E6EABD3" w14:textId="77777777" w:rsidR="0039341F" w:rsidRPr="00556A8B" w:rsidRDefault="0039341F" w:rsidP="006C48BA">
      <w:pPr>
        <w:ind w:left="720" w:hanging="720"/>
        <w:jc w:val="both"/>
      </w:pPr>
      <w:r w:rsidRPr="00556A8B">
        <w:rPr>
          <w:rFonts w:eastAsia="Times New Roman" w:cs="Times New Roman"/>
        </w:rPr>
        <w:t xml:space="preserve">Parsons, T. (1951). </w:t>
      </w:r>
      <w:r w:rsidRPr="00556A8B">
        <w:rPr>
          <w:rFonts w:eastAsia="Times New Roman" w:cs="Times New Roman"/>
          <w:i/>
          <w:iCs/>
        </w:rPr>
        <w:t>The social system.</w:t>
      </w:r>
      <w:r w:rsidRPr="00556A8B">
        <w:rPr>
          <w:rFonts w:eastAsia="Times New Roman" w:cs="Times New Roman"/>
        </w:rPr>
        <w:t xml:space="preserve"> Free Press.</w:t>
      </w:r>
    </w:p>
    <w:p w14:paraId="16C27507" w14:textId="77777777" w:rsidR="0039341F" w:rsidRPr="0039341F" w:rsidRDefault="0039341F" w:rsidP="0039341F">
      <w:pPr>
        <w:ind w:left="709" w:hanging="709"/>
        <w:rPr>
          <w:rFonts w:cs="Times New Roman"/>
        </w:rPr>
      </w:pPr>
      <w:r w:rsidRPr="0039341F">
        <w:rPr>
          <w:rFonts w:cs="Times New Roman"/>
        </w:rPr>
        <w:t xml:space="preserve">Pavón-Cuéllar, D. (2011). Cinco siglos de posiciones alternativas, críticas y radicales en la psicología mexicana. </w:t>
      </w:r>
      <w:r w:rsidRPr="0039341F">
        <w:rPr>
          <w:rFonts w:cs="Times New Roman"/>
          <w:i/>
          <w:iCs/>
        </w:rPr>
        <w:t>Athenea Digital</w:t>
      </w:r>
      <w:r w:rsidRPr="0039341F">
        <w:rPr>
          <w:rFonts w:cs="Times New Roman"/>
        </w:rPr>
        <w:t xml:space="preserve">, </w:t>
      </w:r>
      <w:r w:rsidRPr="0039341F">
        <w:rPr>
          <w:rFonts w:cs="Times New Roman"/>
          <w:i/>
          <w:iCs/>
        </w:rPr>
        <w:t>11</w:t>
      </w:r>
      <w:r w:rsidRPr="0039341F">
        <w:rPr>
          <w:rFonts w:cs="Times New Roman"/>
        </w:rPr>
        <w:t xml:space="preserve">(2), 193–213. </w:t>
      </w:r>
      <w:hyperlink r:id="rId26" w:history="1">
        <w:r w:rsidRPr="0039341F">
          <w:rPr>
            <w:rStyle w:val="Hipervnculo"/>
            <w:rFonts w:cs="Times New Roman"/>
          </w:rPr>
          <w:t>https://doi.org/10.5565/rev/athenea.799</w:t>
        </w:r>
      </w:hyperlink>
    </w:p>
    <w:p w14:paraId="3D1049F0" w14:textId="77777777" w:rsidR="0039341F" w:rsidRPr="0039341F" w:rsidRDefault="0039341F" w:rsidP="0039341F">
      <w:pPr>
        <w:ind w:left="709" w:hanging="709"/>
        <w:rPr>
          <w:rFonts w:cs="Times New Roman"/>
        </w:rPr>
      </w:pPr>
      <w:r w:rsidRPr="0039341F">
        <w:rPr>
          <w:rFonts w:cs="Times New Roman"/>
        </w:rPr>
        <w:t xml:space="preserve">Pavón-Cuéllar, D. (2019). </w:t>
      </w:r>
      <w:r w:rsidRPr="0039341F">
        <w:rPr>
          <w:rFonts w:cs="Times New Roman"/>
          <w:i/>
          <w:iCs/>
        </w:rPr>
        <w:t>Psicología crítica: Definición, antecedentes, historia y actualidad</w:t>
      </w:r>
      <w:r w:rsidRPr="0039341F">
        <w:rPr>
          <w:rFonts w:cs="Times New Roman"/>
        </w:rPr>
        <w:t>. Ítaca.</w:t>
      </w:r>
    </w:p>
    <w:p w14:paraId="34F13F19" w14:textId="77777777" w:rsidR="0039341F" w:rsidRPr="00556A8B" w:rsidRDefault="0039341F" w:rsidP="00556A8B">
      <w:pPr>
        <w:ind w:left="709" w:hanging="709"/>
        <w:rPr>
          <w:rFonts w:cs="Times New Roman"/>
        </w:rPr>
      </w:pPr>
      <w:r w:rsidRPr="00556A8B">
        <w:rPr>
          <w:rFonts w:cs="Times New Roman"/>
        </w:rPr>
        <w:t xml:space="preserve">Pereira-Perdomo, P., y Zúñiga-Iturra, B. (2022). Estatus ontológico de la psicopatología. </w:t>
      </w:r>
      <w:r w:rsidRPr="00556A8B">
        <w:rPr>
          <w:rFonts w:cs="Times New Roman"/>
          <w:i/>
          <w:iCs/>
        </w:rPr>
        <w:t>Culturas Científicas, 3</w:t>
      </w:r>
      <w:r w:rsidRPr="00556A8B">
        <w:rPr>
          <w:rFonts w:cs="Times New Roman"/>
        </w:rPr>
        <w:t>(2), 110–129.</w:t>
      </w:r>
    </w:p>
    <w:p w14:paraId="260E83CA" w14:textId="77777777" w:rsidR="0039341F" w:rsidRPr="00556A8B" w:rsidRDefault="0039341F" w:rsidP="006C48BA">
      <w:pPr>
        <w:ind w:left="720" w:hanging="720"/>
        <w:jc w:val="both"/>
      </w:pPr>
      <w:r w:rsidRPr="00556A8B">
        <w:rPr>
          <w:rFonts w:eastAsia="Times New Roman" w:cs="Times New Roman"/>
        </w:rPr>
        <w:t xml:space="preserve">Perls, F. (1976). </w:t>
      </w:r>
      <w:r w:rsidRPr="00556A8B">
        <w:rPr>
          <w:rFonts w:eastAsia="Times New Roman" w:cs="Times New Roman"/>
          <w:i/>
          <w:iCs/>
        </w:rPr>
        <w:t>Gestalt therapy verbatim.</w:t>
      </w:r>
      <w:r w:rsidRPr="00556A8B">
        <w:rPr>
          <w:rFonts w:eastAsia="Times New Roman" w:cs="Times New Roman"/>
        </w:rPr>
        <w:t xml:space="preserve"> Bantam Books.</w:t>
      </w:r>
    </w:p>
    <w:p w14:paraId="15E2B0D4" w14:textId="77777777" w:rsidR="0039341F" w:rsidRPr="00556A8B" w:rsidRDefault="0039341F" w:rsidP="006C48BA">
      <w:pPr>
        <w:ind w:left="720" w:hanging="720"/>
        <w:jc w:val="both"/>
      </w:pPr>
      <w:r w:rsidRPr="00556A8B">
        <w:rPr>
          <w:rFonts w:eastAsia="Times New Roman" w:cs="Times New Roman"/>
        </w:rPr>
        <w:t xml:space="preserve">Perls, F. (1990). </w:t>
      </w:r>
      <w:r w:rsidRPr="00556A8B">
        <w:rPr>
          <w:rFonts w:eastAsia="Times New Roman" w:cs="Times New Roman"/>
          <w:i/>
          <w:iCs/>
        </w:rPr>
        <w:t>Dentro y fuera del tarro de la basura.</w:t>
      </w:r>
      <w:r w:rsidRPr="00556A8B">
        <w:rPr>
          <w:rFonts w:eastAsia="Times New Roman" w:cs="Times New Roman"/>
        </w:rPr>
        <w:t xml:space="preserve"> Cuatro Vientos.</w:t>
      </w:r>
    </w:p>
    <w:p w14:paraId="34A683B1" w14:textId="77777777" w:rsidR="0039341F" w:rsidRPr="00556A8B" w:rsidRDefault="0039341F" w:rsidP="006C48BA">
      <w:pPr>
        <w:spacing w:after="200"/>
        <w:ind w:left="720" w:hanging="720"/>
        <w:jc w:val="both"/>
      </w:pPr>
      <w:r w:rsidRPr="00556A8B">
        <w:rPr>
          <w:rFonts w:eastAsia="Times New Roman" w:cs="Times New Roman"/>
        </w:rPr>
        <w:lastRenderedPageBreak/>
        <w:t xml:space="preserve">Piñuel Raigada, J. L. (2002). Epistemología, metodología y técnicas del análisis de contenido. </w:t>
      </w:r>
      <w:r w:rsidRPr="00556A8B">
        <w:rPr>
          <w:rFonts w:eastAsia="Times New Roman" w:cs="Times New Roman"/>
          <w:i/>
          <w:iCs/>
        </w:rPr>
        <w:t>Estudios de Sociolingüística, 3</w:t>
      </w:r>
      <w:r w:rsidRPr="00556A8B">
        <w:rPr>
          <w:rFonts w:eastAsia="Times New Roman" w:cs="Times New Roman"/>
        </w:rPr>
        <w:t>(1), 1–42.</w:t>
      </w:r>
    </w:p>
    <w:p w14:paraId="7316EC7F" w14:textId="77777777" w:rsidR="0039341F" w:rsidRPr="00556A8B" w:rsidRDefault="0039341F" w:rsidP="006C48BA">
      <w:pPr>
        <w:ind w:left="720" w:hanging="720"/>
        <w:jc w:val="both"/>
      </w:pPr>
      <w:r w:rsidRPr="00556A8B">
        <w:rPr>
          <w:rFonts w:eastAsia="Times New Roman" w:cs="Times New Roman"/>
        </w:rPr>
        <w:t xml:space="preserve">Pro-Velasco, M. (2020). Reflections on the meaning of pain, suffering and death. </w:t>
      </w:r>
      <w:r w:rsidRPr="00556A8B">
        <w:rPr>
          <w:rFonts w:eastAsia="Times New Roman" w:cs="Times New Roman"/>
          <w:i/>
          <w:iCs/>
        </w:rPr>
        <w:t>Cuadernos de Bioética, 31</w:t>
      </w:r>
      <w:r w:rsidRPr="00556A8B">
        <w:rPr>
          <w:rFonts w:eastAsia="Times New Roman" w:cs="Times New Roman"/>
        </w:rPr>
        <w:t>(103), 377–386. https://doi.org/10.30444/cb.77</w:t>
      </w:r>
    </w:p>
    <w:p w14:paraId="517BC41D" w14:textId="77777777" w:rsidR="0039341F" w:rsidRPr="00556A8B" w:rsidRDefault="0039341F" w:rsidP="006C48BA">
      <w:pPr>
        <w:ind w:left="720" w:hanging="720"/>
        <w:jc w:val="both"/>
      </w:pPr>
      <w:r w:rsidRPr="00556A8B">
        <w:rPr>
          <w:rFonts w:eastAsia="Times New Roman" w:cs="Times New Roman"/>
        </w:rPr>
        <w:t xml:space="preserve">Restrepo, D., &amp; Jaramillo, J. (2012). Concepciones de salud mental en el campo de la salud pública. </w:t>
      </w:r>
      <w:r w:rsidRPr="00556A8B">
        <w:rPr>
          <w:rFonts w:eastAsia="Times New Roman" w:cs="Times New Roman"/>
          <w:i/>
          <w:iCs/>
        </w:rPr>
        <w:t>Revista Facultad Nacional de Salud Pública, 30</w:t>
      </w:r>
      <w:r w:rsidRPr="00556A8B">
        <w:rPr>
          <w:rFonts w:eastAsia="Times New Roman" w:cs="Times New Roman"/>
        </w:rPr>
        <w:t>(2), 202–211.</w:t>
      </w:r>
    </w:p>
    <w:p w14:paraId="141F6FAB" w14:textId="77777777" w:rsidR="0039341F" w:rsidRPr="00556A8B" w:rsidRDefault="0039341F" w:rsidP="006C48BA">
      <w:pPr>
        <w:ind w:left="720" w:hanging="720"/>
        <w:jc w:val="both"/>
      </w:pPr>
      <w:r w:rsidRPr="00556A8B">
        <w:rPr>
          <w:rFonts w:eastAsia="Times New Roman" w:cs="Times New Roman"/>
        </w:rPr>
        <w:t xml:space="preserve">Rigotti, S. M. (2021). Aportes para reconstruir la episteme contemporánea: Una lectura desde Foucault. </w:t>
      </w:r>
      <w:r w:rsidRPr="00556A8B">
        <w:rPr>
          <w:rFonts w:eastAsia="Times New Roman" w:cs="Times New Roman"/>
          <w:i/>
          <w:iCs/>
        </w:rPr>
        <w:t>Astrolabio,</w:t>
      </w:r>
      <w:r w:rsidRPr="00556A8B">
        <w:rPr>
          <w:rFonts w:eastAsia="Times New Roman" w:cs="Times New Roman"/>
        </w:rPr>
        <w:t xml:space="preserve"> (26), 402–425.</w:t>
      </w:r>
    </w:p>
    <w:p w14:paraId="150BB283" w14:textId="77777777" w:rsidR="0039341F" w:rsidRPr="00556A8B" w:rsidRDefault="0039341F" w:rsidP="006C48BA">
      <w:pPr>
        <w:ind w:left="720" w:hanging="720"/>
        <w:jc w:val="both"/>
      </w:pPr>
      <w:r w:rsidRPr="00556A8B">
        <w:rPr>
          <w:rFonts w:eastAsia="Times New Roman" w:cs="Times New Roman"/>
        </w:rPr>
        <w:t xml:space="preserve">Rodelo Valle, C., y Garay Núñez, J. R. (2020). Representaciones sociales de la salud mental y de los trastornos mentales en estudiantes universitarios de enfermería. </w:t>
      </w:r>
      <w:r w:rsidRPr="00556A8B">
        <w:rPr>
          <w:rFonts w:eastAsia="Times New Roman" w:cs="Times New Roman"/>
          <w:i/>
          <w:iCs/>
        </w:rPr>
        <w:t>Revista Dilemas Contemporáneos: Educación, Política y Valores, VIII</w:t>
      </w:r>
      <w:r w:rsidRPr="00556A8B">
        <w:rPr>
          <w:rFonts w:eastAsia="Times New Roman" w:cs="Times New Roman"/>
        </w:rPr>
        <w:t>(Ed. Especial). https://doi.org/10.46377/dilemas.v8i.2483</w:t>
      </w:r>
    </w:p>
    <w:p w14:paraId="7CCC18B0" w14:textId="77777777" w:rsidR="0039341F" w:rsidRPr="00556A8B" w:rsidRDefault="0039341F" w:rsidP="00DC02C2">
      <w:pPr>
        <w:ind w:firstLine="0"/>
        <w:rPr>
          <w:rFonts w:cs="Times New Roman"/>
        </w:rPr>
      </w:pPr>
      <w:r w:rsidRPr="00556A8B">
        <w:rPr>
          <w:rFonts w:cs="Times New Roman"/>
        </w:rPr>
        <w:t xml:space="preserve">Rogers, C. (1979). </w:t>
      </w:r>
      <w:r w:rsidRPr="00556A8B">
        <w:rPr>
          <w:rFonts w:cs="Times New Roman"/>
          <w:i/>
          <w:iCs/>
        </w:rPr>
        <w:t>El proceso de convertirse en persona</w:t>
      </w:r>
      <w:r w:rsidRPr="00556A8B">
        <w:rPr>
          <w:rFonts w:cs="Times New Roman"/>
        </w:rPr>
        <w:t>. Paidós.</w:t>
      </w:r>
    </w:p>
    <w:p w14:paraId="3CDC149E" w14:textId="77777777" w:rsidR="0039341F" w:rsidRPr="00556A8B" w:rsidRDefault="0039341F" w:rsidP="006C48BA">
      <w:pPr>
        <w:ind w:left="720" w:hanging="720"/>
        <w:jc w:val="both"/>
      </w:pPr>
      <w:r w:rsidRPr="00556A8B">
        <w:rPr>
          <w:rFonts w:eastAsia="Times New Roman" w:cs="Times New Roman"/>
        </w:rPr>
        <w:t xml:space="preserve">Rogers, C. R. (1987). </w:t>
      </w:r>
      <w:r w:rsidRPr="00556A8B">
        <w:rPr>
          <w:rFonts w:eastAsia="Times New Roman" w:cs="Times New Roman"/>
          <w:i/>
          <w:iCs/>
        </w:rPr>
        <w:t>Psicoterapia centrada en la persona.</w:t>
      </w:r>
      <w:r w:rsidRPr="00556A8B">
        <w:rPr>
          <w:rFonts w:eastAsia="Times New Roman" w:cs="Times New Roman"/>
        </w:rPr>
        <w:t xml:space="preserve"> Paidós.</w:t>
      </w:r>
    </w:p>
    <w:p w14:paraId="620FD4D4" w14:textId="77777777" w:rsidR="0039341F" w:rsidRPr="00556A8B" w:rsidRDefault="0039341F" w:rsidP="00DC02C2">
      <w:pPr>
        <w:ind w:firstLine="0"/>
        <w:rPr>
          <w:rFonts w:cs="Times New Roman"/>
          <w:lang w:val="en-US"/>
        </w:rPr>
      </w:pPr>
      <w:r w:rsidRPr="00556A8B">
        <w:rPr>
          <w:rFonts w:cs="Times New Roman"/>
        </w:rPr>
        <w:t xml:space="preserve">Rose, N. (1999). </w:t>
      </w:r>
      <w:r w:rsidRPr="00556A8B">
        <w:rPr>
          <w:rFonts w:cs="Times New Roman"/>
          <w:i/>
          <w:iCs/>
        </w:rPr>
        <w:t>Poderes de la libertad</w:t>
      </w:r>
      <w:r w:rsidRPr="00556A8B">
        <w:rPr>
          <w:rFonts w:cs="Times New Roman"/>
        </w:rPr>
        <w:t xml:space="preserve">. </w:t>
      </w:r>
      <w:r w:rsidRPr="00556A8B">
        <w:rPr>
          <w:rFonts w:cs="Times New Roman"/>
          <w:lang w:val="en-US"/>
        </w:rPr>
        <w:t>Cambridge University Press.</w:t>
      </w:r>
    </w:p>
    <w:p w14:paraId="1464A448" w14:textId="77777777" w:rsidR="0039341F" w:rsidRPr="00556A8B" w:rsidRDefault="0039341F" w:rsidP="006C48BA">
      <w:pPr>
        <w:ind w:left="720" w:hanging="720"/>
        <w:jc w:val="both"/>
      </w:pPr>
      <w:r w:rsidRPr="00556A8B">
        <w:rPr>
          <w:rFonts w:eastAsia="Times New Roman" w:cs="Times New Roman"/>
        </w:rPr>
        <w:t xml:space="preserve">Rose, N. (2001). Normality and pathology in a biological age. </w:t>
      </w:r>
      <w:r w:rsidRPr="00556A8B">
        <w:rPr>
          <w:rFonts w:eastAsia="Times New Roman" w:cs="Times New Roman"/>
          <w:i/>
          <w:iCs/>
        </w:rPr>
        <w:t>Outlines, 1</w:t>
      </w:r>
      <w:r w:rsidRPr="00556A8B">
        <w:rPr>
          <w:rFonts w:eastAsia="Times New Roman" w:cs="Times New Roman"/>
        </w:rPr>
        <w:t>, 19–33.</w:t>
      </w:r>
    </w:p>
    <w:p w14:paraId="73FF1AC5" w14:textId="77777777" w:rsidR="0039341F" w:rsidRPr="00556A8B" w:rsidRDefault="0039341F" w:rsidP="00DC02C2">
      <w:pPr>
        <w:ind w:firstLine="0"/>
        <w:rPr>
          <w:rFonts w:cs="Times New Roman"/>
        </w:rPr>
      </w:pPr>
      <w:bookmarkStart w:id="181" w:name="_Toc440985144"/>
      <w:bookmarkEnd w:id="181"/>
      <w:r w:rsidRPr="00556A8B">
        <w:rPr>
          <w:rFonts w:cs="Times New Roman"/>
          <w:lang w:val="en-US"/>
        </w:rPr>
        <w:t xml:space="preserve">Rose, N. (2012). </w:t>
      </w:r>
      <w:r w:rsidRPr="00556A8B">
        <w:rPr>
          <w:rFonts w:cs="Times New Roman"/>
          <w:i/>
          <w:iCs/>
        </w:rPr>
        <w:t>Políticas de la vida misma</w:t>
      </w:r>
      <w:r w:rsidRPr="00556A8B">
        <w:rPr>
          <w:rFonts w:cs="Times New Roman"/>
        </w:rPr>
        <w:t>. Katz.</w:t>
      </w:r>
    </w:p>
    <w:p w14:paraId="1CB2F5C0" w14:textId="77777777" w:rsidR="0039341F" w:rsidRPr="00556A8B" w:rsidRDefault="0039341F" w:rsidP="006C48BA">
      <w:pPr>
        <w:ind w:left="720" w:hanging="720"/>
        <w:jc w:val="both"/>
      </w:pPr>
      <w:r w:rsidRPr="00556A8B">
        <w:rPr>
          <w:rFonts w:eastAsia="Times New Roman" w:cs="Times New Roman"/>
        </w:rPr>
        <w:t xml:space="preserve">Rose, N. (2019). </w:t>
      </w:r>
      <w:r w:rsidRPr="00556A8B">
        <w:rPr>
          <w:rFonts w:eastAsia="Times New Roman" w:cs="Times New Roman"/>
          <w:i/>
          <w:iCs/>
        </w:rPr>
        <w:t>La invención del sí mismo: Poder, ética y subjetivación.</w:t>
      </w:r>
      <w:r w:rsidRPr="00556A8B">
        <w:rPr>
          <w:rFonts w:eastAsia="Times New Roman" w:cs="Times New Roman"/>
        </w:rPr>
        <w:t xml:space="preserve"> Pólvora.</w:t>
      </w:r>
    </w:p>
    <w:p w14:paraId="188A75BC" w14:textId="77777777" w:rsidR="0039341F" w:rsidRPr="00556A8B" w:rsidRDefault="0039341F" w:rsidP="00DC02C2">
      <w:pPr>
        <w:ind w:firstLine="0"/>
        <w:rPr>
          <w:rFonts w:cs="Times New Roman"/>
        </w:rPr>
      </w:pPr>
      <w:r w:rsidRPr="00556A8B">
        <w:rPr>
          <w:rFonts w:cs="Times New Roman"/>
        </w:rPr>
        <w:t xml:space="preserve">Rose, N. (2020). </w:t>
      </w:r>
      <w:r w:rsidRPr="00556A8B">
        <w:rPr>
          <w:rFonts w:cs="Times New Roman"/>
          <w:i/>
          <w:iCs/>
        </w:rPr>
        <w:t>Nuestro futuro psiquiátrico</w:t>
      </w:r>
      <w:r w:rsidRPr="00556A8B">
        <w:rPr>
          <w:rFonts w:cs="Times New Roman"/>
        </w:rPr>
        <w:t>. Morata.</w:t>
      </w:r>
    </w:p>
    <w:p w14:paraId="12D35C81" w14:textId="77777777" w:rsidR="0039341F" w:rsidRPr="00556A8B" w:rsidRDefault="0039341F" w:rsidP="006C48BA">
      <w:pPr>
        <w:ind w:left="720" w:hanging="720"/>
        <w:jc w:val="both"/>
      </w:pPr>
      <w:r w:rsidRPr="00556A8B">
        <w:rPr>
          <w:rFonts w:eastAsia="Times New Roman" w:cs="Times New Roman"/>
        </w:rPr>
        <w:t xml:space="preserve">Rovaletti, M. (2023). De la psico(pato)logía fenomenológica a la antropología clínica: Senderos de una reflexión teórica y práctica. </w:t>
      </w:r>
      <w:r w:rsidRPr="00556A8B">
        <w:rPr>
          <w:rFonts w:eastAsia="Times New Roman" w:cs="Times New Roman"/>
          <w:i/>
          <w:iCs/>
        </w:rPr>
        <w:t>Revista Akadèmeia, 22</w:t>
      </w:r>
      <w:r w:rsidRPr="00556A8B">
        <w:rPr>
          <w:rFonts w:eastAsia="Times New Roman" w:cs="Times New Roman"/>
        </w:rPr>
        <w:t>(2), 17–34. https://doi.org/10.61144/0718-9397.2023.503</w:t>
      </w:r>
    </w:p>
    <w:p w14:paraId="519084F9" w14:textId="77777777" w:rsidR="0039341F" w:rsidRPr="00556A8B" w:rsidRDefault="0039341F" w:rsidP="006C48BA">
      <w:pPr>
        <w:ind w:left="720" w:hanging="720"/>
        <w:jc w:val="both"/>
      </w:pPr>
      <w:r w:rsidRPr="00556A8B">
        <w:rPr>
          <w:rFonts w:eastAsia="Times New Roman" w:cs="Times New Roman"/>
        </w:rPr>
        <w:t xml:space="preserve">Ruiz, C. (2016). Estado, sociedad civil y hegemonía en el pensamiento político de Gramsci. </w:t>
      </w:r>
      <w:r w:rsidRPr="00556A8B">
        <w:rPr>
          <w:rFonts w:eastAsia="Times New Roman" w:cs="Times New Roman"/>
          <w:i/>
          <w:iCs/>
        </w:rPr>
        <w:t>Revista de Filosofía y Teoría Política,</w:t>
      </w:r>
      <w:r w:rsidRPr="00556A8B">
        <w:rPr>
          <w:rFonts w:eastAsia="Times New Roman" w:cs="Times New Roman"/>
        </w:rPr>
        <w:t xml:space="preserve"> (47), Artículo e002. https://www.rfytp.fahce.unlp.edu.ar/article/view/RFyTPe002</w:t>
      </w:r>
    </w:p>
    <w:p w14:paraId="304A2291" w14:textId="77777777" w:rsidR="0039341F" w:rsidRPr="00556A8B" w:rsidRDefault="0039341F" w:rsidP="00DC02C2">
      <w:pPr>
        <w:ind w:left="709" w:hanging="709"/>
        <w:rPr>
          <w:rFonts w:cs="Times New Roman"/>
          <w:lang w:val="en-US"/>
        </w:rPr>
      </w:pPr>
      <w:r w:rsidRPr="00556A8B">
        <w:rPr>
          <w:rFonts w:cs="Times New Roman"/>
        </w:rPr>
        <w:t xml:space="preserve">Ruperthuz Honorato, M., y Lévy Lazcano, S. (2017). Saberes psi en clave de autoayuda. </w:t>
      </w:r>
      <w:r w:rsidRPr="00556A8B">
        <w:rPr>
          <w:rFonts w:cs="Times New Roman"/>
          <w:i/>
          <w:iCs/>
          <w:lang w:val="en-US"/>
        </w:rPr>
        <w:t>Psicoperspectivas, 16</w:t>
      </w:r>
      <w:r w:rsidRPr="00556A8B">
        <w:rPr>
          <w:rFonts w:cs="Times New Roman"/>
          <w:lang w:val="en-US"/>
        </w:rPr>
        <w:t>(3), 122–136.</w:t>
      </w:r>
    </w:p>
    <w:p w14:paraId="271CF3E9" w14:textId="77777777" w:rsidR="0039341F" w:rsidRPr="00556A8B" w:rsidRDefault="0039341F" w:rsidP="00DC02C2">
      <w:pPr>
        <w:ind w:left="567" w:hanging="567"/>
        <w:rPr>
          <w:rFonts w:cs="Times New Roman"/>
          <w:lang w:val="en-US"/>
        </w:rPr>
      </w:pPr>
      <w:r w:rsidRPr="00556A8B">
        <w:rPr>
          <w:rFonts w:cs="Times New Roman"/>
          <w:lang w:val="en-US"/>
        </w:rPr>
        <w:t xml:space="preserve">Ryff, C. (1989). Happiness is everything, or is it? </w:t>
      </w:r>
      <w:r w:rsidRPr="00556A8B">
        <w:rPr>
          <w:rFonts w:cs="Times New Roman"/>
          <w:i/>
          <w:iCs/>
          <w:lang w:val="en-US"/>
        </w:rPr>
        <w:t>Journal of Personality and Social Psychology, 57</w:t>
      </w:r>
      <w:r w:rsidRPr="00556A8B">
        <w:rPr>
          <w:rFonts w:cs="Times New Roman"/>
          <w:lang w:val="en-US"/>
        </w:rPr>
        <w:t>, 1069–1081.</w:t>
      </w:r>
    </w:p>
    <w:p w14:paraId="1CC60651" w14:textId="77777777" w:rsidR="0039341F" w:rsidRPr="00556A8B" w:rsidRDefault="0039341F" w:rsidP="006C48BA">
      <w:pPr>
        <w:ind w:left="720" w:hanging="720"/>
        <w:jc w:val="both"/>
      </w:pPr>
      <w:r w:rsidRPr="00556A8B">
        <w:rPr>
          <w:rFonts w:eastAsia="Times New Roman" w:cs="Times New Roman"/>
        </w:rPr>
        <w:lastRenderedPageBreak/>
        <w:t xml:space="preserve">Ryff, C. D., &amp; Keyes, C. L. M. (1995). The structure of psychological well-being revisited. </w:t>
      </w:r>
      <w:r w:rsidRPr="00556A8B">
        <w:rPr>
          <w:rFonts w:eastAsia="Times New Roman" w:cs="Times New Roman"/>
          <w:i/>
          <w:iCs/>
        </w:rPr>
        <w:t>Journal of Personality and Social Psychology, 69</w:t>
      </w:r>
      <w:r w:rsidRPr="00556A8B">
        <w:rPr>
          <w:rFonts w:eastAsia="Times New Roman" w:cs="Times New Roman"/>
        </w:rPr>
        <w:t>(4), 719–727. https://doi.org/10.1037/0022-3514.69.4.719</w:t>
      </w:r>
    </w:p>
    <w:p w14:paraId="73ED0EA4" w14:textId="77777777" w:rsidR="0039341F" w:rsidRPr="00556A8B" w:rsidRDefault="0039341F" w:rsidP="006C48BA">
      <w:pPr>
        <w:ind w:left="720" w:hanging="720"/>
        <w:jc w:val="both"/>
      </w:pPr>
      <w:r w:rsidRPr="00556A8B">
        <w:rPr>
          <w:rFonts w:eastAsia="Times New Roman" w:cs="Times New Roman"/>
        </w:rPr>
        <w:t xml:space="preserve">Ryff, C., &amp; Singer, B. (2008). Know thyself and become what you are: A eudaimonic approach to psychological well-being. </w:t>
      </w:r>
      <w:r w:rsidRPr="00556A8B">
        <w:rPr>
          <w:rFonts w:eastAsia="Times New Roman" w:cs="Times New Roman"/>
          <w:i/>
          <w:iCs/>
        </w:rPr>
        <w:t>Journal of Happiness Studies, 9</w:t>
      </w:r>
      <w:r w:rsidRPr="00556A8B">
        <w:rPr>
          <w:rFonts w:eastAsia="Times New Roman" w:cs="Times New Roman"/>
        </w:rPr>
        <w:t>(1), 13–39. https://doi.org/10.1007/s10902-006-9019-0</w:t>
      </w:r>
    </w:p>
    <w:p w14:paraId="685792C6" w14:textId="77777777" w:rsidR="0039341F" w:rsidRPr="00556A8B" w:rsidRDefault="0039341F" w:rsidP="006C48BA">
      <w:pPr>
        <w:ind w:left="720" w:hanging="720"/>
        <w:jc w:val="both"/>
      </w:pPr>
      <w:r w:rsidRPr="00556A8B">
        <w:rPr>
          <w:rFonts w:eastAsia="Times New Roman" w:cs="Times New Roman"/>
        </w:rPr>
        <w:t xml:space="preserve">Sáenz Obregón, J. (2014). </w:t>
      </w:r>
      <w:r w:rsidRPr="00556A8B">
        <w:rPr>
          <w:rFonts w:eastAsia="Times New Roman" w:cs="Times New Roman"/>
          <w:i/>
          <w:iCs/>
        </w:rPr>
        <w:t>Las ciencias humanas y la reconfiguración de la subjetividad.</w:t>
      </w:r>
      <w:r w:rsidRPr="00556A8B">
        <w:rPr>
          <w:rFonts w:eastAsia="Times New Roman" w:cs="Times New Roman"/>
        </w:rPr>
        <w:t xml:space="preserve"> Universidad Nacional de Colombia.</w:t>
      </w:r>
    </w:p>
    <w:p w14:paraId="02A6B709" w14:textId="77777777" w:rsidR="0039341F" w:rsidRPr="00556A8B" w:rsidRDefault="0039341F" w:rsidP="00DC02C2">
      <w:pPr>
        <w:ind w:left="567" w:hanging="567"/>
        <w:rPr>
          <w:rFonts w:cs="Times New Roman"/>
        </w:rPr>
      </w:pPr>
      <w:r w:rsidRPr="00556A8B">
        <w:rPr>
          <w:rFonts w:cs="Times New Roman"/>
        </w:rPr>
        <w:t xml:space="preserve">Salaverry, O. (2012). La piedra de la locura. </w:t>
      </w:r>
      <w:r w:rsidRPr="00556A8B">
        <w:rPr>
          <w:rFonts w:cs="Times New Roman"/>
          <w:i/>
          <w:iCs/>
        </w:rPr>
        <w:t>Revista Peruana de Medicina Experimental y Salud Pública, 29</w:t>
      </w:r>
      <w:r w:rsidRPr="00556A8B">
        <w:rPr>
          <w:rFonts w:cs="Times New Roman"/>
        </w:rPr>
        <w:t>(1), 143–148.</w:t>
      </w:r>
    </w:p>
    <w:p w14:paraId="50C88679" w14:textId="77777777" w:rsidR="0039341F" w:rsidRPr="00556A8B" w:rsidRDefault="0039341F" w:rsidP="006C48BA">
      <w:pPr>
        <w:ind w:left="720" w:hanging="720"/>
        <w:jc w:val="both"/>
        <w:rPr>
          <w:rFonts w:eastAsia="Times New Roman" w:cs="Times New Roman"/>
        </w:rPr>
      </w:pPr>
      <w:r w:rsidRPr="00556A8B">
        <w:rPr>
          <w:rFonts w:cs="Minion Pro"/>
        </w:rPr>
        <w:t xml:space="preserve">Saldarriaga, J. (2015). </w:t>
      </w:r>
      <w:r w:rsidRPr="00556A8B">
        <w:rPr>
          <w:rFonts w:cs="Minion Pro"/>
          <w:i/>
          <w:iCs/>
        </w:rPr>
        <w:t xml:space="preserve">De la socialización política a los procesos de subjetivación posibilidades y límites de las escuelas críticas en la configuración de procesos de subjetivación de jóvenes escolares </w:t>
      </w:r>
      <w:r w:rsidRPr="00556A8B">
        <w:rPr>
          <w:rFonts w:cs="Minion Pro"/>
        </w:rPr>
        <w:t>(Tesis doctoral). Universidad de Manizales y CINDE. Manizales.</w:t>
      </w:r>
    </w:p>
    <w:p w14:paraId="37DB9E43" w14:textId="77777777" w:rsidR="0039341F" w:rsidRPr="00556A8B" w:rsidRDefault="0039341F" w:rsidP="006C48BA">
      <w:pPr>
        <w:ind w:left="720" w:hanging="720"/>
        <w:jc w:val="both"/>
        <w:rPr>
          <w:rFonts w:eastAsia="Times New Roman" w:cs="Times New Roman"/>
        </w:rPr>
      </w:pPr>
      <w:r w:rsidRPr="00556A8B">
        <w:rPr>
          <w:rFonts w:cs="Minion Pro"/>
        </w:rPr>
        <w:t>Saldarriaga, O. (2008). Lineamientos curriculares en ciencias sociales. Análisis estructural de sus sistemas de sentido</w:t>
      </w:r>
      <w:r w:rsidRPr="00556A8B">
        <w:rPr>
          <w:rFonts w:cs="Minion Pro"/>
          <w:i/>
          <w:iCs/>
        </w:rPr>
        <w:t xml:space="preserve">. </w:t>
      </w:r>
      <w:r w:rsidRPr="00556A8B">
        <w:rPr>
          <w:rFonts w:cs="Minion Pro"/>
        </w:rPr>
        <w:t xml:space="preserve">En H. Suárez (Ed), </w:t>
      </w:r>
      <w:r w:rsidRPr="00556A8B">
        <w:rPr>
          <w:rFonts w:cs="Minion Pro"/>
          <w:i/>
          <w:iCs/>
        </w:rPr>
        <w:t xml:space="preserve">El sentido y el método: sociología de la cultura y análisis de contenido. </w:t>
      </w:r>
      <w:r w:rsidRPr="00556A8B">
        <w:rPr>
          <w:rFonts w:cs="Minion Pro"/>
        </w:rPr>
        <w:t>México: Colegio de Michoacán, y Universidad Nacional Autónoma de México.</w:t>
      </w:r>
    </w:p>
    <w:p w14:paraId="7F5333B2" w14:textId="77777777" w:rsidR="0039341F" w:rsidRPr="00556A8B" w:rsidRDefault="0039341F" w:rsidP="006C48BA">
      <w:pPr>
        <w:ind w:left="720" w:hanging="720"/>
        <w:jc w:val="both"/>
      </w:pPr>
      <w:r w:rsidRPr="00556A8B">
        <w:rPr>
          <w:rFonts w:eastAsia="Times New Roman" w:cs="Times New Roman"/>
        </w:rPr>
        <w:t xml:space="preserve">Salum, J. E., Stolkiner, A. I., &amp; D'Agostino, A. M. E. (2022). La noción de dispositivo en el campo de la salud mental. </w:t>
      </w:r>
      <w:r w:rsidRPr="00556A8B">
        <w:rPr>
          <w:rFonts w:eastAsia="Times New Roman" w:cs="Times New Roman"/>
          <w:i/>
          <w:iCs/>
        </w:rPr>
        <w:t>Revista de Psicología, 21</w:t>
      </w:r>
      <w:r w:rsidRPr="00556A8B">
        <w:rPr>
          <w:rFonts w:eastAsia="Times New Roman" w:cs="Times New Roman"/>
        </w:rPr>
        <w:t>(2), 29–47. https://doi.org/10.24215/2422572Xe144</w:t>
      </w:r>
    </w:p>
    <w:p w14:paraId="35F33F2E" w14:textId="77777777" w:rsidR="0039341F" w:rsidRPr="00556A8B" w:rsidRDefault="0039341F" w:rsidP="00757531">
      <w:pPr>
        <w:ind w:left="567" w:hanging="567"/>
        <w:rPr>
          <w:rFonts w:cs="Times New Roman"/>
        </w:rPr>
      </w:pPr>
      <w:r w:rsidRPr="00556A8B">
        <w:rPr>
          <w:rFonts w:cs="Times New Roman"/>
        </w:rPr>
        <w:t xml:space="preserve">Sanabria-González, J. (2019). Complejidad y psicoterapia. </w:t>
      </w:r>
      <w:r w:rsidRPr="00556A8B">
        <w:rPr>
          <w:rFonts w:cs="Times New Roman"/>
          <w:i/>
          <w:iCs/>
        </w:rPr>
        <w:t>Revista Tesis Psicológica, 14</w:t>
      </w:r>
      <w:r w:rsidRPr="00556A8B">
        <w:rPr>
          <w:rFonts w:cs="Times New Roman"/>
        </w:rPr>
        <w:t>(1), 82–101.</w:t>
      </w:r>
    </w:p>
    <w:p w14:paraId="4FCBA9F1" w14:textId="77777777" w:rsidR="0039341F" w:rsidRPr="00556A8B" w:rsidRDefault="0039341F" w:rsidP="006C48BA">
      <w:pPr>
        <w:ind w:left="720" w:hanging="720"/>
        <w:jc w:val="both"/>
      </w:pPr>
      <w:r w:rsidRPr="00556A8B">
        <w:rPr>
          <w:rFonts w:eastAsia="Times New Roman" w:cs="Times New Roman"/>
        </w:rPr>
        <w:t xml:space="preserve">Secretaría de Salud de Antioquia. (2022). </w:t>
      </w:r>
      <w:r w:rsidRPr="00556A8B">
        <w:rPr>
          <w:rFonts w:eastAsia="Times New Roman" w:cs="Times New Roman"/>
          <w:i/>
          <w:iCs/>
        </w:rPr>
        <w:t>Política pública de salud mental del departamento de Antioquia.</w:t>
      </w:r>
      <w:r w:rsidRPr="00556A8B">
        <w:rPr>
          <w:rFonts w:eastAsia="Times New Roman" w:cs="Times New Roman"/>
        </w:rPr>
        <w:t xml:space="preserve"> Gobernación de Antioquia.</w:t>
      </w:r>
    </w:p>
    <w:p w14:paraId="53436169" w14:textId="77777777" w:rsidR="0039341F" w:rsidRPr="00556A8B" w:rsidRDefault="0039341F" w:rsidP="006C48BA">
      <w:pPr>
        <w:ind w:left="720" w:hanging="720"/>
        <w:jc w:val="both"/>
      </w:pPr>
      <w:r w:rsidRPr="00556A8B">
        <w:rPr>
          <w:rFonts w:eastAsia="Times New Roman" w:cs="Times New Roman"/>
        </w:rPr>
        <w:t xml:space="preserve">Skinner, B. F. (1965). </w:t>
      </w:r>
      <w:r w:rsidRPr="00556A8B">
        <w:rPr>
          <w:rFonts w:eastAsia="Times New Roman" w:cs="Times New Roman"/>
          <w:i/>
          <w:iCs/>
        </w:rPr>
        <w:t>Science and human behavior.</w:t>
      </w:r>
      <w:r w:rsidRPr="00556A8B">
        <w:rPr>
          <w:rFonts w:eastAsia="Times New Roman" w:cs="Times New Roman"/>
        </w:rPr>
        <w:t xml:space="preserve"> The Free Press. (Trabajo original publicado en 1953)</w:t>
      </w:r>
    </w:p>
    <w:p w14:paraId="5AFCD155" w14:textId="77777777" w:rsidR="0039341F" w:rsidRPr="00556A8B" w:rsidRDefault="0039341F" w:rsidP="00DC02C2">
      <w:pPr>
        <w:ind w:left="567" w:hanging="567"/>
        <w:rPr>
          <w:rFonts w:cs="Times New Roman"/>
          <w:lang w:val="en-US"/>
        </w:rPr>
      </w:pPr>
      <w:r w:rsidRPr="00556A8B">
        <w:rPr>
          <w:rFonts w:cs="Times New Roman"/>
        </w:rPr>
        <w:t xml:space="preserve">Slemon, A., Bungay, V., Jenkins, E., y Brown, H. (2018). </w:t>
      </w:r>
      <w:r w:rsidRPr="00556A8B">
        <w:rPr>
          <w:rFonts w:cs="Times New Roman"/>
          <w:lang w:val="en-US"/>
        </w:rPr>
        <w:t xml:space="preserve">Power and resistance. </w:t>
      </w:r>
      <w:r w:rsidRPr="00556A8B">
        <w:rPr>
          <w:rFonts w:cs="Times New Roman"/>
          <w:i/>
          <w:iCs/>
          <w:lang w:val="en-US"/>
        </w:rPr>
        <w:t>ANS: Advances in Nursing Science, 41</w:t>
      </w:r>
      <w:r w:rsidRPr="00556A8B">
        <w:rPr>
          <w:rFonts w:cs="Times New Roman"/>
          <w:lang w:val="en-US"/>
        </w:rPr>
        <w:t>(4), 359–376.</w:t>
      </w:r>
    </w:p>
    <w:p w14:paraId="2FF7A211" w14:textId="77777777" w:rsidR="0039341F" w:rsidRPr="00556A8B" w:rsidRDefault="0039341F" w:rsidP="006C48BA">
      <w:pPr>
        <w:ind w:left="720" w:hanging="720"/>
        <w:jc w:val="both"/>
      </w:pPr>
      <w:r w:rsidRPr="00556A8B">
        <w:rPr>
          <w:rFonts w:eastAsia="Times New Roman" w:cs="Times New Roman"/>
        </w:rPr>
        <w:t xml:space="preserve">Smith, T. (2019). Philosophy in the artworld: Some recent theories of contemporary art. </w:t>
      </w:r>
      <w:r w:rsidRPr="00556A8B">
        <w:rPr>
          <w:rFonts w:eastAsia="Times New Roman" w:cs="Times New Roman"/>
          <w:i/>
          <w:iCs/>
        </w:rPr>
        <w:t>Philosophies, 4</w:t>
      </w:r>
      <w:r w:rsidRPr="00556A8B">
        <w:rPr>
          <w:rFonts w:eastAsia="Times New Roman" w:cs="Times New Roman"/>
        </w:rPr>
        <w:t>(3), Artículo 37. https://doi.org/10.3390/philosophies4030037</w:t>
      </w:r>
    </w:p>
    <w:p w14:paraId="4A112723" w14:textId="77777777" w:rsidR="0039341F" w:rsidRPr="00556A8B" w:rsidRDefault="0039341F" w:rsidP="006C48BA">
      <w:pPr>
        <w:ind w:left="720" w:hanging="720"/>
        <w:jc w:val="both"/>
      </w:pPr>
      <w:r w:rsidRPr="00556A8B">
        <w:rPr>
          <w:rFonts w:eastAsia="Times New Roman" w:cs="Times New Roman"/>
        </w:rPr>
        <w:lastRenderedPageBreak/>
        <w:t xml:space="preserve">Sotelo, M., &amp; Bojórquez, I. (2022). Flexibilidad cognitiva y salud mental. </w:t>
      </w:r>
      <w:r w:rsidRPr="00556A8B">
        <w:rPr>
          <w:rFonts w:eastAsia="Times New Roman" w:cs="Times New Roman"/>
          <w:i/>
          <w:iCs/>
        </w:rPr>
        <w:t>Salud Mental, 45</w:t>
      </w:r>
      <w:r w:rsidRPr="00556A8B">
        <w:rPr>
          <w:rFonts w:eastAsia="Times New Roman" w:cs="Times New Roman"/>
        </w:rPr>
        <w:t>(3), 123–131.</w:t>
      </w:r>
    </w:p>
    <w:p w14:paraId="0F175611" w14:textId="77777777" w:rsidR="0039341F" w:rsidRPr="00556A8B" w:rsidRDefault="0039341F" w:rsidP="00DC02C2">
      <w:pPr>
        <w:ind w:left="567" w:hanging="567"/>
        <w:rPr>
          <w:rFonts w:cs="Times New Roman"/>
        </w:rPr>
      </w:pPr>
      <w:r w:rsidRPr="00556A8B">
        <w:rPr>
          <w:rFonts w:cs="Times New Roman"/>
        </w:rPr>
        <w:t xml:space="preserve">Stecher, A., y De La Fabián, R. (2017). A felicidade como promessa. </w:t>
      </w:r>
      <w:r w:rsidRPr="00556A8B">
        <w:rPr>
          <w:rFonts w:cs="Times New Roman"/>
          <w:i/>
          <w:iCs/>
        </w:rPr>
        <w:t>Ayvu: Revista de Psicologia, 3</w:t>
      </w:r>
      <w:r w:rsidRPr="00556A8B">
        <w:rPr>
          <w:rFonts w:cs="Times New Roman"/>
        </w:rPr>
        <w:t>, 26.</w:t>
      </w:r>
    </w:p>
    <w:p w14:paraId="0D4D7051" w14:textId="77777777" w:rsidR="0039341F" w:rsidRPr="0039341F" w:rsidRDefault="0039341F" w:rsidP="0039341F">
      <w:pPr>
        <w:ind w:left="709" w:hanging="709"/>
        <w:rPr>
          <w:rFonts w:cs="Times New Roman"/>
        </w:rPr>
      </w:pPr>
      <w:r w:rsidRPr="0039341F">
        <w:rPr>
          <w:rFonts w:cs="Times New Roman"/>
        </w:rPr>
        <w:t xml:space="preserve">Stolkiner, A. (2012). Infancia y medicalización en la era de la salud perfecta. </w:t>
      </w:r>
      <w:r w:rsidRPr="0039341F">
        <w:rPr>
          <w:rFonts w:cs="Times New Roman"/>
          <w:i/>
          <w:iCs/>
        </w:rPr>
        <w:t>Propuesta Educativa</w:t>
      </w:r>
      <w:r w:rsidRPr="0039341F">
        <w:rPr>
          <w:rFonts w:cs="Times New Roman"/>
        </w:rPr>
        <w:t xml:space="preserve">, </w:t>
      </w:r>
      <w:r w:rsidRPr="0039341F">
        <w:rPr>
          <w:rFonts w:cs="Times New Roman"/>
          <w:i/>
          <w:iCs/>
        </w:rPr>
        <w:t>21</w:t>
      </w:r>
      <w:r w:rsidRPr="0039341F">
        <w:rPr>
          <w:rFonts w:cs="Times New Roman"/>
        </w:rPr>
        <w:t>(37), 28–38.</w:t>
      </w:r>
    </w:p>
    <w:p w14:paraId="6EDA985B" w14:textId="77777777" w:rsidR="0039341F" w:rsidRPr="0039341F" w:rsidRDefault="0039341F" w:rsidP="0039341F">
      <w:pPr>
        <w:ind w:left="709" w:hanging="709"/>
        <w:rPr>
          <w:rFonts w:cs="Times New Roman"/>
        </w:rPr>
      </w:pPr>
      <w:r w:rsidRPr="0039341F">
        <w:rPr>
          <w:rFonts w:cs="Times New Roman"/>
        </w:rPr>
        <w:t xml:space="preserve">Stolkiner, A. (2013). Medicalización de la vida, sufrimiento subjetivo y prácticas en salud mental. En </w:t>
      </w:r>
      <w:r w:rsidRPr="0039341F">
        <w:rPr>
          <w:rFonts w:cs="Times New Roman"/>
          <w:i/>
          <w:iCs/>
        </w:rPr>
        <w:t>Los sufrimientos: 10 psicoanalistas, 10 enfoques</w:t>
      </w:r>
      <w:r w:rsidRPr="0039341F">
        <w:rPr>
          <w:rFonts w:cs="Times New Roman"/>
        </w:rPr>
        <w:t xml:space="preserve"> (pp. 211–239). Psicolibro.</w:t>
      </w:r>
    </w:p>
    <w:p w14:paraId="5313DF75" w14:textId="77777777" w:rsidR="0039341F" w:rsidRPr="00556A8B" w:rsidRDefault="0039341F" w:rsidP="00DC02C2">
      <w:pPr>
        <w:ind w:firstLine="0"/>
        <w:rPr>
          <w:rFonts w:cs="Times New Roman"/>
        </w:rPr>
      </w:pPr>
      <w:r w:rsidRPr="00556A8B">
        <w:rPr>
          <w:rFonts w:cs="Times New Roman"/>
        </w:rPr>
        <w:t xml:space="preserve">Stolkiner, A. (2021). </w:t>
      </w:r>
      <w:r w:rsidRPr="00556A8B">
        <w:rPr>
          <w:rFonts w:cs="Times New Roman"/>
          <w:i/>
          <w:iCs/>
        </w:rPr>
        <w:t>Prácticas en salud mental</w:t>
      </w:r>
      <w:r w:rsidRPr="00556A8B">
        <w:rPr>
          <w:rFonts w:cs="Times New Roman"/>
        </w:rPr>
        <w:t>. Noveduc.</w:t>
      </w:r>
    </w:p>
    <w:p w14:paraId="3C7063D8" w14:textId="77777777" w:rsidR="0039341F" w:rsidRPr="00556A8B" w:rsidRDefault="0039341F" w:rsidP="006C48BA">
      <w:pPr>
        <w:spacing w:after="200"/>
        <w:ind w:left="720" w:hanging="720"/>
        <w:jc w:val="both"/>
      </w:pPr>
      <w:r w:rsidRPr="00556A8B">
        <w:rPr>
          <w:rFonts w:eastAsia="Times New Roman" w:cs="Times New Roman"/>
        </w:rPr>
        <w:t xml:space="preserve">Suárez, H. J. (Ed.). (2008). </w:t>
      </w:r>
      <w:r w:rsidRPr="00556A8B">
        <w:rPr>
          <w:rFonts w:eastAsia="Times New Roman" w:cs="Times New Roman"/>
          <w:i/>
          <w:iCs/>
        </w:rPr>
        <w:t>El sentido y el método: Sociología de la cultura y análisis de contenido.</w:t>
      </w:r>
      <w:r w:rsidRPr="00556A8B">
        <w:rPr>
          <w:rFonts w:eastAsia="Times New Roman" w:cs="Times New Roman"/>
        </w:rPr>
        <w:t xml:space="preserve"> El Colegio de Michoacán / Universidad Nacional Autónoma de México.</w:t>
      </w:r>
    </w:p>
    <w:p w14:paraId="3EB3353A" w14:textId="77777777" w:rsidR="0039341F" w:rsidRPr="00556A8B" w:rsidRDefault="0039341F" w:rsidP="006C48BA">
      <w:pPr>
        <w:rPr>
          <w:rFonts w:cs="Times New Roman"/>
        </w:rPr>
      </w:pPr>
      <w:r w:rsidRPr="00556A8B">
        <w:rPr>
          <w:rFonts w:cs="Times New Roman"/>
        </w:rPr>
        <w:t xml:space="preserve">Szasz, T. (2008). </w:t>
      </w:r>
      <w:r w:rsidRPr="00556A8B">
        <w:rPr>
          <w:rFonts w:cs="Times New Roman"/>
          <w:i/>
          <w:iCs/>
        </w:rPr>
        <w:t>El mito de la enfermedad mental</w:t>
      </w:r>
      <w:r w:rsidRPr="00556A8B">
        <w:rPr>
          <w:rFonts w:cs="Times New Roman"/>
        </w:rPr>
        <w:t>. Amorrortu.</w:t>
      </w:r>
    </w:p>
    <w:p w14:paraId="7C0DD127" w14:textId="77777777" w:rsidR="0039341F" w:rsidRPr="00556A8B" w:rsidRDefault="0039341F" w:rsidP="006C48BA">
      <w:pPr>
        <w:ind w:left="720" w:hanging="720"/>
        <w:jc w:val="both"/>
      </w:pPr>
      <w:r w:rsidRPr="00556A8B">
        <w:rPr>
          <w:rFonts w:eastAsia="Times New Roman" w:cs="Times New Roman"/>
        </w:rPr>
        <w:t xml:space="preserve">Taylor, S. J., &amp; Bogdan, R. (1987). </w:t>
      </w:r>
      <w:r w:rsidRPr="00556A8B">
        <w:rPr>
          <w:rFonts w:eastAsia="Times New Roman" w:cs="Times New Roman"/>
          <w:i/>
          <w:iCs/>
        </w:rPr>
        <w:t>Introducción a los métodos cualitativos de investigación: La búsqueda de significados.</w:t>
      </w:r>
      <w:r w:rsidRPr="00556A8B">
        <w:rPr>
          <w:rFonts w:eastAsia="Times New Roman" w:cs="Times New Roman"/>
        </w:rPr>
        <w:t xml:space="preserve"> Paidós.</w:t>
      </w:r>
    </w:p>
    <w:p w14:paraId="391DB244" w14:textId="77777777" w:rsidR="0039341F" w:rsidRPr="00556A8B" w:rsidRDefault="0039341F" w:rsidP="006C48BA">
      <w:pPr>
        <w:ind w:left="720" w:hanging="720"/>
        <w:jc w:val="both"/>
      </w:pPr>
      <w:r w:rsidRPr="00556A8B">
        <w:rPr>
          <w:rFonts w:eastAsia="Times New Roman" w:cs="Times New Roman"/>
        </w:rPr>
        <w:t xml:space="preserve">Tobón, J., &amp; Correa, C. (2022). </w:t>
      </w:r>
      <w:r w:rsidRPr="00556A8B">
        <w:rPr>
          <w:rFonts w:eastAsia="Times New Roman" w:cs="Times New Roman"/>
          <w:i/>
          <w:iCs/>
        </w:rPr>
        <w:t>Psicología clínica: Una perspectiva humanista.</w:t>
      </w:r>
      <w:r w:rsidRPr="00556A8B">
        <w:rPr>
          <w:rFonts w:eastAsia="Times New Roman" w:cs="Times New Roman"/>
        </w:rPr>
        <w:t xml:space="preserve"> Fundación Universitaria María Cano.</w:t>
      </w:r>
    </w:p>
    <w:p w14:paraId="434CA029" w14:textId="77777777" w:rsidR="0039341F" w:rsidRPr="00556A8B" w:rsidRDefault="0039341F" w:rsidP="006C48BA">
      <w:pPr>
        <w:ind w:left="720" w:hanging="720"/>
        <w:jc w:val="both"/>
      </w:pPr>
      <w:r w:rsidRPr="00556A8B">
        <w:rPr>
          <w:rFonts w:eastAsia="Times New Roman" w:cs="Times New Roman"/>
        </w:rPr>
        <w:t xml:space="preserve">Torales, J., González, I., Chávez, J., Szerman, N., &amp; Castaldelli-Maia, J. M. (2017). Estigma y salud mental. </w:t>
      </w:r>
      <w:r w:rsidRPr="00556A8B">
        <w:rPr>
          <w:rFonts w:eastAsia="Times New Roman" w:cs="Times New Roman"/>
          <w:i/>
          <w:iCs/>
        </w:rPr>
        <w:t>Anales de la Facultad de Ciencias Médicas (Asunción), 50</w:t>
      </w:r>
      <w:r w:rsidRPr="00556A8B">
        <w:rPr>
          <w:rFonts w:eastAsia="Times New Roman" w:cs="Times New Roman"/>
        </w:rPr>
        <w:t>(2), 79–86.</w:t>
      </w:r>
    </w:p>
    <w:p w14:paraId="6DA92D58" w14:textId="77777777" w:rsidR="0039341F" w:rsidRPr="00556A8B" w:rsidRDefault="0039341F" w:rsidP="00DC02C2">
      <w:pPr>
        <w:ind w:firstLine="0"/>
        <w:rPr>
          <w:rFonts w:cs="Times New Roman"/>
          <w:lang w:val="en-US"/>
        </w:rPr>
      </w:pPr>
      <w:r w:rsidRPr="00556A8B">
        <w:rPr>
          <w:rFonts w:cs="Times New Roman"/>
        </w:rPr>
        <w:t xml:space="preserve">Tous, J. M. (2008). </w:t>
      </w:r>
      <w:r w:rsidRPr="00556A8B">
        <w:rPr>
          <w:rFonts w:cs="Times New Roman"/>
          <w:i/>
          <w:iCs/>
        </w:rPr>
        <w:t>Personalidad, adaptación y conducta</w:t>
      </w:r>
      <w:r w:rsidRPr="00556A8B">
        <w:rPr>
          <w:rFonts w:cs="Times New Roman"/>
        </w:rPr>
        <w:t xml:space="preserve">. </w:t>
      </w:r>
      <w:r w:rsidRPr="00556A8B">
        <w:rPr>
          <w:rFonts w:cs="Times New Roman"/>
          <w:lang w:val="en-US"/>
        </w:rPr>
        <w:t>Herder.</w:t>
      </w:r>
    </w:p>
    <w:p w14:paraId="0E3D6AC1" w14:textId="77777777" w:rsidR="0039341F" w:rsidRPr="0039341F" w:rsidRDefault="0039341F" w:rsidP="0039341F">
      <w:pPr>
        <w:ind w:left="709" w:hanging="709"/>
        <w:rPr>
          <w:rFonts w:cs="Times New Roman"/>
        </w:rPr>
      </w:pPr>
      <w:r w:rsidRPr="0039341F">
        <w:rPr>
          <w:rFonts w:cs="Times New Roman"/>
        </w:rPr>
        <w:t xml:space="preserve">Untoiglich, G. (2013). </w:t>
      </w:r>
      <w:r w:rsidRPr="0039341F">
        <w:rPr>
          <w:rFonts w:cs="Times New Roman"/>
          <w:i/>
          <w:iCs/>
        </w:rPr>
        <w:t>En la infancia los diagnósticos se escriben con lápiz: La patologización de las diferencias en la clínica y la educación</w:t>
      </w:r>
      <w:r w:rsidRPr="0039341F">
        <w:rPr>
          <w:rFonts w:cs="Times New Roman"/>
        </w:rPr>
        <w:t>. Noveduc.</w:t>
      </w:r>
    </w:p>
    <w:p w14:paraId="6535233C" w14:textId="77777777" w:rsidR="0039341F" w:rsidRPr="00556A8B" w:rsidRDefault="0039341F" w:rsidP="006C48BA">
      <w:pPr>
        <w:ind w:left="720" w:hanging="720"/>
        <w:jc w:val="both"/>
      </w:pPr>
      <w:r w:rsidRPr="00556A8B">
        <w:rPr>
          <w:rFonts w:eastAsia="Times New Roman" w:cs="Times New Roman"/>
        </w:rPr>
        <w:t xml:space="preserve">Urzúa, A., &amp; Caqueo-Urízar, A. (2012). Quality of life: A theoretical review. </w:t>
      </w:r>
      <w:r w:rsidRPr="00556A8B">
        <w:rPr>
          <w:rFonts w:eastAsia="Times New Roman" w:cs="Times New Roman"/>
          <w:i/>
          <w:iCs/>
        </w:rPr>
        <w:t>Terapia Psicológica, 30</w:t>
      </w:r>
      <w:r w:rsidRPr="00556A8B">
        <w:rPr>
          <w:rFonts w:eastAsia="Times New Roman" w:cs="Times New Roman"/>
        </w:rPr>
        <w:t>(1), 61–71. https://dx.doi.org/10.4067/S0718-48082012000100006</w:t>
      </w:r>
    </w:p>
    <w:p w14:paraId="4295ACAF" w14:textId="77777777" w:rsidR="0039341F" w:rsidRPr="00556A8B" w:rsidRDefault="0039341F" w:rsidP="006C48BA">
      <w:pPr>
        <w:ind w:left="720" w:hanging="720"/>
        <w:jc w:val="both"/>
      </w:pPr>
      <w:r w:rsidRPr="00556A8B">
        <w:rPr>
          <w:rFonts w:eastAsia="Times New Roman" w:cs="Times New Roman"/>
        </w:rPr>
        <w:t xml:space="preserve">Valderrama Luna, L. M., Parra Murillo, M. F., Palencia Sánchez, F., Robles Fonnegra, W. A., Duarte Osorio, A., &amp; Cadena Camargo, Y. (2023). El concepto de bienestar: Una construcción desde la revisión de la literatura y la perspectiva de actores institucionales y comunitarios de la ciudad de Bogotá (Colombia). </w:t>
      </w:r>
      <w:r w:rsidRPr="00556A8B">
        <w:rPr>
          <w:rFonts w:eastAsia="Times New Roman" w:cs="Times New Roman"/>
          <w:i/>
          <w:iCs/>
        </w:rPr>
        <w:t>Universitas Médica, 64</w:t>
      </w:r>
      <w:r w:rsidRPr="00556A8B">
        <w:rPr>
          <w:rFonts w:eastAsia="Times New Roman" w:cs="Times New Roman"/>
        </w:rPr>
        <w:t>(2).</w:t>
      </w:r>
    </w:p>
    <w:p w14:paraId="030E8108" w14:textId="77777777" w:rsidR="0039341F" w:rsidRPr="00556A8B" w:rsidRDefault="0039341F" w:rsidP="006C48BA">
      <w:pPr>
        <w:ind w:left="720" w:hanging="720"/>
        <w:jc w:val="both"/>
      </w:pPr>
      <w:r w:rsidRPr="00556A8B">
        <w:rPr>
          <w:rFonts w:eastAsia="Times New Roman" w:cs="Times New Roman"/>
        </w:rPr>
        <w:t xml:space="preserve">Valera, K., Rodríguez, F. A., &amp; Rodríguez, O. (2024). Aproximación teórica a la vigencia de la teoría de los cuatro humores en la medicina contemporánea. </w:t>
      </w:r>
      <w:r w:rsidRPr="00556A8B">
        <w:rPr>
          <w:rFonts w:eastAsia="Times New Roman" w:cs="Times New Roman"/>
          <w:i/>
          <w:iCs/>
        </w:rPr>
        <w:t>Revista Gregoriana de Ciencias de la Salud, 1</w:t>
      </w:r>
      <w:r w:rsidRPr="00556A8B">
        <w:rPr>
          <w:rFonts w:eastAsia="Times New Roman" w:cs="Times New Roman"/>
        </w:rPr>
        <w:t>(1), 77–88. https://doi.org/10.36097/rgcs.v1i1.3104</w:t>
      </w:r>
    </w:p>
    <w:p w14:paraId="5E78C002" w14:textId="77777777" w:rsidR="0039341F" w:rsidRPr="00556A8B" w:rsidRDefault="0039341F" w:rsidP="006C48BA">
      <w:pPr>
        <w:ind w:left="720" w:hanging="720"/>
        <w:jc w:val="both"/>
      </w:pPr>
      <w:r w:rsidRPr="00556A8B">
        <w:rPr>
          <w:rFonts w:eastAsia="Times New Roman" w:cs="Times New Roman"/>
        </w:rPr>
        <w:lastRenderedPageBreak/>
        <w:t xml:space="preserve">Vanegas García, M. (2023). Felicidad y productividad como dispositivo de gobierno en el teletrabajo en tiempos de pandemia. </w:t>
      </w:r>
      <w:r w:rsidRPr="00556A8B">
        <w:rPr>
          <w:rFonts w:eastAsia="Times New Roman" w:cs="Times New Roman"/>
          <w:i/>
          <w:iCs/>
        </w:rPr>
        <w:t>Revista Republicana,</w:t>
      </w:r>
      <w:r w:rsidRPr="00556A8B">
        <w:rPr>
          <w:rFonts w:eastAsia="Times New Roman" w:cs="Times New Roman"/>
        </w:rPr>
        <w:t xml:space="preserve"> (35), 151–170. https://doi.org/10.21017/rev.repub.2023.v35.a153</w:t>
      </w:r>
    </w:p>
    <w:p w14:paraId="596AFE18" w14:textId="77777777" w:rsidR="0039341F" w:rsidRPr="0039341F" w:rsidRDefault="0039341F" w:rsidP="0039341F">
      <w:pPr>
        <w:ind w:left="709" w:hanging="709"/>
        <w:rPr>
          <w:rFonts w:cs="Times New Roman"/>
        </w:rPr>
      </w:pPr>
      <w:r w:rsidRPr="0039341F">
        <w:rPr>
          <w:rFonts w:cs="Times New Roman"/>
        </w:rPr>
        <w:t xml:space="preserve">Vasen, J. (2005). </w:t>
      </w:r>
      <w:r w:rsidRPr="0039341F">
        <w:rPr>
          <w:rFonts w:cs="Times New Roman"/>
          <w:i/>
          <w:iCs/>
        </w:rPr>
        <w:t>Fantasmas y pastillas: Una aproximación a la medicalización de la infancia</w:t>
      </w:r>
      <w:r w:rsidRPr="0039341F">
        <w:rPr>
          <w:rFonts w:cs="Times New Roman"/>
        </w:rPr>
        <w:t>. Letra Viva.</w:t>
      </w:r>
    </w:p>
    <w:p w14:paraId="78A2C8BD" w14:textId="77777777" w:rsidR="0039341F" w:rsidRPr="0039341F" w:rsidRDefault="0039341F" w:rsidP="0039341F">
      <w:pPr>
        <w:ind w:left="709" w:hanging="709"/>
        <w:rPr>
          <w:rFonts w:cs="Times New Roman"/>
        </w:rPr>
      </w:pPr>
      <w:r w:rsidRPr="0039341F">
        <w:rPr>
          <w:rFonts w:cs="Times New Roman"/>
        </w:rPr>
        <w:t xml:space="preserve">Vasen, J. (2007). </w:t>
      </w:r>
      <w:r w:rsidRPr="0039341F">
        <w:rPr>
          <w:rFonts w:cs="Times New Roman"/>
          <w:i/>
          <w:iCs/>
        </w:rPr>
        <w:t>La atención que no se presta: El "mal" llamado ADD</w:t>
      </w:r>
      <w:r w:rsidRPr="0039341F">
        <w:rPr>
          <w:rFonts w:cs="Times New Roman"/>
        </w:rPr>
        <w:t>. Noveduc.</w:t>
      </w:r>
    </w:p>
    <w:p w14:paraId="17FBFBB1" w14:textId="77777777" w:rsidR="0039341F" w:rsidRPr="00556A8B" w:rsidRDefault="0039341F" w:rsidP="006C48BA">
      <w:pPr>
        <w:ind w:left="720" w:hanging="720"/>
        <w:jc w:val="both"/>
      </w:pPr>
      <w:r w:rsidRPr="00556A8B">
        <w:rPr>
          <w:rFonts w:eastAsia="Times New Roman" w:cs="Times New Roman"/>
        </w:rPr>
        <w:t xml:space="preserve">Vasilachis de Gialdino, I. (2006). </w:t>
      </w:r>
      <w:r w:rsidRPr="00556A8B">
        <w:rPr>
          <w:rFonts w:eastAsia="Times New Roman" w:cs="Times New Roman"/>
          <w:i/>
          <w:iCs/>
        </w:rPr>
        <w:t>Estrategias de investigación cualitativa.</w:t>
      </w:r>
      <w:r w:rsidRPr="00556A8B">
        <w:rPr>
          <w:rFonts w:eastAsia="Times New Roman" w:cs="Times New Roman"/>
        </w:rPr>
        <w:t xml:space="preserve"> Gedisa.</w:t>
      </w:r>
    </w:p>
    <w:p w14:paraId="38F360AF" w14:textId="77777777" w:rsidR="0039341F" w:rsidRPr="00556A8B" w:rsidRDefault="0039341F" w:rsidP="006C48BA">
      <w:pPr>
        <w:ind w:left="720" w:hanging="720"/>
        <w:jc w:val="both"/>
      </w:pPr>
      <w:r w:rsidRPr="00556A8B">
        <w:rPr>
          <w:rFonts w:eastAsia="Times New Roman" w:cs="Times New Roman"/>
        </w:rPr>
        <w:t xml:space="preserve">Vásquez, C., Hervás, G., Rahona, J., &amp; Gómez, D. (2009). Bienestar psicológico y salud: Aportaciones desde la psicología positiva. </w:t>
      </w:r>
      <w:r w:rsidRPr="00556A8B">
        <w:rPr>
          <w:rFonts w:eastAsia="Times New Roman" w:cs="Times New Roman"/>
          <w:i/>
          <w:iCs/>
        </w:rPr>
        <w:t>Anuario de Psicología Clínica y de la Salud, 5</w:t>
      </w:r>
      <w:r w:rsidRPr="00556A8B">
        <w:rPr>
          <w:rFonts w:eastAsia="Times New Roman" w:cs="Times New Roman"/>
        </w:rPr>
        <w:t>, 15–28.</w:t>
      </w:r>
    </w:p>
    <w:p w14:paraId="6BD0F9EE" w14:textId="77777777" w:rsidR="0039341F" w:rsidRPr="00556A8B" w:rsidRDefault="0039341F" w:rsidP="006C48BA">
      <w:pPr>
        <w:ind w:left="720" w:hanging="720"/>
        <w:jc w:val="both"/>
      </w:pPr>
      <w:r w:rsidRPr="00556A8B">
        <w:rPr>
          <w:rFonts w:eastAsia="Times New Roman" w:cs="Times New Roman"/>
        </w:rPr>
        <w:t xml:space="preserve">Vega Rivera, G. (2024). Impacto del TDAH en el aprendizaje de estudiantes en edad escolar: Una revisión sistemática. </w:t>
      </w:r>
      <w:r w:rsidRPr="00556A8B">
        <w:rPr>
          <w:rFonts w:eastAsia="Times New Roman" w:cs="Times New Roman"/>
          <w:i/>
          <w:iCs/>
        </w:rPr>
        <w:t>Revista San Gregorio, 1</w:t>
      </w:r>
      <w:r w:rsidRPr="00556A8B">
        <w:rPr>
          <w:rFonts w:eastAsia="Times New Roman" w:cs="Times New Roman"/>
        </w:rPr>
        <w:t>(57), 199–219. https://doi.org/10.36097/rsan.v1i57.2329</w:t>
      </w:r>
    </w:p>
    <w:p w14:paraId="4B110FEE" w14:textId="77777777" w:rsidR="0039341F" w:rsidRPr="00556A8B" w:rsidRDefault="0039341F" w:rsidP="006C48BA">
      <w:pPr>
        <w:ind w:left="720" w:hanging="720"/>
        <w:jc w:val="both"/>
      </w:pPr>
      <w:r w:rsidRPr="00556A8B">
        <w:rPr>
          <w:rFonts w:eastAsia="Times New Roman" w:cs="Times New Roman"/>
        </w:rPr>
        <w:t xml:space="preserve">Vera Tangarife, W. E., Lemos, M., y Vásquez, A. (2020). Salud mental y calidad de vida en habitantes del barrio La Cruz, Medellín-Colombia. </w:t>
      </w:r>
      <w:r w:rsidRPr="00556A8B">
        <w:rPr>
          <w:rFonts w:eastAsia="Times New Roman" w:cs="Times New Roman"/>
          <w:i/>
          <w:iCs/>
        </w:rPr>
        <w:t>Revista Colombiana de Ciencias Sociales, 11</w:t>
      </w:r>
      <w:r w:rsidRPr="00556A8B">
        <w:rPr>
          <w:rFonts w:eastAsia="Times New Roman" w:cs="Times New Roman"/>
        </w:rPr>
        <w:t>(2), 505–529. https://doi.org/10.21501/22161201.3218</w:t>
      </w:r>
    </w:p>
    <w:p w14:paraId="689CE9A9" w14:textId="77777777" w:rsidR="0039341F" w:rsidRPr="00556A8B" w:rsidRDefault="0039341F" w:rsidP="006C48BA">
      <w:pPr>
        <w:ind w:left="720" w:hanging="720"/>
        <w:jc w:val="both"/>
      </w:pPr>
      <w:r w:rsidRPr="00556A8B">
        <w:rPr>
          <w:rFonts w:eastAsia="Times New Roman" w:cs="Times New Roman"/>
        </w:rPr>
        <w:t xml:space="preserve">Verón, E. (2020). </w:t>
      </w:r>
      <w:r w:rsidRPr="00556A8B">
        <w:rPr>
          <w:rFonts w:eastAsia="Times New Roman" w:cs="Times New Roman"/>
          <w:i/>
          <w:iCs/>
        </w:rPr>
        <w:t>La semiosis social: Fragmentos de una teoría de la discursividad.</w:t>
      </w:r>
      <w:r w:rsidRPr="00556A8B">
        <w:rPr>
          <w:rFonts w:eastAsia="Times New Roman" w:cs="Times New Roman"/>
        </w:rPr>
        <w:t xml:space="preserve"> Gedisa Editorial.</w:t>
      </w:r>
    </w:p>
    <w:p w14:paraId="66BCEE2E" w14:textId="77777777" w:rsidR="0039341F" w:rsidRPr="00556A8B" w:rsidRDefault="0039341F" w:rsidP="00DC02C2">
      <w:pPr>
        <w:ind w:firstLine="0"/>
        <w:rPr>
          <w:rFonts w:cs="Times New Roman"/>
          <w:lang w:val="en-US"/>
        </w:rPr>
      </w:pPr>
      <w:r w:rsidRPr="00556A8B">
        <w:rPr>
          <w:rFonts w:cs="Times New Roman"/>
          <w:lang w:val="en-US"/>
        </w:rPr>
        <w:t xml:space="preserve">Wakefield, J. C. (1992). The concept of mental disorder. </w:t>
      </w:r>
      <w:r w:rsidRPr="00556A8B">
        <w:rPr>
          <w:rFonts w:cs="Times New Roman"/>
          <w:i/>
          <w:iCs/>
          <w:lang w:val="en-US"/>
        </w:rPr>
        <w:t>American Psychologist, 47</w:t>
      </w:r>
      <w:r w:rsidRPr="00556A8B">
        <w:rPr>
          <w:rFonts w:cs="Times New Roman"/>
          <w:lang w:val="en-US"/>
        </w:rPr>
        <w:t>(3), 373–388.</w:t>
      </w:r>
    </w:p>
    <w:p w14:paraId="790A493A" w14:textId="77777777" w:rsidR="0039341F" w:rsidRPr="00556A8B" w:rsidRDefault="0039341F" w:rsidP="006C48BA">
      <w:pPr>
        <w:ind w:left="720" w:hanging="720"/>
        <w:jc w:val="both"/>
      </w:pPr>
      <w:r w:rsidRPr="00556A8B">
        <w:rPr>
          <w:rFonts w:eastAsia="Times New Roman" w:cs="Times New Roman"/>
        </w:rPr>
        <w:t xml:space="preserve">Wechsler, D. (1958). </w:t>
      </w:r>
      <w:r w:rsidRPr="00556A8B">
        <w:rPr>
          <w:rFonts w:eastAsia="Times New Roman" w:cs="Times New Roman"/>
          <w:i/>
          <w:iCs/>
        </w:rPr>
        <w:t>The measurement and appraisal of adult intelligence</w:t>
      </w:r>
      <w:r w:rsidRPr="00556A8B">
        <w:rPr>
          <w:rFonts w:eastAsia="Times New Roman" w:cs="Times New Roman"/>
        </w:rPr>
        <w:t xml:space="preserve"> (4th ed.). Williams &amp; Wilkins.</w:t>
      </w:r>
    </w:p>
    <w:p w14:paraId="1AA83334" w14:textId="77777777" w:rsidR="0039341F" w:rsidRPr="00556A8B" w:rsidRDefault="0039341F" w:rsidP="006C48BA">
      <w:pPr>
        <w:ind w:left="720" w:hanging="720"/>
        <w:jc w:val="both"/>
      </w:pPr>
      <w:r w:rsidRPr="00556A8B">
        <w:rPr>
          <w:rFonts w:eastAsia="Times New Roman" w:cs="Times New Roman"/>
        </w:rPr>
        <w:t xml:space="preserve">Winnicott, D. W. (1967). The concept of a healthy individual. En </w:t>
      </w:r>
      <w:r w:rsidRPr="00556A8B">
        <w:rPr>
          <w:rFonts w:eastAsia="Times New Roman" w:cs="Times New Roman"/>
          <w:i/>
          <w:iCs/>
        </w:rPr>
        <w:t>The maturational processes and the facilitating environment</w:t>
      </w:r>
      <w:r w:rsidRPr="00556A8B">
        <w:rPr>
          <w:rFonts w:eastAsia="Times New Roman" w:cs="Times New Roman"/>
        </w:rPr>
        <w:t xml:space="preserve"> (pp. 91–103). Hogarth Press.</w:t>
      </w:r>
    </w:p>
    <w:p w14:paraId="41C1128E" w14:textId="77777777" w:rsidR="0039341F" w:rsidRPr="00556A8B" w:rsidRDefault="0039341F" w:rsidP="006C48BA">
      <w:pPr>
        <w:ind w:left="720" w:hanging="720"/>
        <w:jc w:val="both"/>
      </w:pPr>
      <w:r w:rsidRPr="00556A8B">
        <w:rPr>
          <w:rFonts w:eastAsia="Times New Roman" w:cs="Times New Roman"/>
        </w:rPr>
        <w:t xml:space="preserve">Winnicott, D. W. (1995). </w:t>
      </w:r>
      <w:r w:rsidRPr="00556A8B">
        <w:rPr>
          <w:rFonts w:eastAsia="Times New Roman" w:cs="Times New Roman"/>
          <w:i/>
          <w:iCs/>
        </w:rPr>
        <w:t>Realidad y juego.</w:t>
      </w:r>
      <w:r w:rsidRPr="00556A8B">
        <w:rPr>
          <w:rFonts w:eastAsia="Times New Roman" w:cs="Times New Roman"/>
        </w:rPr>
        <w:t xml:space="preserve"> Gedisa. (Trabajo original publicado en 1971)</w:t>
      </w:r>
    </w:p>
    <w:p w14:paraId="26F1A210" w14:textId="77777777" w:rsidR="0039341F" w:rsidRPr="00556A8B" w:rsidRDefault="0039341F" w:rsidP="006C48BA">
      <w:pPr>
        <w:ind w:left="720" w:hanging="720"/>
        <w:jc w:val="both"/>
      </w:pPr>
      <w:r w:rsidRPr="00556A8B">
        <w:rPr>
          <w:rFonts w:eastAsia="Times New Roman" w:cs="Times New Roman"/>
        </w:rPr>
        <w:t xml:space="preserve">Winnicott, D. W. (1996). </w:t>
      </w:r>
      <w:r w:rsidRPr="00556A8B">
        <w:rPr>
          <w:rFonts w:eastAsia="Times New Roman" w:cs="Times New Roman"/>
          <w:i/>
          <w:iCs/>
        </w:rPr>
        <w:t>Los procesos de maduración y el ambiente facilitador.</w:t>
      </w:r>
      <w:r w:rsidRPr="00556A8B">
        <w:rPr>
          <w:rFonts w:eastAsia="Times New Roman" w:cs="Times New Roman"/>
        </w:rPr>
        <w:t xml:space="preserve"> Paidós. (Trabajo original publicado en 1965)</w:t>
      </w:r>
    </w:p>
    <w:p w14:paraId="1EE2F670" w14:textId="77777777" w:rsidR="0039341F" w:rsidRPr="00556A8B" w:rsidRDefault="0039341F" w:rsidP="006C48BA">
      <w:pPr>
        <w:ind w:left="720" w:hanging="720"/>
        <w:jc w:val="both"/>
      </w:pPr>
      <w:r w:rsidRPr="00556A8B">
        <w:rPr>
          <w:rFonts w:eastAsia="Times New Roman" w:cs="Times New Roman"/>
        </w:rPr>
        <w:t xml:space="preserve">Yalom, I. D. (1980). </w:t>
      </w:r>
      <w:r w:rsidRPr="00556A8B">
        <w:rPr>
          <w:rFonts w:eastAsia="Times New Roman" w:cs="Times New Roman"/>
          <w:i/>
          <w:iCs/>
        </w:rPr>
        <w:t>Existential psychotherapy.</w:t>
      </w:r>
      <w:r w:rsidRPr="00556A8B">
        <w:rPr>
          <w:rFonts w:eastAsia="Times New Roman" w:cs="Times New Roman"/>
        </w:rPr>
        <w:t xml:space="preserve"> Basic Books.</w:t>
      </w:r>
    </w:p>
    <w:p w14:paraId="0414EA20" w14:textId="77777777" w:rsidR="0039341F" w:rsidRPr="00556A8B" w:rsidRDefault="0039341F" w:rsidP="006C48BA">
      <w:pPr>
        <w:ind w:left="720" w:hanging="720"/>
        <w:jc w:val="both"/>
      </w:pPr>
      <w:r w:rsidRPr="00556A8B">
        <w:rPr>
          <w:rFonts w:eastAsia="Times New Roman" w:cs="Times New Roman"/>
        </w:rPr>
        <w:t xml:space="preserve">Yatim Harkous, W., Martínez Guzmán, A., &amp; Bernad i Garcia, J. C. (2025). Psicopolítica de la inteligencia emocional en la cultura terapéutica y algorítmica de YouTube. </w:t>
      </w:r>
      <w:r w:rsidRPr="00556A8B">
        <w:rPr>
          <w:rFonts w:eastAsia="Times New Roman" w:cs="Times New Roman"/>
          <w:i/>
          <w:iCs/>
        </w:rPr>
        <w:t>Quaderns de Psicologia, 27</w:t>
      </w:r>
      <w:r w:rsidRPr="00556A8B">
        <w:rPr>
          <w:rFonts w:eastAsia="Times New Roman" w:cs="Times New Roman"/>
        </w:rPr>
        <w:t>(2), Artículo e2150. https://doi.org/10.5565/rev/qpsicologia.2150</w:t>
      </w:r>
    </w:p>
    <w:p w14:paraId="31669362" w14:textId="77777777" w:rsidR="0039341F" w:rsidRPr="00556A8B" w:rsidRDefault="0039341F" w:rsidP="00DC02C2">
      <w:pPr>
        <w:ind w:firstLine="0"/>
        <w:rPr>
          <w:rFonts w:cs="Times New Roman"/>
          <w:lang w:val="en-US"/>
        </w:rPr>
      </w:pPr>
      <w:r w:rsidRPr="00556A8B">
        <w:rPr>
          <w:rFonts w:cs="Times New Roman"/>
          <w:lang w:val="en-US"/>
        </w:rPr>
        <w:t xml:space="preserve">Young, J. E. (1999). </w:t>
      </w:r>
      <w:r w:rsidRPr="00556A8B">
        <w:rPr>
          <w:rFonts w:cs="Times New Roman"/>
          <w:i/>
          <w:iCs/>
          <w:lang w:val="en-US"/>
        </w:rPr>
        <w:t>Cognitive therapy for personality disorders</w:t>
      </w:r>
      <w:r w:rsidRPr="00556A8B">
        <w:rPr>
          <w:rFonts w:cs="Times New Roman"/>
          <w:lang w:val="en-US"/>
        </w:rPr>
        <w:t>. Professional Resource Press.</w:t>
      </w:r>
    </w:p>
    <w:p w14:paraId="4730F490" w14:textId="77777777" w:rsidR="0039341F" w:rsidRPr="00556A8B" w:rsidRDefault="0039341F" w:rsidP="006C48BA">
      <w:pPr>
        <w:ind w:left="720" w:hanging="720"/>
        <w:jc w:val="both"/>
      </w:pPr>
      <w:r w:rsidRPr="00556A8B">
        <w:rPr>
          <w:rFonts w:eastAsia="Times New Roman" w:cs="Times New Roman"/>
        </w:rPr>
        <w:lastRenderedPageBreak/>
        <w:t xml:space="preserve">Young, J. E., Klosko, J. S., &amp; Weishaar, M. (2003). </w:t>
      </w:r>
      <w:r w:rsidRPr="00556A8B">
        <w:rPr>
          <w:rFonts w:eastAsia="Times New Roman" w:cs="Times New Roman"/>
          <w:i/>
          <w:iCs/>
        </w:rPr>
        <w:t>Schema therapy.</w:t>
      </w:r>
      <w:r w:rsidRPr="00556A8B">
        <w:rPr>
          <w:rFonts w:eastAsia="Times New Roman" w:cs="Times New Roman"/>
        </w:rPr>
        <w:t xml:space="preserve"> Guilford Press.</w:t>
      </w:r>
    </w:p>
    <w:p w14:paraId="3C23099C" w14:textId="77777777" w:rsidR="0039341F" w:rsidRDefault="0039341F" w:rsidP="00E16CA7">
      <w:pPr>
        <w:ind w:left="709" w:hanging="709"/>
        <w:rPr>
          <w:rFonts w:cs="Times New Roman"/>
        </w:rPr>
      </w:pPr>
      <w:r w:rsidRPr="00556A8B">
        <w:rPr>
          <w:rFonts w:cs="Times New Roman"/>
          <w:lang w:val="en-US"/>
        </w:rPr>
        <w:t xml:space="preserve">Zayts-Spence, O., Edmonds, D., y Fortune, Z. (2023). Mental health, discourse and stigma. </w:t>
      </w:r>
      <w:r w:rsidRPr="00556A8B">
        <w:rPr>
          <w:rFonts w:cs="Times New Roman"/>
          <w:i/>
          <w:iCs/>
        </w:rPr>
        <w:t>BMC Psychology, 11</w:t>
      </w:r>
      <w:r w:rsidRPr="00556A8B">
        <w:rPr>
          <w:rFonts w:cs="Times New Roman"/>
        </w:rPr>
        <w:t>, 180.</w:t>
      </w:r>
    </w:p>
    <w:p w14:paraId="46D980D4" w14:textId="77777777" w:rsidR="0039341F" w:rsidRPr="00556A8B" w:rsidRDefault="0039341F" w:rsidP="00E16CA7">
      <w:pPr>
        <w:ind w:left="709" w:hanging="709"/>
        <w:rPr>
          <w:rFonts w:cs="Times New Roman"/>
        </w:rPr>
      </w:pPr>
    </w:p>
    <w:p w14:paraId="33F375B0" w14:textId="38B2F128" w:rsidR="00EA7824" w:rsidRPr="00556A8B" w:rsidRDefault="00EA7824" w:rsidP="000162FA">
      <w:pPr>
        <w:spacing w:after="160"/>
        <w:ind w:firstLine="0"/>
        <w:contextualSpacing w:val="0"/>
        <w:rPr>
          <w:rFonts w:cs="Times New Roman"/>
          <w:b/>
          <w:bCs/>
        </w:rPr>
      </w:pPr>
    </w:p>
    <w:p w14:paraId="4B403B14" w14:textId="77777777" w:rsidR="00AF34B8" w:rsidRPr="00556A8B" w:rsidRDefault="00AF34B8">
      <w:pPr>
        <w:spacing w:after="160"/>
        <w:ind w:firstLine="0"/>
        <w:contextualSpacing w:val="0"/>
        <w:rPr>
          <w:rFonts w:cs="Times New Roman"/>
          <w:b/>
          <w:bCs/>
        </w:rPr>
      </w:pPr>
    </w:p>
    <w:sectPr w:rsidR="00AF34B8" w:rsidRPr="00556A8B" w:rsidSect="001411D5">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A33239" w14:textId="77777777" w:rsidR="00875C58" w:rsidRDefault="00875C58" w:rsidP="000E5B14">
      <w:pPr>
        <w:spacing w:line="240" w:lineRule="auto"/>
      </w:pPr>
      <w:r>
        <w:separator/>
      </w:r>
    </w:p>
  </w:endnote>
  <w:endnote w:type="continuationSeparator" w:id="0">
    <w:p w14:paraId="27F29BBD" w14:textId="77777777" w:rsidR="00875C58" w:rsidRDefault="00875C58" w:rsidP="000E5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altName w:val="Minion Pro"/>
    <w:panose1 w:val="020B06040202020202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9C3262" w14:textId="77777777" w:rsidR="00875C58" w:rsidRDefault="00875C58" w:rsidP="000E5B14">
      <w:pPr>
        <w:spacing w:line="240" w:lineRule="auto"/>
      </w:pPr>
      <w:r>
        <w:separator/>
      </w:r>
    </w:p>
  </w:footnote>
  <w:footnote w:type="continuationSeparator" w:id="0">
    <w:p w14:paraId="1885AAC2" w14:textId="77777777" w:rsidR="00875C58" w:rsidRDefault="00875C58" w:rsidP="000E5B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46734A" w14:textId="77777777" w:rsidR="00422284" w:rsidRPr="00422284" w:rsidRDefault="00422284" w:rsidP="00422284">
    <w:pPr>
      <w:ind w:firstLine="0"/>
      <w:rPr>
        <w:rFonts w:cs="Times New Roman"/>
        <w:sz w:val="18"/>
        <w:szCs w:val="18"/>
      </w:rPr>
    </w:pPr>
    <w:r w:rsidRPr="00422284">
      <w:rPr>
        <w:rFonts w:cs="Times New Roman"/>
        <w:sz w:val="18"/>
        <w:szCs w:val="18"/>
      </w:rPr>
      <w:t>El sujeto saludable: prácticas discursivas de la psicología y formas de subjetividad en el campo de la salud mental</w:t>
    </w:r>
  </w:p>
  <w:p w14:paraId="1B4DE922" w14:textId="77777777" w:rsidR="00422284" w:rsidRDefault="004222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77831143"/>
      <w:docPartObj>
        <w:docPartGallery w:val="Page Numbers (Top of Page)"/>
        <w:docPartUnique/>
      </w:docPartObj>
    </w:sdtPr>
    <w:sdtContent>
      <w:p w14:paraId="04D8464C" w14:textId="18A78C8D" w:rsidR="001411D5" w:rsidRDefault="001411D5">
        <w:pPr>
          <w:pStyle w:val="Encabezado"/>
          <w:jc w:val="right"/>
        </w:pPr>
        <w:r>
          <w:fldChar w:fldCharType="begin"/>
        </w:r>
        <w:r>
          <w:instrText>PAGE   \* MERGEFORMAT</w:instrText>
        </w:r>
        <w:r>
          <w:fldChar w:fldCharType="separate"/>
        </w:r>
        <w:r>
          <w:rPr>
            <w:lang w:val="es-ES"/>
          </w:rPr>
          <w:t>2</w:t>
        </w:r>
        <w:r>
          <w:fldChar w:fldCharType="end"/>
        </w:r>
      </w:p>
    </w:sdtContent>
  </w:sdt>
  <w:p w14:paraId="6837374B" w14:textId="77777777" w:rsidR="001411D5" w:rsidRDefault="001411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0AE526" w14:textId="67449518" w:rsidR="001411D5" w:rsidRDefault="001411D5">
    <w:pPr>
      <w:pStyle w:val="Encabezado"/>
      <w:jc w:val="right"/>
    </w:pPr>
  </w:p>
  <w:p w14:paraId="79A3536D" w14:textId="77777777" w:rsidR="000E5B14" w:rsidRDefault="000E5B14" w:rsidP="008F13C9">
    <w:pPr>
      <w:tabs>
        <w:tab w:val="left" w:pos="6437"/>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3354889"/>
      <w:docPartObj>
        <w:docPartGallery w:val="Page Numbers (Top of Page)"/>
        <w:docPartUnique/>
      </w:docPartObj>
    </w:sdtPr>
    <w:sdtContent>
      <w:p w14:paraId="0BA523AD" w14:textId="792433FF" w:rsidR="001411D5" w:rsidRDefault="001411D5">
        <w:pPr>
          <w:pStyle w:val="Encabezado"/>
          <w:jc w:val="right"/>
        </w:pPr>
        <w:r>
          <w:fldChar w:fldCharType="begin"/>
        </w:r>
        <w:r>
          <w:instrText>PAGE   \* MERGEFORMAT</w:instrText>
        </w:r>
        <w:r>
          <w:fldChar w:fldCharType="separate"/>
        </w:r>
        <w:r>
          <w:rPr>
            <w:lang w:val="es-ES"/>
          </w:rPr>
          <w:t>2</w:t>
        </w:r>
        <w:r>
          <w:fldChar w:fldCharType="end"/>
        </w:r>
      </w:p>
    </w:sdtContent>
  </w:sdt>
  <w:p w14:paraId="2027EE13" w14:textId="77777777" w:rsidR="001411D5" w:rsidRDefault="001411D5" w:rsidP="008F13C9">
    <w:pPr>
      <w:tabs>
        <w:tab w:val="left" w:pos="64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31114"/>
    <w:multiLevelType w:val="multilevel"/>
    <w:tmpl w:val="C284E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4416F"/>
    <w:multiLevelType w:val="multilevel"/>
    <w:tmpl w:val="43687F32"/>
    <w:lvl w:ilvl="0">
      <w:start w:val="1"/>
      <w:numFmt w:val="decimal"/>
      <w:lvlText w:val="%1."/>
      <w:lvlJc w:val="left"/>
      <w:pPr>
        <w:ind w:left="7023" w:hanging="360"/>
      </w:pPr>
      <w:rPr>
        <w:rFonts w:hint="default"/>
      </w:rPr>
    </w:lvl>
    <w:lvl w:ilvl="1">
      <w:start w:val="1"/>
      <w:numFmt w:val="decimal"/>
      <w:pStyle w:val="Ttulo2"/>
      <w:isLgl/>
      <w:lvlText w:val="%1.%2."/>
      <w:lvlJc w:val="left"/>
      <w:pPr>
        <w:ind w:left="9776"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B9D05EA"/>
    <w:multiLevelType w:val="hybridMultilevel"/>
    <w:tmpl w:val="4B429368"/>
    <w:lvl w:ilvl="0" w:tplc="BE3E0208">
      <w:start w:val="4"/>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 w15:restartNumberingAfterBreak="0">
    <w:nsid w:val="2E4E1150"/>
    <w:multiLevelType w:val="hybridMultilevel"/>
    <w:tmpl w:val="B34E3C66"/>
    <w:lvl w:ilvl="0" w:tplc="81ECD30A">
      <w:start w:val="4"/>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 w15:restartNumberingAfterBreak="0">
    <w:nsid w:val="369A7F08"/>
    <w:multiLevelType w:val="multilevel"/>
    <w:tmpl w:val="2EF4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4D49AA"/>
    <w:multiLevelType w:val="multilevel"/>
    <w:tmpl w:val="9CDE5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213853"/>
    <w:multiLevelType w:val="multilevel"/>
    <w:tmpl w:val="EA46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DF5DC3"/>
    <w:multiLevelType w:val="hybridMultilevel"/>
    <w:tmpl w:val="B6E4EB3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8" w15:restartNumberingAfterBreak="0">
    <w:nsid w:val="526652F3"/>
    <w:multiLevelType w:val="multilevel"/>
    <w:tmpl w:val="0B889C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FB24FE"/>
    <w:multiLevelType w:val="hybridMultilevel"/>
    <w:tmpl w:val="B07ABB9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234363856">
    <w:abstractNumId w:val="5"/>
  </w:num>
  <w:num w:numId="2" w16cid:durableId="1152720889">
    <w:abstractNumId w:val="6"/>
  </w:num>
  <w:num w:numId="3" w16cid:durableId="1099445929">
    <w:abstractNumId w:val="8"/>
  </w:num>
  <w:num w:numId="4" w16cid:durableId="1155142140">
    <w:abstractNumId w:val="0"/>
  </w:num>
  <w:num w:numId="5" w16cid:durableId="1098334954">
    <w:abstractNumId w:val="4"/>
  </w:num>
  <w:num w:numId="6" w16cid:durableId="62995161">
    <w:abstractNumId w:val="1"/>
  </w:num>
  <w:num w:numId="7" w16cid:durableId="1428770229">
    <w:abstractNumId w:val="2"/>
  </w:num>
  <w:num w:numId="8" w16cid:durableId="1323043891">
    <w:abstractNumId w:val="3"/>
  </w:num>
  <w:num w:numId="9" w16cid:durableId="587814542">
    <w:abstractNumId w:val="7"/>
  </w:num>
  <w:num w:numId="10" w16cid:durableId="161016311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14"/>
    <w:rsid w:val="00003263"/>
    <w:rsid w:val="000102F9"/>
    <w:rsid w:val="000162FA"/>
    <w:rsid w:val="00025B17"/>
    <w:rsid w:val="000430C0"/>
    <w:rsid w:val="000565FC"/>
    <w:rsid w:val="00073580"/>
    <w:rsid w:val="00081FEA"/>
    <w:rsid w:val="000820E5"/>
    <w:rsid w:val="00082BF9"/>
    <w:rsid w:val="00082CD5"/>
    <w:rsid w:val="000A3285"/>
    <w:rsid w:val="000B7FDD"/>
    <w:rsid w:val="000C5270"/>
    <w:rsid w:val="000C67BC"/>
    <w:rsid w:val="000C779F"/>
    <w:rsid w:val="000D18D2"/>
    <w:rsid w:val="000D7756"/>
    <w:rsid w:val="000E4CF7"/>
    <w:rsid w:val="000E5B14"/>
    <w:rsid w:val="000E7189"/>
    <w:rsid w:val="000E7531"/>
    <w:rsid w:val="000F0416"/>
    <w:rsid w:val="001166FB"/>
    <w:rsid w:val="001202D6"/>
    <w:rsid w:val="001234F1"/>
    <w:rsid w:val="00135097"/>
    <w:rsid w:val="00135A50"/>
    <w:rsid w:val="00140207"/>
    <w:rsid w:val="001411D5"/>
    <w:rsid w:val="00144D13"/>
    <w:rsid w:val="00145478"/>
    <w:rsid w:val="00154DA7"/>
    <w:rsid w:val="001614E0"/>
    <w:rsid w:val="001711E0"/>
    <w:rsid w:val="001823ED"/>
    <w:rsid w:val="00187C9E"/>
    <w:rsid w:val="001B4B4C"/>
    <w:rsid w:val="001B6905"/>
    <w:rsid w:val="001C7274"/>
    <w:rsid w:val="001C7FE5"/>
    <w:rsid w:val="001F0B75"/>
    <w:rsid w:val="00223BA7"/>
    <w:rsid w:val="00234A51"/>
    <w:rsid w:val="00242578"/>
    <w:rsid w:val="00243B1D"/>
    <w:rsid w:val="00246E1B"/>
    <w:rsid w:val="00265A47"/>
    <w:rsid w:val="00281973"/>
    <w:rsid w:val="002872C9"/>
    <w:rsid w:val="002963DF"/>
    <w:rsid w:val="002B34C7"/>
    <w:rsid w:val="002C4E9B"/>
    <w:rsid w:val="002D61C9"/>
    <w:rsid w:val="002F40F7"/>
    <w:rsid w:val="00313BC8"/>
    <w:rsid w:val="00322EE2"/>
    <w:rsid w:val="00322F62"/>
    <w:rsid w:val="00324EFD"/>
    <w:rsid w:val="003254F8"/>
    <w:rsid w:val="0032653E"/>
    <w:rsid w:val="00333F05"/>
    <w:rsid w:val="003344E9"/>
    <w:rsid w:val="00334991"/>
    <w:rsid w:val="00346058"/>
    <w:rsid w:val="00353034"/>
    <w:rsid w:val="00357B2F"/>
    <w:rsid w:val="00380E34"/>
    <w:rsid w:val="003863B3"/>
    <w:rsid w:val="00391C77"/>
    <w:rsid w:val="0039341F"/>
    <w:rsid w:val="00396F3E"/>
    <w:rsid w:val="00397175"/>
    <w:rsid w:val="003A05ED"/>
    <w:rsid w:val="003A5CC5"/>
    <w:rsid w:val="003C3B0B"/>
    <w:rsid w:val="003D07E7"/>
    <w:rsid w:val="003D4A80"/>
    <w:rsid w:val="003D68B2"/>
    <w:rsid w:val="003E2975"/>
    <w:rsid w:val="003E4A4F"/>
    <w:rsid w:val="003F4E4F"/>
    <w:rsid w:val="00422284"/>
    <w:rsid w:val="00424FFC"/>
    <w:rsid w:val="00440D21"/>
    <w:rsid w:val="00440DA5"/>
    <w:rsid w:val="004668B2"/>
    <w:rsid w:val="00471440"/>
    <w:rsid w:val="00481356"/>
    <w:rsid w:val="004A0793"/>
    <w:rsid w:val="004A5D6C"/>
    <w:rsid w:val="004B644B"/>
    <w:rsid w:val="004C0C82"/>
    <w:rsid w:val="004C2D74"/>
    <w:rsid w:val="004D3F3D"/>
    <w:rsid w:val="004E3141"/>
    <w:rsid w:val="004E55E5"/>
    <w:rsid w:val="004F3849"/>
    <w:rsid w:val="004F3F26"/>
    <w:rsid w:val="0050310B"/>
    <w:rsid w:val="005066C3"/>
    <w:rsid w:val="00511928"/>
    <w:rsid w:val="00523FAE"/>
    <w:rsid w:val="0052782C"/>
    <w:rsid w:val="00534091"/>
    <w:rsid w:val="005354A9"/>
    <w:rsid w:val="005359B9"/>
    <w:rsid w:val="00552E9A"/>
    <w:rsid w:val="00552FC6"/>
    <w:rsid w:val="00556A8B"/>
    <w:rsid w:val="00567360"/>
    <w:rsid w:val="005813C7"/>
    <w:rsid w:val="005A17E1"/>
    <w:rsid w:val="005B3DAC"/>
    <w:rsid w:val="005B6E01"/>
    <w:rsid w:val="005B7128"/>
    <w:rsid w:val="005C2961"/>
    <w:rsid w:val="005C29C6"/>
    <w:rsid w:val="005C4E70"/>
    <w:rsid w:val="005C5863"/>
    <w:rsid w:val="00605F12"/>
    <w:rsid w:val="00641BA1"/>
    <w:rsid w:val="00641FDA"/>
    <w:rsid w:val="00661D35"/>
    <w:rsid w:val="00680DF4"/>
    <w:rsid w:val="006A39D9"/>
    <w:rsid w:val="006A6DB0"/>
    <w:rsid w:val="006C48BA"/>
    <w:rsid w:val="006F6EDA"/>
    <w:rsid w:val="00710FAD"/>
    <w:rsid w:val="007255F4"/>
    <w:rsid w:val="0073056B"/>
    <w:rsid w:val="00757531"/>
    <w:rsid w:val="007606A4"/>
    <w:rsid w:val="007632E4"/>
    <w:rsid w:val="00764CD7"/>
    <w:rsid w:val="00765722"/>
    <w:rsid w:val="0077250D"/>
    <w:rsid w:val="00777142"/>
    <w:rsid w:val="00777BFD"/>
    <w:rsid w:val="00783F8F"/>
    <w:rsid w:val="00791D5F"/>
    <w:rsid w:val="00792085"/>
    <w:rsid w:val="007924E7"/>
    <w:rsid w:val="0079432A"/>
    <w:rsid w:val="007A3896"/>
    <w:rsid w:val="007B2E62"/>
    <w:rsid w:val="007B40CE"/>
    <w:rsid w:val="007D29CA"/>
    <w:rsid w:val="007D34CE"/>
    <w:rsid w:val="007E5815"/>
    <w:rsid w:val="007F5863"/>
    <w:rsid w:val="007F649E"/>
    <w:rsid w:val="00802529"/>
    <w:rsid w:val="00816DB2"/>
    <w:rsid w:val="00820121"/>
    <w:rsid w:val="00821DA4"/>
    <w:rsid w:val="0085725F"/>
    <w:rsid w:val="00875C58"/>
    <w:rsid w:val="008850BB"/>
    <w:rsid w:val="00892583"/>
    <w:rsid w:val="00893257"/>
    <w:rsid w:val="008A6FA8"/>
    <w:rsid w:val="008B0E25"/>
    <w:rsid w:val="008C1457"/>
    <w:rsid w:val="008C2FB8"/>
    <w:rsid w:val="008D2EC9"/>
    <w:rsid w:val="008F13C9"/>
    <w:rsid w:val="008F253A"/>
    <w:rsid w:val="008F4F69"/>
    <w:rsid w:val="00901D6F"/>
    <w:rsid w:val="009046D5"/>
    <w:rsid w:val="00914AB5"/>
    <w:rsid w:val="00914F05"/>
    <w:rsid w:val="00916F9F"/>
    <w:rsid w:val="009355BB"/>
    <w:rsid w:val="00947C93"/>
    <w:rsid w:val="009542C2"/>
    <w:rsid w:val="0095786E"/>
    <w:rsid w:val="00973034"/>
    <w:rsid w:val="009950ED"/>
    <w:rsid w:val="009956B8"/>
    <w:rsid w:val="009959EB"/>
    <w:rsid w:val="009A2215"/>
    <w:rsid w:val="009A3BDC"/>
    <w:rsid w:val="009A3E27"/>
    <w:rsid w:val="009A7B04"/>
    <w:rsid w:val="009C0D87"/>
    <w:rsid w:val="009C6A83"/>
    <w:rsid w:val="009D53F2"/>
    <w:rsid w:val="009E2AA1"/>
    <w:rsid w:val="009F5ABB"/>
    <w:rsid w:val="00A036DF"/>
    <w:rsid w:val="00A21D5C"/>
    <w:rsid w:val="00A366B7"/>
    <w:rsid w:val="00A43812"/>
    <w:rsid w:val="00A43D70"/>
    <w:rsid w:val="00A82BF2"/>
    <w:rsid w:val="00A849C2"/>
    <w:rsid w:val="00A93E84"/>
    <w:rsid w:val="00AB6AA0"/>
    <w:rsid w:val="00AD778B"/>
    <w:rsid w:val="00AE7C1B"/>
    <w:rsid w:val="00AF34B8"/>
    <w:rsid w:val="00B03062"/>
    <w:rsid w:val="00B04DCD"/>
    <w:rsid w:val="00B05E62"/>
    <w:rsid w:val="00B10ABB"/>
    <w:rsid w:val="00B163CB"/>
    <w:rsid w:val="00B306DB"/>
    <w:rsid w:val="00B46284"/>
    <w:rsid w:val="00B511E0"/>
    <w:rsid w:val="00B6329F"/>
    <w:rsid w:val="00B70080"/>
    <w:rsid w:val="00B86BAE"/>
    <w:rsid w:val="00B90A74"/>
    <w:rsid w:val="00BB1F67"/>
    <w:rsid w:val="00BC5E93"/>
    <w:rsid w:val="00BD3341"/>
    <w:rsid w:val="00BD479D"/>
    <w:rsid w:val="00BF126F"/>
    <w:rsid w:val="00C22D9D"/>
    <w:rsid w:val="00C44790"/>
    <w:rsid w:val="00C45426"/>
    <w:rsid w:val="00C60240"/>
    <w:rsid w:val="00C76D78"/>
    <w:rsid w:val="00C8052E"/>
    <w:rsid w:val="00C8293E"/>
    <w:rsid w:val="00C83126"/>
    <w:rsid w:val="00CC5C88"/>
    <w:rsid w:val="00CD0F96"/>
    <w:rsid w:val="00CE43B0"/>
    <w:rsid w:val="00CF267C"/>
    <w:rsid w:val="00D02917"/>
    <w:rsid w:val="00D040DC"/>
    <w:rsid w:val="00D16BBD"/>
    <w:rsid w:val="00D20C71"/>
    <w:rsid w:val="00D25743"/>
    <w:rsid w:val="00D25E6F"/>
    <w:rsid w:val="00D32535"/>
    <w:rsid w:val="00D331B9"/>
    <w:rsid w:val="00D3327C"/>
    <w:rsid w:val="00D377F9"/>
    <w:rsid w:val="00D41D3C"/>
    <w:rsid w:val="00D53F3D"/>
    <w:rsid w:val="00D5448A"/>
    <w:rsid w:val="00D5744D"/>
    <w:rsid w:val="00D57B5D"/>
    <w:rsid w:val="00D65640"/>
    <w:rsid w:val="00D6708E"/>
    <w:rsid w:val="00D8022E"/>
    <w:rsid w:val="00D81B25"/>
    <w:rsid w:val="00D85E38"/>
    <w:rsid w:val="00D921DD"/>
    <w:rsid w:val="00DA0956"/>
    <w:rsid w:val="00DC02C2"/>
    <w:rsid w:val="00DC0A23"/>
    <w:rsid w:val="00DE1BCA"/>
    <w:rsid w:val="00DE23BF"/>
    <w:rsid w:val="00DE6798"/>
    <w:rsid w:val="00E16CA7"/>
    <w:rsid w:val="00E2224B"/>
    <w:rsid w:val="00E2629B"/>
    <w:rsid w:val="00E463F3"/>
    <w:rsid w:val="00E47F1F"/>
    <w:rsid w:val="00E5599C"/>
    <w:rsid w:val="00E6303F"/>
    <w:rsid w:val="00E64A2D"/>
    <w:rsid w:val="00E73E90"/>
    <w:rsid w:val="00E74C08"/>
    <w:rsid w:val="00E92C82"/>
    <w:rsid w:val="00E948F7"/>
    <w:rsid w:val="00E95CC1"/>
    <w:rsid w:val="00EA7824"/>
    <w:rsid w:val="00EB2359"/>
    <w:rsid w:val="00EC7BAB"/>
    <w:rsid w:val="00ED1AD2"/>
    <w:rsid w:val="00ED1F3B"/>
    <w:rsid w:val="00EE4899"/>
    <w:rsid w:val="00EF28C6"/>
    <w:rsid w:val="00EF5C93"/>
    <w:rsid w:val="00F00634"/>
    <w:rsid w:val="00F00CE1"/>
    <w:rsid w:val="00F276A0"/>
    <w:rsid w:val="00F30B07"/>
    <w:rsid w:val="00F42B17"/>
    <w:rsid w:val="00F42E0E"/>
    <w:rsid w:val="00F4358E"/>
    <w:rsid w:val="00F4490F"/>
    <w:rsid w:val="00F45A83"/>
    <w:rsid w:val="00F57E8C"/>
    <w:rsid w:val="00F73346"/>
    <w:rsid w:val="00F860C0"/>
    <w:rsid w:val="00F874B8"/>
    <w:rsid w:val="00FA52A0"/>
    <w:rsid w:val="00FA617E"/>
    <w:rsid w:val="00FB190D"/>
    <w:rsid w:val="00FB6748"/>
    <w:rsid w:val="00FC10C8"/>
    <w:rsid w:val="00FE3A81"/>
    <w:rsid w:val="00FE6F38"/>
    <w:rsid w:val="00FE74EE"/>
    <w:rsid w:val="00FF17BB"/>
    <w:rsid w:val="00FF3AA8"/>
    <w:rsid w:val="00FF7F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FDDCB"/>
  <w15:chartTrackingRefBased/>
  <w15:docId w15:val="{937CFD1E-ABE0-4CC4-B4E1-D324D077E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D9D"/>
    <w:pPr>
      <w:spacing w:after="0" w:line="360" w:lineRule="auto"/>
      <w:ind w:firstLine="709"/>
      <w:contextualSpacing/>
    </w:pPr>
    <w:rPr>
      <w:rFonts w:ascii="Times New Roman" w:hAnsi="Times New Roman"/>
    </w:rPr>
  </w:style>
  <w:style w:type="paragraph" w:styleId="Ttulo1">
    <w:name w:val="heading 1"/>
    <w:basedOn w:val="Normal"/>
    <w:next w:val="Normal"/>
    <w:link w:val="Ttulo1Car"/>
    <w:uiPriority w:val="9"/>
    <w:qFormat/>
    <w:rsid w:val="00C22D9D"/>
    <w:pPr>
      <w:keepNext/>
      <w:keepLines/>
      <w:spacing w:before="120" w:line="240" w:lineRule="auto"/>
      <w:jc w:val="center"/>
      <w:outlineLvl w:val="0"/>
    </w:pPr>
    <w:rPr>
      <w:rFonts w:eastAsiaTheme="majorEastAsia" w:cstheme="majorBidi"/>
      <w:b/>
      <w:szCs w:val="40"/>
    </w:rPr>
  </w:style>
  <w:style w:type="paragraph" w:styleId="Ttulo2">
    <w:name w:val="heading 2"/>
    <w:basedOn w:val="Normal"/>
    <w:next w:val="Normal"/>
    <w:link w:val="Ttulo2Car"/>
    <w:autoRedefine/>
    <w:uiPriority w:val="9"/>
    <w:unhideWhenUsed/>
    <w:qFormat/>
    <w:rsid w:val="002D61C9"/>
    <w:pPr>
      <w:keepNext/>
      <w:keepLines/>
      <w:numPr>
        <w:ilvl w:val="1"/>
        <w:numId w:val="6"/>
      </w:numPr>
      <w:spacing w:before="160" w:after="120"/>
      <w:ind w:left="1134"/>
      <w:outlineLvl w:val="1"/>
    </w:pPr>
    <w:rPr>
      <w:rFonts w:eastAsiaTheme="majorEastAsia" w:cs="Times New Roman"/>
      <w:b/>
      <w:szCs w:val="32"/>
    </w:rPr>
  </w:style>
  <w:style w:type="paragraph" w:styleId="Ttulo3">
    <w:name w:val="heading 3"/>
    <w:basedOn w:val="Normal"/>
    <w:next w:val="Normal"/>
    <w:link w:val="Ttulo3Car"/>
    <w:uiPriority w:val="9"/>
    <w:unhideWhenUsed/>
    <w:qFormat/>
    <w:rsid w:val="00EA7824"/>
    <w:pPr>
      <w:keepNext/>
      <w:keepLines/>
      <w:spacing w:before="160" w:after="80" w:line="240" w:lineRule="auto"/>
      <w:outlineLvl w:val="2"/>
    </w:pPr>
    <w:rPr>
      <w:rFonts w:eastAsiaTheme="majorEastAsia" w:cstheme="majorBidi"/>
      <w:i/>
      <w:szCs w:val="28"/>
    </w:rPr>
  </w:style>
  <w:style w:type="paragraph" w:styleId="Ttulo4">
    <w:name w:val="heading 4"/>
    <w:basedOn w:val="Normal"/>
    <w:next w:val="Normal"/>
    <w:link w:val="Ttulo4Car"/>
    <w:uiPriority w:val="9"/>
    <w:unhideWhenUsed/>
    <w:qFormat/>
    <w:rsid w:val="000B7FDD"/>
    <w:pPr>
      <w:keepNext/>
      <w:keepLines/>
      <w:spacing w:before="80" w:after="40"/>
      <w:outlineLvl w:val="3"/>
    </w:pPr>
    <w:rPr>
      <w:rFonts w:eastAsiaTheme="majorEastAsia" w:cstheme="majorBidi"/>
      <w:i/>
      <w:iCs/>
    </w:rPr>
  </w:style>
  <w:style w:type="paragraph" w:styleId="Ttulo5">
    <w:name w:val="heading 5"/>
    <w:basedOn w:val="Normal"/>
    <w:next w:val="Normal"/>
    <w:link w:val="Ttulo5Car"/>
    <w:uiPriority w:val="9"/>
    <w:semiHidden/>
    <w:unhideWhenUsed/>
    <w:qFormat/>
    <w:rsid w:val="000E5B1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5B1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5B1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5B1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5B1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22D9D"/>
    <w:rPr>
      <w:rFonts w:ascii="Times New Roman" w:eastAsiaTheme="majorEastAsia" w:hAnsi="Times New Roman" w:cstheme="majorBidi"/>
      <w:b/>
      <w:szCs w:val="40"/>
    </w:rPr>
  </w:style>
  <w:style w:type="character" w:customStyle="1" w:styleId="Ttulo2Car">
    <w:name w:val="Título 2 Car"/>
    <w:basedOn w:val="Fuentedeprrafopredeter"/>
    <w:link w:val="Ttulo2"/>
    <w:uiPriority w:val="9"/>
    <w:rsid w:val="002D61C9"/>
    <w:rPr>
      <w:rFonts w:ascii="Times New Roman" w:eastAsiaTheme="majorEastAsia" w:hAnsi="Times New Roman" w:cs="Times New Roman"/>
      <w:b/>
      <w:szCs w:val="32"/>
    </w:rPr>
  </w:style>
  <w:style w:type="character" w:customStyle="1" w:styleId="Ttulo3Car">
    <w:name w:val="Título 3 Car"/>
    <w:basedOn w:val="Fuentedeprrafopredeter"/>
    <w:link w:val="Ttulo3"/>
    <w:uiPriority w:val="9"/>
    <w:rsid w:val="00EA7824"/>
    <w:rPr>
      <w:rFonts w:ascii="Times New Roman" w:eastAsiaTheme="majorEastAsia" w:hAnsi="Times New Roman" w:cstheme="majorBidi"/>
      <w:i/>
      <w:szCs w:val="28"/>
    </w:rPr>
  </w:style>
  <w:style w:type="character" w:customStyle="1" w:styleId="Ttulo4Car">
    <w:name w:val="Título 4 Car"/>
    <w:basedOn w:val="Fuentedeprrafopredeter"/>
    <w:link w:val="Ttulo4"/>
    <w:uiPriority w:val="9"/>
    <w:rsid w:val="000B7FDD"/>
    <w:rPr>
      <w:rFonts w:ascii="Times New Roman" w:eastAsiaTheme="majorEastAsia" w:hAnsi="Times New Roman" w:cstheme="majorBidi"/>
      <w:i/>
      <w:iCs/>
    </w:rPr>
  </w:style>
  <w:style w:type="character" w:customStyle="1" w:styleId="Ttulo5Car">
    <w:name w:val="Título 5 Car"/>
    <w:basedOn w:val="Fuentedeprrafopredeter"/>
    <w:link w:val="Ttulo5"/>
    <w:uiPriority w:val="9"/>
    <w:semiHidden/>
    <w:rsid w:val="000E5B1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5B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5B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5B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5B14"/>
    <w:rPr>
      <w:rFonts w:eastAsiaTheme="majorEastAsia" w:cstheme="majorBidi"/>
      <w:color w:val="272727" w:themeColor="text1" w:themeTint="D8"/>
    </w:rPr>
  </w:style>
  <w:style w:type="paragraph" w:styleId="Ttulo">
    <w:name w:val="Title"/>
    <w:basedOn w:val="Normal"/>
    <w:next w:val="Normal"/>
    <w:link w:val="TtuloCar"/>
    <w:uiPriority w:val="10"/>
    <w:qFormat/>
    <w:rsid w:val="000E5B14"/>
    <w:pPr>
      <w:spacing w:after="80" w:line="240" w:lineRule="auto"/>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5B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5B14"/>
    <w:pPr>
      <w:numPr>
        <w:ilvl w:val="1"/>
      </w:numPr>
      <w:ind w:firstLine="709"/>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5B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5B14"/>
    <w:pPr>
      <w:spacing w:before="160"/>
      <w:jc w:val="center"/>
    </w:pPr>
    <w:rPr>
      <w:i/>
      <w:iCs/>
      <w:color w:val="404040" w:themeColor="text1" w:themeTint="BF"/>
    </w:rPr>
  </w:style>
  <w:style w:type="character" w:customStyle="1" w:styleId="CitaCar">
    <w:name w:val="Cita Car"/>
    <w:basedOn w:val="Fuentedeprrafopredeter"/>
    <w:link w:val="Cita"/>
    <w:uiPriority w:val="29"/>
    <w:rsid w:val="000E5B14"/>
    <w:rPr>
      <w:i/>
      <w:iCs/>
      <w:color w:val="404040" w:themeColor="text1" w:themeTint="BF"/>
    </w:rPr>
  </w:style>
  <w:style w:type="paragraph" w:styleId="Prrafodelista">
    <w:name w:val="List Paragraph"/>
    <w:basedOn w:val="Normal"/>
    <w:uiPriority w:val="34"/>
    <w:qFormat/>
    <w:rsid w:val="000E5B14"/>
    <w:pPr>
      <w:ind w:left="720"/>
    </w:pPr>
  </w:style>
  <w:style w:type="character" w:styleId="nfasisintenso">
    <w:name w:val="Intense Emphasis"/>
    <w:basedOn w:val="Fuentedeprrafopredeter"/>
    <w:uiPriority w:val="21"/>
    <w:qFormat/>
    <w:rsid w:val="000E5B14"/>
    <w:rPr>
      <w:i/>
      <w:iCs/>
      <w:color w:val="0F4761" w:themeColor="accent1" w:themeShade="BF"/>
    </w:rPr>
  </w:style>
  <w:style w:type="paragraph" w:styleId="Citadestacada">
    <w:name w:val="Intense Quote"/>
    <w:basedOn w:val="Normal"/>
    <w:next w:val="Normal"/>
    <w:link w:val="CitadestacadaCar"/>
    <w:uiPriority w:val="30"/>
    <w:qFormat/>
    <w:rsid w:val="000E5B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5B14"/>
    <w:rPr>
      <w:i/>
      <w:iCs/>
      <w:color w:val="0F4761" w:themeColor="accent1" w:themeShade="BF"/>
    </w:rPr>
  </w:style>
  <w:style w:type="character" w:styleId="Referenciaintensa">
    <w:name w:val="Intense Reference"/>
    <w:basedOn w:val="Fuentedeprrafopredeter"/>
    <w:uiPriority w:val="32"/>
    <w:qFormat/>
    <w:rsid w:val="000E5B14"/>
    <w:rPr>
      <w:b/>
      <w:bCs/>
      <w:smallCaps/>
      <w:color w:val="0F4761" w:themeColor="accent1" w:themeShade="BF"/>
      <w:spacing w:val="5"/>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paragraph" w:styleId="NormalWeb">
    <w:name w:val="Normal (Web)"/>
    <w:basedOn w:val="Normal"/>
    <w:uiPriority w:val="99"/>
    <w:semiHidden/>
    <w:unhideWhenUsed/>
    <w:rsid w:val="00DE23BF"/>
    <w:rPr>
      <w:rFonts w:cs="Times New Roman"/>
    </w:rPr>
  </w:style>
  <w:style w:type="table" w:styleId="Tablanormal2">
    <w:name w:val="Plain Table 2"/>
    <w:basedOn w:val="Tablanormal"/>
    <w:uiPriority w:val="42"/>
    <w:rsid w:val="004813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as">
    <w:name w:val="Tablas"/>
    <w:basedOn w:val="Normal"/>
    <w:link w:val="TablasCar"/>
    <w:qFormat/>
    <w:rsid w:val="00481356"/>
    <w:pPr>
      <w:spacing w:line="240" w:lineRule="auto"/>
      <w:ind w:firstLine="708"/>
    </w:pPr>
    <w:rPr>
      <w:rFonts w:cs="Times New Roman"/>
      <w:lang w:val="es-MX"/>
    </w:rPr>
  </w:style>
  <w:style w:type="character" w:customStyle="1" w:styleId="TablasCar">
    <w:name w:val="Tablas Car"/>
    <w:basedOn w:val="Fuentedeprrafopredeter"/>
    <w:link w:val="Tablas"/>
    <w:rsid w:val="00481356"/>
    <w:rPr>
      <w:rFonts w:ascii="Times New Roman" w:hAnsi="Times New Roman" w:cs="Times New Roman"/>
      <w:lang w:val="es-MX"/>
    </w:rPr>
  </w:style>
  <w:style w:type="paragraph" w:styleId="TDC1">
    <w:name w:val="toc 1"/>
    <w:basedOn w:val="Normal"/>
    <w:next w:val="Normal"/>
    <w:autoRedefine/>
    <w:uiPriority w:val="39"/>
    <w:unhideWhenUsed/>
    <w:rsid w:val="00187C9E"/>
    <w:pPr>
      <w:tabs>
        <w:tab w:val="right" w:leader="dot" w:pos="9394"/>
      </w:tabs>
      <w:spacing w:after="100"/>
    </w:pPr>
    <w:rPr>
      <w:noProof/>
    </w:rPr>
  </w:style>
  <w:style w:type="paragraph" w:styleId="TDC2">
    <w:name w:val="toc 2"/>
    <w:basedOn w:val="Normal"/>
    <w:next w:val="Normal"/>
    <w:autoRedefine/>
    <w:uiPriority w:val="39"/>
    <w:unhideWhenUsed/>
    <w:rsid w:val="00F860C0"/>
    <w:pPr>
      <w:tabs>
        <w:tab w:val="left" w:pos="1680"/>
        <w:tab w:val="right" w:leader="dot" w:pos="9394"/>
      </w:tabs>
      <w:spacing w:after="100"/>
      <w:ind w:firstLine="0"/>
    </w:pPr>
    <w:rPr>
      <w:noProof/>
      <w:sz w:val="22"/>
      <w:szCs w:val="22"/>
    </w:rPr>
  </w:style>
  <w:style w:type="paragraph" w:styleId="TDC3">
    <w:name w:val="toc 3"/>
    <w:basedOn w:val="Normal"/>
    <w:next w:val="Normal"/>
    <w:autoRedefine/>
    <w:uiPriority w:val="39"/>
    <w:unhideWhenUsed/>
    <w:rsid w:val="00A849C2"/>
    <w:pPr>
      <w:spacing w:after="100"/>
      <w:ind w:left="480"/>
    </w:pPr>
  </w:style>
  <w:style w:type="paragraph" w:styleId="TDC4">
    <w:name w:val="toc 4"/>
    <w:basedOn w:val="Normal"/>
    <w:next w:val="Normal"/>
    <w:autoRedefine/>
    <w:uiPriority w:val="39"/>
    <w:unhideWhenUsed/>
    <w:rsid w:val="00A849C2"/>
    <w:pPr>
      <w:spacing w:after="100"/>
      <w:ind w:left="720"/>
    </w:pPr>
  </w:style>
  <w:style w:type="paragraph" w:styleId="TDC5">
    <w:name w:val="toc 5"/>
    <w:basedOn w:val="Normal"/>
    <w:next w:val="Normal"/>
    <w:autoRedefine/>
    <w:uiPriority w:val="39"/>
    <w:unhideWhenUsed/>
    <w:rsid w:val="00A849C2"/>
    <w:pPr>
      <w:spacing w:after="100" w:line="278" w:lineRule="auto"/>
      <w:ind w:left="960" w:firstLine="0"/>
      <w:contextualSpacing w:val="0"/>
    </w:pPr>
    <w:rPr>
      <w:rFonts w:asciiTheme="minorHAnsi" w:eastAsiaTheme="minorEastAsia" w:hAnsiTheme="minorHAnsi"/>
    </w:rPr>
  </w:style>
  <w:style w:type="paragraph" w:styleId="TDC6">
    <w:name w:val="toc 6"/>
    <w:basedOn w:val="Normal"/>
    <w:next w:val="Normal"/>
    <w:autoRedefine/>
    <w:uiPriority w:val="39"/>
    <w:unhideWhenUsed/>
    <w:rsid w:val="00A849C2"/>
    <w:pPr>
      <w:spacing w:after="100" w:line="278" w:lineRule="auto"/>
      <w:ind w:left="1200" w:firstLine="0"/>
      <w:contextualSpacing w:val="0"/>
    </w:pPr>
    <w:rPr>
      <w:rFonts w:asciiTheme="minorHAnsi" w:eastAsiaTheme="minorEastAsia" w:hAnsiTheme="minorHAnsi"/>
    </w:rPr>
  </w:style>
  <w:style w:type="paragraph" w:styleId="TDC7">
    <w:name w:val="toc 7"/>
    <w:basedOn w:val="Normal"/>
    <w:next w:val="Normal"/>
    <w:autoRedefine/>
    <w:uiPriority w:val="39"/>
    <w:unhideWhenUsed/>
    <w:rsid w:val="00A849C2"/>
    <w:pPr>
      <w:spacing w:after="100" w:line="278" w:lineRule="auto"/>
      <w:ind w:left="1440" w:firstLine="0"/>
      <w:contextualSpacing w:val="0"/>
    </w:pPr>
    <w:rPr>
      <w:rFonts w:asciiTheme="minorHAnsi" w:eastAsiaTheme="minorEastAsia" w:hAnsiTheme="minorHAnsi"/>
    </w:rPr>
  </w:style>
  <w:style w:type="paragraph" w:styleId="TDC8">
    <w:name w:val="toc 8"/>
    <w:basedOn w:val="Normal"/>
    <w:next w:val="Normal"/>
    <w:autoRedefine/>
    <w:uiPriority w:val="39"/>
    <w:unhideWhenUsed/>
    <w:rsid w:val="00A849C2"/>
    <w:pPr>
      <w:spacing w:after="100" w:line="278" w:lineRule="auto"/>
      <w:ind w:left="1680" w:firstLine="0"/>
      <w:contextualSpacing w:val="0"/>
    </w:pPr>
    <w:rPr>
      <w:rFonts w:asciiTheme="minorHAnsi" w:eastAsiaTheme="minorEastAsia" w:hAnsiTheme="minorHAnsi"/>
    </w:rPr>
  </w:style>
  <w:style w:type="paragraph" w:styleId="TDC9">
    <w:name w:val="toc 9"/>
    <w:basedOn w:val="Normal"/>
    <w:next w:val="Normal"/>
    <w:autoRedefine/>
    <w:uiPriority w:val="39"/>
    <w:unhideWhenUsed/>
    <w:rsid w:val="00A849C2"/>
    <w:pPr>
      <w:spacing w:after="100" w:line="278" w:lineRule="auto"/>
      <w:ind w:left="1920" w:firstLine="0"/>
      <w:contextualSpacing w:val="0"/>
    </w:pPr>
    <w:rPr>
      <w:rFonts w:asciiTheme="minorHAnsi" w:eastAsiaTheme="minorEastAsia" w:hAnsiTheme="minorHAnsi"/>
    </w:rPr>
  </w:style>
  <w:style w:type="character" w:styleId="Hipervnculo">
    <w:name w:val="Hyperlink"/>
    <w:basedOn w:val="Fuentedeprrafopredeter"/>
    <w:uiPriority w:val="99"/>
    <w:unhideWhenUsed/>
    <w:rsid w:val="00A849C2"/>
    <w:rPr>
      <w:color w:val="467886" w:themeColor="hyperlink"/>
      <w:u w:val="single"/>
    </w:rPr>
  </w:style>
  <w:style w:type="character" w:styleId="Mencinsinresolver">
    <w:name w:val="Unresolved Mention"/>
    <w:basedOn w:val="Fuentedeprrafopredeter"/>
    <w:uiPriority w:val="99"/>
    <w:semiHidden/>
    <w:unhideWhenUsed/>
    <w:rsid w:val="00A849C2"/>
    <w:rPr>
      <w:color w:val="605E5C"/>
      <w:shd w:val="clear" w:color="auto" w:fill="E1DFDD"/>
    </w:rPr>
  </w:style>
  <w:style w:type="paragraph" w:styleId="Tabladeilustraciones">
    <w:name w:val="table of figures"/>
    <w:basedOn w:val="Normal"/>
    <w:next w:val="Normal"/>
    <w:uiPriority w:val="99"/>
    <w:semiHidden/>
    <w:unhideWhenUsed/>
    <w:rsid w:val="00E5599C"/>
  </w:style>
  <w:style w:type="paragraph" w:styleId="Encabezado">
    <w:name w:val="header"/>
    <w:basedOn w:val="Normal"/>
    <w:link w:val="EncabezadoCar"/>
    <w:uiPriority w:val="99"/>
    <w:unhideWhenUsed/>
    <w:rsid w:val="003254F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254F8"/>
    <w:rPr>
      <w:rFonts w:ascii="Times New Roman" w:hAnsi="Times New Roman"/>
    </w:rPr>
  </w:style>
  <w:style w:type="paragraph" w:styleId="Piedepgina">
    <w:name w:val="footer"/>
    <w:basedOn w:val="Normal"/>
    <w:link w:val="PiedepginaCar"/>
    <w:uiPriority w:val="99"/>
    <w:unhideWhenUsed/>
    <w:rsid w:val="003254F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254F8"/>
    <w:rPr>
      <w:rFonts w:ascii="Times New Roman" w:hAnsi="Times New Roman"/>
    </w:rPr>
  </w:style>
  <w:style w:type="paragraph" w:styleId="Asuntodelcomentario">
    <w:name w:val="annotation subject"/>
    <w:basedOn w:val="Textocomentario"/>
    <w:next w:val="Textocomentario"/>
    <w:link w:val="AsuntodelcomentarioCar"/>
    <w:uiPriority w:val="99"/>
    <w:semiHidden/>
    <w:unhideWhenUsed/>
    <w:rsid w:val="001166FB"/>
    <w:rPr>
      <w:b/>
      <w:bCs/>
    </w:rPr>
  </w:style>
  <w:style w:type="character" w:customStyle="1" w:styleId="AsuntodelcomentarioCar">
    <w:name w:val="Asunto del comentario Car"/>
    <w:basedOn w:val="TextocomentarioCar"/>
    <w:link w:val="Asuntodelcomentario"/>
    <w:uiPriority w:val="99"/>
    <w:semiHidden/>
    <w:rsid w:val="001166FB"/>
    <w:rPr>
      <w:rFonts w:ascii="Times New Roman" w:hAnsi="Times New Roman"/>
      <w:b/>
      <w:bCs/>
      <w:sz w:val="20"/>
      <w:szCs w:val="20"/>
    </w:rPr>
  </w:style>
  <w:style w:type="paragraph" w:styleId="Revisin">
    <w:name w:val="Revision"/>
    <w:hidden/>
    <w:uiPriority w:val="99"/>
    <w:semiHidden/>
    <w:rsid w:val="005A17E1"/>
    <w:pPr>
      <w:spacing w:after="0" w:line="240" w:lineRule="auto"/>
    </w:pPr>
    <w:rPr>
      <w:rFonts w:ascii="Times New Roman" w:hAnsi="Times New Roman"/>
    </w:rPr>
  </w:style>
  <w:style w:type="paragraph" w:customStyle="1" w:styleId="font-claude-response-body">
    <w:name w:val="font-claude-response-body"/>
    <w:basedOn w:val="Normal"/>
    <w:rsid w:val="007606A4"/>
    <w:pPr>
      <w:spacing w:before="100" w:beforeAutospacing="1" w:after="100" w:afterAutospacing="1" w:line="240" w:lineRule="auto"/>
      <w:ind w:firstLine="0"/>
      <w:contextualSpacing w:val="0"/>
    </w:pPr>
    <w:rPr>
      <w:rFonts w:eastAsia="Times New Roman" w:cs="Times New Roman"/>
      <w:kern w:val="0"/>
      <w14:ligatures w14:val="none"/>
    </w:rPr>
  </w:style>
  <w:style w:type="character" w:styleId="nfasis">
    <w:name w:val="Emphasis"/>
    <w:basedOn w:val="Fuentedeprrafopredeter"/>
    <w:uiPriority w:val="20"/>
    <w:qFormat/>
    <w:rsid w:val="004A5D6C"/>
    <w:rPr>
      <w:i/>
      <w:iCs/>
    </w:rPr>
  </w:style>
  <w:style w:type="character" w:styleId="Fuerte">
    <w:name w:val="Strong"/>
    <w:basedOn w:val="Fuentedeprrafopredeter"/>
    <w:uiPriority w:val="22"/>
    <w:qFormat/>
    <w:rsid w:val="004A5D6C"/>
    <w:rPr>
      <w:b/>
      <w:bCs/>
    </w:rPr>
  </w:style>
  <w:style w:type="paragraph" w:styleId="Sinespaciado">
    <w:name w:val="No Spacing"/>
    <w:uiPriority w:val="1"/>
    <w:qFormat/>
    <w:rsid w:val="006A39D9"/>
    <w:pPr>
      <w:spacing w:after="0" w:line="240" w:lineRule="auto"/>
      <w:ind w:firstLine="709"/>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652534">
      <w:bodyDiv w:val="1"/>
      <w:marLeft w:val="0"/>
      <w:marRight w:val="0"/>
      <w:marTop w:val="0"/>
      <w:marBottom w:val="0"/>
      <w:divBdr>
        <w:top w:val="none" w:sz="0" w:space="0" w:color="auto"/>
        <w:left w:val="none" w:sz="0" w:space="0" w:color="auto"/>
        <w:bottom w:val="none" w:sz="0" w:space="0" w:color="auto"/>
        <w:right w:val="none" w:sz="0" w:space="0" w:color="auto"/>
      </w:divBdr>
    </w:div>
    <w:div w:id="56754699">
      <w:bodyDiv w:val="1"/>
      <w:marLeft w:val="0"/>
      <w:marRight w:val="0"/>
      <w:marTop w:val="0"/>
      <w:marBottom w:val="0"/>
      <w:divBdr>
        <w:top w:val="none" w:sz="0" w:space="0" w:color="auto"/>
        <w:left w:val="none" w:sz="0" w:space="0" w:color="auto"/>
        <w:bottom w:val="none" w:sz="0" w:space="0" w:color="auto"/>
        <w:right w:val="none" w:sz="0" w:space="0" w:color="auto"/>
      </w:divBdr>
    </w:div>
    <w:div w:id="89547434">
      <w:bodyDiv w:val="1"/>
      <w:marLeft w:val="0"/>
      <w:marRight w:val="0"/>
      <w:marTop w:val="0"/>
      <w:marBottom w:val="0"/>
      <w:divBdr>
        <w:top w:val="none" w:sz="0" w:space="0" w:color="auto"/>
        <w:left w:val="none" w:sz="0" w:space="0" w:color="auto"/>
        <w:bottom w:val="none" w:sz="0" w:space="0" w:color="auto"/>
        <w:right w:val="none" w:sz="0" w:space="0" w:color="auto"/>
      </w:divBdr>
    </w:div>
    <w:div w:id="97606152">
      <w:bodyDiv w:val="1"/>
      <w:marLeft w:val="0"/>
      <w:marRight w:val="0"/>
      <w:marTop w:val="0"/>
      <w:marBottom w:val="0"/>
      <w:divBdr>
        <w:top w:val="none" w:sz="0" w:space="0" w:color="auto"/>
        <w:left w:val="none" w:sz="0" w:space="0" w:color="auto"/>
        <w:bottom w:val="none" w:sz="0" w:space="0" w:color="auto"/>
        <w:right w:val="none" w:sz="0" w:space="0" w:color="auto"/>
      </w:divBdr>
    </w:div>
    <w:div w:id="106049743">
      <w:bodyDiv w:val="1"/>
      <w:marLeft w:val="0"/>
      <w:marRight w:val="0"/>
      <w:marTop w:val="0"/>
      <w:marBottom w:val="0"/>
      <w:divBdr>
        <w:top w:val="none" w:sz="0" w:space="0" w:color="auto"/>
        <w:left w:val="none" w:sz="0" w:space="0" w:color="auto"/>
        <w:bottom w:val="none" w:sz="0" w:space="0" w:color="auto"/>
        <w:right w:val="none" w:sz="0" w:space="0" w:color="auto"/>
      </w:divBdr>
    </w:div>
    <w:div w:id="124586539">
      <w:bodyDiv w:val="1"/>
      <w:marLeft w:val="0"/>
      <w:marRight w:val="0"/>
      <w:marTop w:val="0"/>
      <w:marBottom w:val="0"/>
      <w:divBdr>
        <w:top w:val="none" w:sz="0" w:space="0" w:color="auto"/>
        <w:left w:val="none" w:sz="0" w:space="0" w:color="auto"/>
        <w:bottom w:val="none" w:sz="0" w:space="0" w:color="auto"/>
        <w:right w:val="none" w:sz="0" w:space="0" w:color="auto"/>
      </w:divBdr>
    </w:div>
    <w:div w:id="215821503">
      <w:bodyDiv w:val="1"/>
      <w:marLeft w:val="0"/>
      <w:marRight w:val="0"/>
      <w:marTop w:val="0"/>
      <w:marBottom w:val="0"/>
      <w:divBdr>
        <w:top w:val="none" w:sz="0" w:space="0" w:color="auto"/>
        <w:left w:val="none" w:sz="0" w:space="0" w:color="auto"/>
        <w:bottom w:val="none" w:sz="0" w:space="0" w:color="auto"/>
        <w:right w:val="none" w:sz="0" w:space="0" w:color="auto"/>
      </w:divBdr>
    </w:div>
    <w:div w:id="232203615">
      <w:bodyDiv w:val="1"/>
      <w:marLeft w:val="0"/>
      <w:marRight w:val="0"/>
      <w:marTop w:val="0"/>
      <w:marBottom w:val="0"/>
      <w:divBdr>
        <w:top w:val="none" w:sz="0" w:space="0" w:color="auto"/>
        <w:left w:val="none" w:sz="0" w:space="0" w:color="auto"/>
        <w:bottom w:val="none" w:sz="0" w:space="0" w:color="auto"/>
        <w:right w:val="none" w:sz="0" w:space="0" w:color="auto"/>
      </w:divBdr>
    </w:div>
    <w:div w:id="300159073">
      <w:bodyDiv w:val="1"/>
      <w:marLeft w:val="0"/>
      <w:marRight w:val="0"/>
      <w:marTop w:val="0"/>
      <w:marBottom w:val="0"/>
      <w:divBdr>
        <w:top w:val="none" w:sz="0" w:space="0" w:color="auto"/>
        <w:left w:val="none" w:sz="0" w:space="0" w:color="auto"/>
        <w:bottom w:val="none" w:sz="0" w:space="0" w:color="auto"/>
        <w:right w:val="none" w:sz="0" w:space="0" w:color="auto"/>
      </w:divBdr>
    </w:div>
    <w:div w:id="303000736">
      <w:bodyDiv w:val="1"/>
      <w:marLeft w:val="0"/>
      <w:marRight w:val="0"/>
      <w:marTop w:val="0"/>
      <w:marBottom w:val="0"/>
      <w:divBdr>
        <w:top w:val="none" w:sz="0" w:space="0" w:color="auto"/>
        <w:left w:val="none" w:sz="0" w:space="0" w:color="auto"/>
        <w:bottom w:val="none" w:sz="0" w:space="0" w:color="auto"/>
        <w:right w:val="none" w:sz="0" w:space="0" w:color="auto"/>
      </w:divBdr>
    </w:div>
    <w:div w:id="314266292">
      <w:bodyDiv w:val="1"/>
      <w:marLeft w:val="0"/>
      <w:marRight w:val="0"/>
      <w:marTop w:val="0"/>
      <w:marBottom w:val="0"/>
      <w:divBdr>
        <w:top w:val="none" w:sz="0" w:space="0" w:color="auto"/>
        <w:left w:val="none" w:sz="0" w:space="0" w:color="auto"/>
        <w:bottom w:val="none" w:sz="0" w:space="0" w:color="auto"/>
        <w:right w:val="none" w:sz="0" w:space="0" w:color="auto"/>
      </w:divBdr>
    </w:div>
    <w:div w:id="365370082">
      <w:bodyDiv w:val="1"/>
      <w:marLeft w:val="0"/>
      <w:marRight w:val="0"/>
      <w:marTop w:val="0"/>
      <w:marBottom w:val="0"/>
      <w:divBdr>
        <w:top w:val="none" w:sz="0" w:space="0" w:color="auto"/>
        <w:left w:val="none" w:sz="0" w:space="0" w:color="auto"/>
        <w:bottom w:val="none" w:sz="0" w:space="0" w:color="auto"/>
        <w:right w:val="none" w:sz="0" w:space="0" w:color="auto"/>
      </w:divBdr>
    </w:div>
    <w:div w:id="388307056">
      <w:bodyDiv w:val="1"/>
      <w:marLeft w:val="0"/>
      <w:marRight w:val="0"/>
      <w:marTop w:val="0"/>
      <w:marBottom w:val="0"/>
      <w:divBdr>
        <w:top w:val="none" w:sz="0" w:space="0" w:color="auto"/>
        <w:left w:val="none" w:sz="0" w:space="0" w:color="auto"/>
        <w:bottom w:val="none" w:sz="0" w:space="0" w:color="auto"/>
        <w:right w:val="none" w:sz="0" w:space="0" w:color="auto"/>
      </w:divBdr>
    </w:div>
    <w:div w:id="421879694">
      <w:bodyDiv w:val="1"/>
      <w:marLeft w:val="0"/>
      <w:marRight w:val="0"/>
      <w:marTop w:val="0"/>
      <w:marBottom w:val="0"/>
      <w:divBdr>
        <w:top w:val="none" w:sz="0" w:space="0" w:color="auto"/>
        <w:left w:val="none" w:sz="0" w:space="0" w:color="auto"/>
        <w:bottom w:val="none" w:sz="0" w:space="0" w:color="auto"/>
        <w:right w:val="none" w:sz="0" w:space="0" w:color="auto"/>
      </w:divBdr>
    </w:div>
    <w:div w:id="456221002">
      <w:bodyDiv w:val="1"/>
      <w:marLeft w:val="0"/>
      <w:marRight w:val="0"/>
      <w:marTop w:val="0"/>
      <w:marBottom w:val="0"/>
      <w:divBdr>
        <w:top w:val="none" w:sz="0" w:space="0" w:color="auto"/>
        <w:left w:val="none" w:sz="0" w:space="0" w:color="auto"/>
        <w:bottom w:val="none" w:sz="0" w:space="0" w:color="auto"/>
        <w:right w:val="none" w:sz="0" w:space="0" w:color="auto"/>
      </w:divBdr>
    </w:div>
    <w:div w:id="474031265">
      <w:bodyDiv w:val="1"/>
      <w:marLeft w:val="0"/>
      <w:marRight w:val="0"/>
      <w:marTop w:val="0"/>
      <w:marBottom w:val="0"/>
      <w:divBdr>
        <w:top w:val="none" w:sz="0" w:space="0" w:color="auto"/>
        <w:left w:val="none" w:sz="0" w:space="0" w:color="auto"/>
        <w:bottom w:val="none" w:sz="0" w:space="0" w:color="auto"/>
        <w:right w:val="none" w:sz="0" w:space="0" w:color="auto"/>
      </w:divBdr>
    </w:div>
    <w:div w:id="498429813">
      <w:bodyDiv w:val="1"/>
      <w:marLeft w:val="0"/>
      <w:marRight w:val="0"/>
      <w:marTop w:val="0"/>
      <w:marBottom w:val="0"/>
      <w:divBdr>
        <w:top w:val="none" w:sz="0" w:space="0" w:color="auto"/>
        <w:left w:val="none" w:sz="0" w:space="0" w:color="auto"/>
        <w:bottom w:val="none" w:sz="0" w:space="0" w:color="auto"/>
        <w:right w:val="none" w:sz="0" w:space="0" w:color="auto"/>
      </w:divBdr>
    </w:div>
    <w:div w:id="596717745">
      <w:bodyDiv w:val="1"/>
      <w:marLeft w:val="0"/>
      <w:marRight w:val="0"/>
      <w:marTop w:val="0"/>
      <w:marBottom w:val="0"/>
      <w:divBdr>
        <w:top w:val="none" w:sz="0" w:space="0" w:color="auto"/>
        <w:left w:val="none" w:sz="0" w:space="0" w:color="auto"/>
        <w:bottom w:val="none" w:sz="0" w:space="0" w:color="auto"/>
        <w:right w:val="none" w:sz="0" w:space="0" w:color="auto"/>
      </w:divBdr>
    </w:div>
    <w:div w:id="610743454">
      <w:bodyDiv w:val="1"/>
      <w:marLeft w:val="0"/>
      <w:marRight w:val="0"/>
      <w:marTop w:val="0"/>
      <w:marBottom w:val="0"/>
      <w:divBdr>
        <w:top w:val="none" w:sz="0" w:space="0" w:color="auto"/>
        <w:left w:val="none" w:sz="0" w:space="0" w:color="auto"/>
        <w:bottom w:val="none" w:sz="0" w:space="0" w:color="auto"/>
        <w:right w:val="none" w:sz="0" w:space="0" w:color="auto"/>
      </w:divBdr>
    </w:div>
    <w:div w:id="612983878">
      <w:bodyDiv w:val="1"/>
      <w:marLeft w:val="0"/>
      <w:marRight w:val="0"/>
      <w:marTop w:val="0"/>
      <w:marBottom w:val="0"/>
      <w:divBdr>
        <w:top w:val="none" w:sz="0" w:space="0" w:color="auto"/>
        <w:left w:val="none" w:sz="0" w:space="0" w:color="auto"/>
        <w:bottom w:val="none" w:sz="0" w:space="0" w:color="auto"/>
        <w:right w:val="none" w:sz="0" w:space="0" w:color="auto"/>
      </w:divBdr>
    </w:div>
    <w:div w:id="617297648">
      <w:bodyDiv w:val="1"/>
      <w:marLeft w:val="0"/>
      <w:marRight w:val="0"/>
      <w:marTop w:val="0"/>
      <w:marBottom w:val="0"/>
      <w:divBdr>
        <w:top w:val="none" w:sz="0" w:space="0" w:color="auto"/>
        <w:left w:val="none" w:sz="0" w:space="0" w:color="auto"/>
        <w:bottom w:val="none" w:sz="0" w:space="0" w:color="auto"/>
        <w:right w:val="none" w:sz="0" w:space="0" w:color="auto"/>
      </w:divBdr>
    </w:div>
    <w:div w:id="696930512">
      <w:bodyDiv w:val="1"/>
      <w:marLeft w:val="0"/>
      <w:marRight w:val="0"/>
      <w:marTop w:val="0"/>
      <w:marBottom w:val="0"/>
      <w:divBdr>
        <w:top w:val="none" w:sz="0" w:space="0" w:color="auto"/>
        <w:left w:val="none" w:sz="0" w:space="0" w:color="auto"/>
        <w:bottom w:val="none" w:sz="0" w:space="0" w:color="auto"/>
        <w:right w:val="none" w:sz="0" w:space="0" w:color="auto"/>
      </w:divBdr>
      <w:divsChild>
        <w:div w:id="660693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8317888">
      <w:bodyDiv w:val="1"/>
      <w:marLeft w:val="0"/>
      <w:marRight w:val="0"/>
      <w:marTop w:val="0"/>
      <w:marBottom w:val="0"/>
      <w:divBdr>
        <w:top w:val="none" w:sz="0" w:space="0" w:color="auto"/>
        <w:left w:val="none" w:sz="0" w:space="0" w:color="auto"/>
        <w:bottom w:val="none" w:sz="0" w:space="0" w:color="auto"/>
        <w:right w:val="none" w:sz="0" w:space="0" w:color="auto"/>
      </w:divBdr>
    </w:div>
    <w:div w:id="802695167">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89733271">
      <w:bodyDiv w:val="1"/>
      <w:marLeft w:val="0"/>
      <w:marRight w:val="0"/>
      <w:marTop w:val="0"/>
      <w:marBottom w:val="0"/>
      <w:divBdr>
        <w:top w:val="none" w:sz="0" w:space="0" w:color="auto"/>
        <w:left w:val="none" w:sz="0" w:space="0" w:color="auto"/>
        <w:bottom w:val="none" w:sz="0" w:space="0" w:color="auto"/>
        <w:right w:val="none" w:sz="0" w:space="0" w:color="auto"/>
      </w:divBdr>
    </w:div>
    <w:div w:id="899554470">
      <w:bodyDiv w:val="1"/>
      <w:marLeft w:val="0"/>
      <w:marRight w:val="0"/>
      <w:marTop w:val="0"/>
      <w:marBottom w:val="0"/>
      <w:divBdr>
        <w:top w:val="none" w:sz="0" w:space="0" w:color="auto"/>
        <w:left w:val="none" w:sz="0" w:space="0" w:color="auto"/>
        <w:bottom w:val="none" w:sz="0" w:space="0" w:color="auto"/>
        <w:right w:val="none" w:sz="0" w:space="0" w:color="auto"/>
      </w:divBdr>
    </w:div>
    <w:div w:id="1049955331">
      <w:bodyDiv w:val="1"/>
      <w:marLeft w:val="0"/>
      <w:marRight w:val="0"/>
      <w:marTop w:val="0"/>
      <w:marBottom w:val="0"/>
      <w:divBdr>
        <w:top w:val="none" w:sz="0" w:space="0" w:color="auto"/>
        <w:left w:val="none" w:sz="0" w:space="0" w:color="auto"/>
        <w:bottom w:val="none" w:sz="0" w:space="0" w:color="auto"/>
        <w:right w:val="none" w:sz="0" w:space="0" w:color="auto"/>
      </w:divBdr>
      <w:divsChild>
        <w:div w:id="754715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084197">
      <w:bodyDiv w:val="1"/>
      <w:marLeft w:val="0"/>
      <w:marRight w:val="0"/>
      <w:marTop w:val="0"/>
      <w:marBottom w:val="0"/>
      <w:divBdr>
        <w:top w:val="none" w:sz="0" w:space="0" w:color="auto"/>
        <w:left w:val="none" w:sz="0" w:space="0" w:color="auto"/>
        <w:bottom w:val="none" w:sz="0" w:space="0" w:color="auto"/>
        <w:right w:val="none" w:sz="0" w:space="0" w:color="auto"/>
      </w:divBdr>
    </w:div>
    <w:div w:id="1181776805">
      <w:bodyDiv w:val="1"/>
      <w:marLeft w:val="0"/>
      <w:marRight w:val="0"/>
      <w:marTop w:val="0"/>
      <w:marBottom w:val="0"/>
      <w:divBdr>
        <w:top w:val="none" w:sz="0" w:space="0" w:color="auto"/>
        <w:left w:val="none" w:sz="0" w:space="0" w:color="auto"/>
        <w:bottom w:val="none" w:sz="0" w:space="0" w:color="auto"/>
        <w:right w:val="none" w:sz="0" w:space="0" w:color="auto"/>
      </w:divBdr>
    </w:div>
    <w:div w:id="1249652581">
      <w:bodyDiv w:val="1"/>
      <w:marLeft w:val="0"/>
      <w:marRight w:val="0"/>
      <w:marTop w:val="0"/>
      <w:marBottom w:val="0"/>
      <w:divBdr>
        <w:top w:val="none" w:sz="0" w:space="0" w:color="auto"/>
        <w:left w:val="none" w:sz="0" w:space="0" w:color="auto"/>
        <w:bottom w:val="none" w:sz="0" w:space="0" w:color="auto"/>
        <w:right w:val="none" w:sz="0" w:space="0" w:color="auto"/>
      </w:divBdr>
    </w:div>
    <w:div w:id="1269001460">
      <w:bodyDiv w:val="1"/>
      <w:marLeft w:val="0"/>
      <w:marRight w:val="0"/>
      <w:marTop w:val="0"/>
      <w:marBottom w:val="0"/>
      <w:divBdr>
        <w:top w:val="none" w:sz="0" w:space="0" w:color="auto"/>
        <w:left w:val="none" w:sz="0" w:space="0" w:color="auto"/>
        <w:bottom w:val="none" w:sz="0" w:space="0" w:color="auto"/>
        <w:right w:val="none" w:sz="0" w:space="0" w:color="auto"/>
      </w:divBdr>
    </w:div>
    <w:div w:id="1302809651">
      <w:bodyDiv w:val="1"/>
      <w:marLeft w:val="0"/>
      <w:marRight w:val="0"/>
      <w:marTop w:val="0"/>
      <w:marBottom w:val="0"/>
      <w:divBdr>
        <w:top w:val="none" w:sz="0" w:space="0" w:color="auto"/>
        <w:left w:val="none" w:sz="0" w:space="0" w:color="auto"/>
        <w:bottom w:val="none" w:sz="0" w:space="0" w:color="auto"/>
        <w:right w:val="none" w:sz="0" w:space="0" w:color="auto"/>
      </w:divBdr>
    </w:div>
    <w:div w:id="1325621638">
      <w:bodyDiv w:val="1"/>
      <w:marLeft w:val="0"/>
      <w:marRight w:val="0"/>
      <w:marTop w:val="0"/>
      <w:marBottom w:val="0"/>
      <w:divBdr>
        <w:top w:val="none" w:sz="0" w:space="0" w:color="auto"/>
        <w:left w:val="none" w:sz="0" w:space="0" w:color="auto"/>
        <w:bottom w:val="none" w:sz="0" w:space="0" w:color="auto"/>
        <w:right w:val="none" w:sz="0" w:space="0" w:color="auto"/>
      </w:divBdr>
    </w:div>
    <w:div w:id="1487430574">
      <w:bodyDiv w:val="1"/>
      <w:marLeft w:val="0"/>
      <w:marRight w:val="0"/>
      <w:marTop w:val="0"/>
      <w:marBottom w:val="0"/>
      <w:divBdr>
        <w:top w:val="none" w:sz="0" w:space="0" w:color="auto"/>
        <w:left w:val="none" w:sz="0" w:space="0" w:color="auto"/>
        <w:bottom w:val="none" w:sz="0" w:space="0" w:color="auto"/>
        <w:right w:val="none" w:sz="0" w:space="0" w:color="auto"/>
      </w:divBdr>
    </w:div>
    <w:div w:id="1497571788">
      <w:bodyDiv w:val="1"/>
      <w:marLeft w:val="0"/>
      <w:marRight w:val="0"/>
      <w:marTop w:val="0"/>
      <w:marBottom w:val="0"/>
      <w:divBdr>
        <w:top w:val="none" w:sz="0" w:space="0" w:color="auto"/>
        <w:left w:val="none" w:sz="0" w:space="0" w:color="auto"/>
        <w:bottom w:val="none" w:sz="0" w:space="0" w:color="auto"/>
        <w:right w:val="none" w:sz="0" w:space="0" w:color="auto"/>
      </w:divBdr>
    </w:div>
    <w:div w:id="1550190345">
      <w:bodyDiv w:val="1"/>
      <w:marLeft w:val="0"/>
      <w:marRight w:val="0"/>
      <w:marTop w:val="0"/>
      <w:marBottom w:val="0"/>
      <w:divBdr>
        <w:top w:val="none" w:sz="0" w:space="0" w:color="auto"/>
        <w:left w:val="none" w:sz="0" w:space="0" w:color="auto"/>
        <w:bottom w:val="none" w:sz="0" w:space="0" w:color="auto"/>
        <w:right w:val="none" w:sz="0" w:space="0" w:color="auto"/>
      </w:divBdr>
    </w:div>
    <w:div w:id="1564481531">
      <w:bodyDiv w:val="1"/>
      <w:marLeft w:val="0"/>
      <w:marRight w:val="0"/>
      <w:marTop w:val="0"/>
      <w:marBottom w:val="0"/>
      <w:divBdr>
        <w:top w:val="none" w:sz="0" w:space="0" w:color="auto"/>
        <w:left w:val="none" w:sz="0" w:space="0" w:color="auto"/>
        <w:bottom w:val="none" w:sz="0" w:space="0" w:color="auto"/>
        <w:right w:val="none" w:sz="0" w:space="0" w:color="auto"/>
      </w:divBdr>
    </w:div>
    <w:div w:id="1625038700">
      <w:bodyDiv w:val="1"/>
      <w:marLeft w:val="0"/>
      <w:marRight w:val="0"/>
      <w:marTop w:val="0"/>
      <w:marBottom w:val="0"/>
      <w:divBdr>
        <w:top w:val="none" w:sz="0" w:space="0" w:color="auto"/>
        <w:left w:val="none" w:sz="0" w:space="0" w:color="auto"/>
        <w:bottom w:val="none" w:sz="0" w:space="0" w:color="auto"/>
        <w:right w:val="none" w:sz="0" w:space="0" w:color="auto"/>
      </w:divBdr>
    </w:div>
    <w:div w:id="1730879180">
      <w:bodyDiv w:val="1"/>
      <w:marLeft w:val="0"/>
      <w:marRight w:val="0"/>
      <w:marTop w:val="0"/>
      <w:marBottom w:val="0"/>
      <w:divBdr>
        <w:top w:val="none" w:sz="0" w:space="0" w:color="auto"/>
        <w:left w:val="none" w:sz="0" w:space="0" w:color="auto"/>
        <w:bottom w:val="none" w:sz="0" w:space="0" w:color="auto"/>
        <w:right w:val="none" w:sz="0" w:space="0" w:color="auto"/>
      </w:divBdr>
    </w:div>
    <w:div w:id="1824663288">
      <w:bodyDiv w:val="1"/>
      <w:marLeft w:val="0"/>
      <w:marRight w:val="0"/>
      <w:marTop w:val="0"/>
      <w:marBottom w:val="0"/>
      <w:divBdr>
        <w:top w:val="none" w:sz="0" w:space="0" w:color="auto"/>
        <w:left w:val="none" w:sz="0" w:space="0" w:color="auto"/>
        <w:bottom w:val="none" w:sz="0" w:space="0" w:color="auto"/>
        <w:right w:val="none" w:sz="0" w:space="0" w:color="auto"/>
      </w:divBdr>
    </w:div>
    <w:div w:id="1862670546">
      <w:bodyDiv w:val="1"/>
      <w:marLeft w:val="0"/>
      <w:marRight w:val="0"/>
      <w:marTop w:val="0"/>
      <w:marBottom w:val="0"/>
      <w:divBdr>
        <w:top w:val="none" w:sz="0" w:space="0" w:color="auto"/>
        <w:left w:val="none" w:sz="0" w:space="0" w:color="auto"/>
        <w:bottom w:val="none" w:sz="0" w:space="0" w:color="auto"/>
        <w:right w:val="none" w:sz="0" w:space="0" w:color="auto"/>
      </w:divBdr>
    </w:div>
    <w:div w:id="1890342697">
      <w:bodyDiv w:val="1"/>
      <w:marLeft w:val="0"/>
      <w:marRight w:val="0"/>
      <w:marTop w:val="0"/>
      <w:marBottom w:val="0"/>
      <w:divBdr>
        <w:top w:val="none" w:sz="0" w:space="0" w:color="auto"/>
        <w:left w:val="none" w:sz="0" w:space="0" w:color="auto"/>
        <w:bottom w:val="none" w:sz="0" w:space="0" w:color="auto"/>
        <w:right w:val="none" w:sz="0" w:space="0" w:color="auto"/>
      </w:divBdr>
    </w:div>
    <w:div w:id="2032339808">
      <w:bodyDiv w:val="1"/>
      <w:marLeft w:val="0"/>
      <w:marRight w:val="0"/>
      <w:marTop w:val="0"/>
      <w:marBottom w:val="0"/>
      <w:divBdr>
        <w:top w:val="none" w:sz="0" w:space="0" w:color="auto"/>
        <w:left w:val="none" w:sz="0" w:space="0" w:color="auto"/>
        <w:bottom w:val="none" w:sz="0" w:space="0" w:color="auto"/>
        <w:right w:val="none" w:sz="0" w:space="0" w:color="auto"/>
      </w:divBdr>
    </w:div>
    <w:div w:id="213517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hyperlink" Target="https://doi.org/10.5565/rev/athenea.799" TargetMode="External"/><Relationship Id="rId3" Type="http://schemas.openxmlformats.org/officeDocument/2006/relationships/styles" Target="styles.xml"/><Relationship Id="rId21" Type="http://schemas.openxmlformats.org/officeDocument/2006/relationships/hyperlink" Target="https://doi.org/10.1590/1807-0310/2023v35262853"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doi.org/10.17533/udea.rp.v12n1a06"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33996/revistahorizontes.v6i22.31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7533/udea.rp.e349471"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doi.org/10.17533/udea.rp.e345910" TargetMode="External"/><Relationship Id="rId28" Type="http://schemas.openxmlformats.org/officeDocument/2006/relationships/glossaryDocument" Target="glossary/document.xml"/><Relationship Id="rId10" Type="http://schemas.openxmlformats.org/officeDocument/2006/relationships/image" Target="media/image2.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co.creativecommons.net/tipos-de-licencias/" TargetMode="External"/><Relationship Id="rId14" Type="http://schemas.openxmlformats.org/officeDocument/2006/relationships/header" Target="header3.xml"/><Relationship Id="rId22" Type="http://schemas.openxmlformats.org/officeDocument/2006/relationships/hyperlink" Target="https://doi.org/10.5565/rev/athenead/v11n1.821"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B2BAD4A66AB0454D9D36A2114E91F1F4"/>
        <w:category>
          <w:name w:val="General"/>
          <w:gallery w:val="placeholder"/>
        </w:category>
        <w:types>
          <w:type w:val="bbPlcHdr"/>
        </w:types>
        <w:behaviors>
          <w:behavior w:val="content"/>
        </w:behaviors>
        <w:guid w:val="{CA6FC678-AE15-4CA5-B616-9497C9905A05}"/>
      </w:docPartPr>
      <w:docPartBody>
        <w:p w:rsidR="005D7053" w:rsidRDefault="00EB41BE" w:rsidP="00EB41BE">
          <w:pPr>
            <w:pStyle w:val="B2BAD4A66AB0454D9D36A2114E91F1F4"/>
          </w:pPr>
          <w:r w:rsidRPr="007A2281">
            <w:rPr>
              <w:rStyle w:val="Textodelmarcadordeposicin"/>
            </w:rPr>
            <w:t>Elija un elemento.</w:t>
          </w:r>
        </w:p>
      </w:docPartBody>
    </w:docPart>
    <w:docPart>
      <w:docPartPr>
        <w:name w:val="A2FE0CDF8DED4C0DA91DD1E06C47758B"/>
        <w:category>
          <w:name w:val="General"/>
          <w:gallery w:val="placeholder"/>
        </w:category>
        <w:types>
          <w:type w:val="bbPlcHdr"/>
        </w:types>
        <w:behaviors>
          <w:behavior w:val="content"/>
        </w:behaviors>
        <w:guid w:val="{A417991C-1A84-440F-A2BA-659EBED25159}"/>
      </w:docPartPr>
      <w:docPartBody>
        <w:p w:rsidR="005D7053" w:rsidRDefault="00EB41BE" w:rsidP="00EB41BE">
          <w:pPr>
            <w:pStyle w:val="A2FE0CDF8DED4C0DA91DD1E06C47758B"/>
          </w:pPr>
          <w:r w:rsidRPr="007A2281">
            <w:rPr>
              <w:rStyle w:val="Textodelmarcadordeposicin"/>
            </w:rPr>
            <w:t>Elija un elemento.</w:t>
          </w:r>
        </w:p>
      </w:docPartBody>
    </w:docPart>
    <w:docPart>
      <w:docPartPr>
        <w:name w:val="0B228E1F59694CD68114D1F647567BDA"/>
        <w:category>
          <w:name w:val="General"/>
          <w:gallery w:val="placeholder"/>
        </w:category>
        <w:types>
          <w:type w:val="bbPlcHdr"/>
        </w:types>
        <w:behaviors>
          <w:behavior w:val="content"/>
        </w:behaviors>
        <w:guid w:val="{714996D0-D0D5-4B07-97A9-7EEAB962DE11}"/>
      </w:docPartPr>
      <w:docPartBody>
        <w:p w:rsidR="005D7053" w:rsidRDefault="00EB41BE" w:rsidP="00EB41BE">
          <w:pPr>
            <w:pStyle w:val="0B228E1F59694CD68114D1F647567BDA"/>
          </w:pPr>
          <w:r w:rsidRPr="007A2281">
            <w:rPr>
              <w:rStyle w:val="Textodelmarcadordeposicin"/>
            </w:rPr>
            <w:t>Elija un elemento.</w:t>
          </w:r>
        </w:p>
      </w:docPartBody>
    </w:docPart>
    <w:docPart>
      <w:docPartPr>
        <w:name w:val="97AB2C2B7983452090586A9B32CC543B"/>
        <w:category>
          <w:name w:val="General"/>
          <w:gallery w:val="placeholder"/>
        </w:category>
        <w:types>
          <w:type w:val="bbPlcHdr"/>
        </w:types>
        <w:behaviors>
          <w:behavior w:val="content"/>
        </w:behaviors>
        <w:guid w:val="{EA843D9E-1BA5-48B0-97EF-AAA15A1A7D14}"/>
      </w:docPartPr>
      <w:docPartBody>
        <w:p w:rsidR="005D7053" w:rsidRDefault="00EB41BE" w:rsidP="00EB41BE">
          <w:pPr>
            <w:pStyle w:val="97AB2C2B7983452090586A9B32CC543B"/>
          </w:pPr>
          <w:r w:rsidRPr="007A2281">
            <w:rPr>
              <w:rStyle w:val="Textodelmarcadordeposicin"/>
            </w:rPr>
            <w:t>Elija un elemento.</w:t>
          </w:r>
        </w:p>
      </w:docPartBody>
    </w:docPart>
    <w:docPart>
      <w:docPartPr>
        <w:name w:val="11F23D57CEEC4BFAA2107B441CBD1F37"/>
        <w:category>
          <w:name w:val="General"/>
          <w:gallery w:val="placeholder"/>
        </w:category>
        <w:types>
          <w:type w:val="bbPlcHdr"/>
        </w:types>
        <w:behaviors>
          <w:behavior w:val="content"/>
        </w:behaviors>
        <w:guid w:val="{41713ABC-F604-4EA2-B9A0-C78721700749}"/>
      </w:docPartPr>
      <w:docPartBody>
        <w:p w:rsidR="005D7053" w:rsidRDefault="00EB41BE" w:rsidP="00EB41BE">
          <w:pPr>
            <w:pStyle w:val="11F23D57CEEC4BFAA2107B441CBD1F37"/>
          </w:pPr>
          <w:r w:rsidRPr="007A2281">
            <w:rPr>
              <w:rStyle w:val="Textodelmarcadordeposicin"/>
            </w:rPr>
            <w:t>Elija un elemento.</w:t>
          </w:r>
        </w:p>
      </w:docPartBody>
    </w:docPart>
    <w:docPart>
      <w:docPartPr>
        <w:name w:val="AC5A7D5036A64CF58C509073FFF49B48"/>
        <w:category>
          <w:name w:val="General"/>
          <w:gallery w:val="placeholder"/>
        </w:category>
        <w:types>
          <w:type w:val="bbPlcHdr"/>
        </w:types>
        <w:behaviors>
          <w:behavior w:val="content"/>
        </w:behaviors>
        <w:guid w:val="{D1A0035C-1505-4EA7-8BBB-6E0A6F3198CF}"/>
      </w:docPartPr>
      <w:docPartBody>
        <w:p w:rsidR="005D7053" w:rsidRDefault="00EB41BE" w:rsidP="00EB41BE">
          <w:pPr>
            <w:pStyle w:val="AC5A7D5036A64CF58C509073FFF49B48"/>
          </w:pPr>
          <w:r w:rsidRPr="007A2281">
            <w:rPr>
              <w:rStyle w:val="Textodelmarcadordeposicin"/>
            </w:rPr>
            <w:t>Elija un elemento.</w:t>
          </w:r>
        </w:p>
      </w:docPartBody>
    </w:docPart>
    <w:docPart>
      <w:docPartPr>
        <w:name w:val="B5041EEA7CC7478186F86142692694B7"/>
        <w:category>
          <w:name w:val="General"/>
          <w:gallery w:val="placeholder"/>
        </w:category>
        <w:types>
          <w:type w:val="bbPlcHdr"/>
        </w:types>
        <w:behaviors>
          <w:behavior w:val="content"/>
        </w:behaviors>
        <w:guid w:val="{ADCB4F9E-2A67-4728-B89A-871F37C5A3CE}"/>
      </w:docPartPr>
      <w:docPartBody>
        <w:p w:rsidR="005D7053" w:rsidRDefault="00EB41BE" w:rsidP="00EB41BE">
          <w:pPr>
            <w:pStyle w:val="B5041EEA7CC7478186F86142692694B7"/>
          </w:pPr>
          <w:r w:rsidRPr="00171C88">
            <w:rPr>
              <w:rStyle w:val="Textodelmarcadordeposicin"/>
            </w:rPr>
            <w:t>Elija un elemento.</w:t>
          </w:r>
        </w:p>
      </w:docPartBody>
    </w:docPart>
    <w:docPart>
      <w:docPartPr>
        <w:name w:val="D825C1B0A7024856B775A2AF78FD131F"/>
        <w:category>
          <w:name w:val="General"/>
          <w:gallery w:val="placeholder"/>
        </w:category>
        <w:types>
          <w:type w:val="bbPlcHdr"/>
        </w:types>
        <w:behaviors>
          <w:behavior w:val="content"/>
        </w:behaviors>
        <w:guid w:val="{953F508B-57BA-415A-9A7F-CEFF453A524E}"/>
      </w:docPartPr>
      <w:docPartBody>
        <w:p w:rsidR="005D7053" w:rsidRDefault="00EB41BE" w:rsidP="00EB41BE">
          <w:pPr>
            <w:pStyle w:val="D825C1B0A7024856B775A2AF78FD131F"/>
          </w:pPr>
          <w:r w:rsidRPr="007A2281">
            <w:rPr>
              <w:rStyle w:val="Textodelmarcadordeposicin"/>
            </w:rPr>
            <w:t>Elija un elemento.</w:t>
          </w:r>
        </w:p>
      </w:docPartBody>
    </w:docPart>
    <w:docPart>
      <w:docPartPr>
        <w:name w:val="397C9F74B36B445FB531ECFA8510572B"/>
        <w:category>
          <w:name w:val="General"/>
          <w:gallery w:val="placeholder"/>
        </w:category>
        <w:types>
          <w:type w:val="bbPlcHdr"/>
        </w:types>
        <w:behaviors>
          <w:behavior w:val="content"/>
        </w:behaviors>
        <w:guid w:val="{C259C242-B105-464E-A9C6-11EDB2DC171B}"/>
      </w:docPartPr>
      <w:docPartBody>
        <w:p w:rsidR="005D7053" w:rsidRDefault="00EB41BE" w:rsidP="00EB41BE">
          <w:pPr>
            <w:pStyle w:val="397C9F74B36B445FB531ECFA8510572B"/>
          </w:pPr>
          <w:r w:rsidRPr="007A2281">
            <w:rPr>
              <w:rStyle w:val="Textodelmarcadordeposicin"/>
            </w:rPr>
            <w:t>Elija un elemento.</w:t>
          </w:r>
        </w:p>
      </w:docPartBody>
    </w:docPart>
    <w:docPart>
      <w:docPartPr>
        <w:name w:val="2C34C33B995049E7A735DA4D03DB7054"/>
        <w:category>
          <w:name w:val="General"/>
          <w:gallery w:val="placeholder"/>
        </w:category>
        <w:types>
          <w:type w:val="bbPlcHdr"/>
        </w:types>
        <w:behaviors>
          <w:behavior w:val="content"/>
        </w:behaviors>
        <w:guid w:val="{B2505A54-8D62-4A5F-B2C8-42F2026BBBA5}"/>
      </w:docPartPr>
      <w:docPartBody>
        <w:p w:rsidR="005D7053" w:rsidRDefault="00EB41BE" w:rsidP="00EB41BE">
          <w:pPr>
            <w:pStyle w:val="2C34C33B995049E7A735DA4D03DB7054"/>
          </w:pPr>
          <w:r w:rsidRPr="00770E7A">
            <w:rPr>
              <w:rStyle w:val="Textodelmarcadordeposicin"/>
            </w:rPr>
            <w:t>Elija un elemento.</w:t>
          </w:r>
        </w:p>
      </w:docPartBody>
    </w:docPart>
    <w:docPart>
      <w:docPartPr>
        <w:name w:val="05A17A23AEE54BA1BD3564E084408618"/>
        <w:category>
          <w:name w:val="General"/>
          <w:gallery w:val="placeholder"/>
        </w:category>
        <w:types>
          <w:type w:val="bbPlcHdr"/>
        </w:types>
        <w:behaviors>
          <w:behavior w:val="content"/>
        </w:behaviors>
        <w:guid w:val="{E8344B3A-CD9E-4B36-8B96-5F820634198F}"/>
      </w:docPartPr>
      <w:docPartBody>
        <w:p w:rsidR="005D7053" w:rsidRDefault="00EB41BE" w:rsidP="00EB41BE">
          <w:pPr>
            <w:pStyle w:val="05A17A23AEE54BA1BD3564E084408618"/>
          </w:pPr>
          <w:r w:rsidRPr="007A2281">
            <w:rPr>
              <w:rStyle w:val="Textodelmarcadordeposicin"/>
            </w:rPr>
            <w:t>Elija un elemento.</w:t>
          </w:r>
        </w:p>
      </w:docPartBody>
    </w:docPart>
    <w:docPart>
      <w:docPartPr>
        <w:name w:val="FC5BE1BF3F4C4075AF14C821501F4DE5"/>
        <w:category>
          <w:name w:val="General"/>
          <w:gallery w:val="placeholder"/>
        </w:category>
        <w:types>
          <w:type w:val="bbPlcHdr"/>
        </w:types>
        <w:behaviors>
          <w:behavior w:val="content"/>
        </w:behaviors>
        <w:guid w:val="{57660AF6-0524-4E00-98CB-FEC298663434}"/>
      </w:docPartPr>
      <w:docPartBody>
        <w:p w:rsidR="005D7053" w:rsidRDefault="00EB41BE" w:rsidP="00EB41BE">
          <w:pPr>
            <w:pStyle w:val="FC5BE1BF3F4C4075AF14C821501F4DE5"/>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altName w:val="Minion Pro"/>
    <w:panose1 w:val="020B0604020202020204"/>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1BE"/>
    <w:rsid w:val="000E7189"/>
    <w:rsid w:val="00153FCF"/>
    <w:rsid w:val="001F0B75"/>
    <w:rsid w:val="0025357B"/>
    <w:rsid w:val="00253609"/>
    <w:rsid w:val="00266115"/>
    <w:rsid w:val="002E642F"/>
    <w:rsid w:val="00313BC8"/>
    <w:rsid w:val="00334991"/>
    <w:rsid w:val="003A6ACA"/>
    <w:rsid w:val="004A0793"/>
    <w:rsid w:val="004B118E"/>
    <w:rsid w:val="004B2DBF"/>
    <w:rsid w:val="004B33C9"/>
    <w:rsid w:val="004C7399"/>
    <w:rsid w:val="004E3141"/>
    <w:rsid w:val="005066C3"/>
    <w:rsid w:val="005D7053"/>
    <w:rsid w:val="00661978"/>
    <w:rsid w:val="00664657"/>
    <w:rsid w:val="00680DF4"/>
    <w:rsid w:val="006A4586"/>
    <w:rsid w:val="0071629A"/>
    <w:rsid w:val="007758E7"/>
    <w:rsid w:val="00777293"/>
    <w:rsid w:val="00796A4A"/>
    <w:rsid w:val="008B352F"/>
    <w:rsid w:val="00973034"/>
    <w:rsid w:val="00A82BF2"/>
    <w:rsid w:val="00A843F2"/>
    <w:rsid w:val="00AD10DD"/>
    <w:rsid w:val="00BD29D9"/>
    <w:rsid w:val="00C8052E"/>
    <w:rsid w:val="00D13F40"/>
    <w:rsid w:val="00D57B5D"/>
    <w:rsid w:val="00D85E38"/>
    <w:rsid w:val="00E95CC1"/>
    <w:rsid w:val="00EB41BE"/>
    <w:rsid w:val="00EC38E9"/>
    <w:rsid w:val="00EC5233"/>
    <w:rsid w:val="00EE12B5"/>
    <w:rsid w:val="00EF28C6"/>
    <w:rsid w:val="00F00CE1"/>
    <w:rsid w:val="00FA52A0"/>
    <w:rsid w:val="00FB19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B41BE"/>
    <w:rPr>
      <w:color w:val="808080"/>
    </w:rPr>
  </w:style>
  <w:style w:type="paragraph" w:customStyle="1" w:styleId="B2BAD4A66AB0454D9D36A2114E91F1F4">
    <w:name w:val="B2BAD4A66AB0454D9D36A2114E91F1F4"/>
    <w:rsid w:val="00EB41BE"/>
  </w:style>
  <w:style w:type="paragraph" w:customStyle="1" w:styleId="A2FE0CDF8DED4C0DA91DD1E06C47758B">
    <w:name w:val="A2FE0CDF8DED4C0DA91DD1E06C47758B"/>
    <w:rsid w:val="00EB41BE"/>
  </w:style>
  <w:style w:type="paragraph" w:customStyle="1" w:styleId="0B228E1F59694CD68114D1F647567BDA">
    <w:name w:val="0B228E1F59694CD68114D1F647567BDA"/>
    <w:rsid w:val="00EB41BE"/>
  </w:style>
  <w:style w:type="paragraph" w:customStyle="1" w:styleId="97AB2C2B7983452090586A9B32CC543B">
    <w:name w:val="97AB2C2B7983452090586A9B32CC543B"/>
    <w:rsid w:val="00EB41BE"/>
  </w:style>
  <w:style w:type="paragraph" w:customStyle="1" w:styleId="11F23D57CEEC4BFAA2107B441CBD1F37">
    <w:name w:val="11F23D57CEEC4BFAA2107B441CBD1F37"/>
    <w:rsid w:val="00EB41BE"/>
  </w:style>
  <w:style w:type="paragraph" w:customStyle="1" w:styleId="AC5A7D5036A64CF58C509073FFF49B48">
    <w:name w:val="AC5A7D5036A64CF58C509073FFF49B48"/>
    <w:rsid w:val="00EB41BE"/>
  </w:style>
  <w:style w:type="paragraph" w:customStyle="1" w:styleId="B5041EEA7CC7478186F86142692694B7">
    <w:name w:val="B5041EEA7CC7478186F86142692694B7"/>
    <w:rsid w:val="00EB41BE"/>
  </w:style>
  <w:style w:type="paragraph" w:customStyle="1" w:styleId="D825C1B0A7024856B775A2AF78FD131F">
    <w:name w:val="D825C1B0A7024856B775A2AF78FD131F"/>
    <w:rsid w:val="00EB41BE"/>
  </w:style>
  <w:style w:type="paragraph" w:customStyle="1" w:styleId="397C9F74B36B445FB531ECFA8510572B">
    <w:name w:val="397C9F74B36B445FB531ECFA8510572B"/>
    <w:rsid w:val="00EB41BE"/>
  </w:style>
  <w:style w:type="paragraph" w:customStyle="1" w:styleId="2C34C33B995049E7A735DA4D03DB7054">
    <w:name w:val="2C34C33B995049E7A735DA4D03DB7054"/>
    <w:rsid w:val="00EB41BE"/>
  </w:style>
  <w:style w:type="paragraph" w:customStyle="1" w:styleId="05A17A23AEE54BA1BD3564E084408618">
    <w:name w:val="05A17A23AEE54BA1BD3564E084408618"/>
    <w:rsid w:val="00EB41BE"/>
  </w:style>
  <w:style w:type="paragraph" w:customStyle="1" w:styleId="FC5BE1BF3F4C4075AF14C821501F4DE5">
    <w:name w:val="FC5BE1BF3F4C4075AF14C821501F4DE5"/>
    <w:rsid w:val="00EB4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6048E-C641-4369-A092-07128255F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212</Pages>
  <Words>77188</Words>
  <Characters>424535</Characters>
  <Application>Microsoft Office Word</Application>
  <DocSecurity>0</DocSecurity>
  <Lines>3537</Lines>
  <Paragraphs>1001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LUZ SANCHEZ ESCUDERO</dc:creator>
  <cp:keywords/>
  <dc:description/>
  <cp:lastModifiedBy>ALBA LUZ SANCHEZ ESCUDERO</cp:lastModifiedBy>
  <cp:revision>3</cp:revision>
  <cp:lastPrinted>2026-07-17T16:01:00Z</cp:lastPrinted>
  <dcterms:created xsi:type="dcterms:W3CDTF">2026-07-17T16:01:00Z</dcterms:created>
  <dcterms:modified xsi:type="dcterms:W3CDTF">2026-07-17T16:01:00Z</dcterms:modified>
</cp:coreProperties>
</file>