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A745" w14:textId="71E8F358" w:rsidR="00610C0C" w:rsidRPr="006177E4" w:rsidRDefault="00613332" w:rsidP="00263B16">
      <w:pPr>
        <w:spacing w:line="480" w:lineRule="auto"/>
        <w:ind w:left="708" w:hanging="708"/>
        <w:jc w:val="center"/>
        <w:rPr>
          <w:rFonts w:cs="Times New Roman"/>
          <w:szCs w:val="24"/>
        </w:rPr>
      </w:pPr>
      <w:bookmarkStart w:id="0" w:name="_Hlk227952556"/>
      <w:bookmarkEnd w:id="0"/>
      <w:r w:rsidRPr="006177E4">
        <w:rPr>
          <w:rFonts w:cs="Times New Roman"/>
          <w:noProof/>
          <w:szCs w:val="24"/>
          <w:lang w:eastAsia="es-CO"/>
        </w:rPr>
        <w:drawing>
          <wp:inline distT="0" distB="0" distL="0" distR="0" wp14:anchorId="10CC68A3" wp14:editId="5579B7C0">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2534461E" w14:textId="77777777" w:rsidR="00370457" w:rsidRPr="006177E4" w:rsidRDefault="00370457" w:rsidP="00263B16">
      <w:pPr>
        <w:spacing w:line="480" w:lineRule="auto"/>
        <w:jc w:val="center"/>
        <w:rPr>
          <w:rFonts w:cs="Times New Roman"/>
          <w:b/>
          <w:bCs/>
          <w:szCs w:val="24"/>
        </w:rPr>
      </w:pPr>
      <w:bookmarkStart w:id="1" w:name="_Hlk211705728"/>
    </w:p>
    <w:p w14:paraId="5BBFA308" w14:textId="567A1995" w:rsidR="00370457" w:rsidRPr="006177E4" w:rsidRDefault="00370457" w:rsidP="00263B16">
      <w:pPr>
        <w:spacing w:line="480" w:lineRule="auto"/>
        <w:jc w:val="center"/>
        <w:rPr>
          <w:rFonts w:cs="Times New Roman"/>
          <w:b/>
          <w:bCs/>
          <w:szCs w:val="24"/>
        </w:rPr>
      </w:pPr>
      <w:bookmarkStart w:id="2" w:name="_Hlk211761244"/>
      <w:r w:rsidRPr="006177E4">
        <w:rPr>
          <w:rFonts w:cs="Times New Roman"/>
          <w:b/>
          <w:bCs/>
          <w:szCs w:val="24"/>
        </w:rPr>
        <w:t>Ineficacia de las Declaraciones de Retención en la Fuente: Un Análisis Tributario en los contribuyentes de la Administración de Impuestos de Ibagué (2014 al 2024)</w:t>
      </w:r>
    </w:p>
    <w:bookmarkEnd w:id="1"/>
    <w:bookmarkEnd w:id="2"/>
    <w:p w14:paraId="46360BD5" w14:textId="77777777" w:rsidR="00370457" w:rsidRPr="006177E4" w:rsidRDefault="00370457" w:rsidP="00263B16">
      <w:pPr>
        <w:spacing w:line="480" w:lineRule="auto"/>
        <w:jc w:val="center"/>
        <w:rPr>
          <w:rFonts w:cs="Times New Roman"/>
          <w:b/>
          <w:bCs/>
          <w:szCs w:val="24"/>
          <w:lang w:val="es-ES"/>
        </w:rPr>
      </w:pPr>
    </w:p>
    <w:p w14:paraId="17B8FEDB" w14:textId="77777777" w:rsidR="00921501" w:rsidRPr="006177E4" w:rsidRDefault="00921501" w:rsidP="00263B16">
      <w:pPr>
        <w:spacing w:line="480" w:lineRule="auto"/>
        <w:jc w:val="center"/>
        <w:rPr>
          <w:rFonts w:cs="Times New Roman"/>
          <w:szCs w:val="24"/>
        </w:rPr>
      </w:pPr>
    </w:p>
    <w:p w14:paraId="417172F6" w14:textId="77777777" w:rsidR="00370457" w:rsidRPr="006177E4" w:rsidRDefault="00370457" w:rsidP="00263B16">
      <w:pPr>
        <w:spacing w:line="480" w:lineRule="auto"/>
        <w:jc w:val="center"/>
        <w:rPr>
          <w:rFonts w:cs="Times New Roman"/>
          <w:szCs w:val="24"/>
          <w:u w:color="000000"/>
          <w:lang w:val="es-ES_tradnl"/>
        </w:rPr>
      </w:pPr>
      <w:bookmarkStart w:id="3" w:name="_Hlk65067898"/>
      <w:r w:rsidRPr="006177E4">
        <w:rPr>
          <w:rFonts w:cs="Times New Roman"/>
          <w:szCs w:val="24"/>
          <w:u w:color="000000"/>
          <w:lang w:val="es-ES_tradnl"/>
        </w:rPr>
        <w:t>Luz Dary Acero Acosta</w:t>
      </w:r>
    </w:p>
    <w:p w14:paraId="385418AA" w14:textId="77777777" w:rsidR="00370457" w:rsidRPr="006177E4" w:rsidRDefault="00370457" w:rsidP="00263B16">
      <w:pPr>
        <w:spacing w:line="480" w:lineRule="auto"/>
        <w:jc w:val="center"/>
        <w:rPr>
          <w:rFonts w:cs="Times New Roman"/>
          <w:szCs w:val="24"/>
          <w:u w:color="000000"/>
          <w:lang w:val="es-ES_tradnl"/>
        </w:rPr>
      </w:pPr>
      <w:r w:rsidRPr="006177E4">
        <w:rPr>
          <w:rFonts w:cs="Times New Roman"/>
          <w:szCs w:val="24"/>
          <w:u w:color="000000"/>
          <w:lang w:val="es-ES_tradnl"/>
        </w:rPr>
        <w:t>Joana Marcela López Moya</w:t>
      </w:r>
    </w:p>
    <w:p w14:paraId="76DEF225" w14:textId="77777777" w:rsidR="00DC3DDB" w:rsidRPr="006177E4" w:rsidRDefault="00DC3DDB" w:rsidP="00263B16">
      <w:pPr>
        <w:spacing w:line="480" w:lineRule="auto"/>
        <w:rPr>
          <w:rFonts w:cs="Times New Roman"/>
          <w:szCs w:val="24"/>
          <w:lang w:val="es-ES_tradnl"/>
        </w:rPr>
      </w:pPr>
    </w:p>
    <w:p w14:paraId="25A2F266" w14:textId="77777777" w:rsidR="00D946F9" w:rsidRPr="006177E4" w:rsidRDefault="00D946F9" w:rsidP="00263B16">
      <w:pPr>
        <w:spacing w:line="480" w:lineRule="auto"/>
        <w:rPr>
          <w:rFonts w:cs="Times New Roman"/>
          <w:szCs w:val="24"/>
        </w:rPr>
      </w:pPr>
    </w:p>
    <w:bookmarkStart w:id="4" w:name="_Hlk68542115"/>
    <w:p w14:paraId="7AE69C26" w14:textId="290E75CA" w:rsidR="00FB78B5" w:rsidRPr="006177E4" w:rsidRDefault="00674D57" w:rsidP="00263B16">
      <w:pPr>
        <w:spacing w:line="480" w:lineRule="auto"/>
        <w:jc w:val="center"/>
        <w:rPr>
          <w:rFonts w:cs="Times New Roman"/>
          <w:szCs w:val="24"/>
        </w:rPr>
      </w:pPr>
      <w:sdt>
        <w:sdtPr>
          <w:rPr>
            <w:rStyle w:val="Estilo7"/>
            <w:rFonts w:cs="Times New Roman"/>
            <w:szCs w:val="24"/>
          </w:rPr>
          <w:alias w:val="Tipo de documento"/>
          <w:tag w:val="Tipo de documento"/>
          <w:id w:val="1127737763"/>
          <w:placeholder>
            <w:docPart w:val="2ACFCDC492CB56418669A6F849108796"/>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Pr>
        </w:sdtEndPr>
        <w:sdtContent>
          <w:r w:rsidR="008C471E">
            <w:rPr>
              <w:rStyle w:val="Estilo7"/>
              <w:rFonts w:cs="Times New Roman"/>
              <w:szCs w:val="24"/>
            </w:rPr>
            <w:t>Tesis de maestría presentada</w:t>
          </w:r>
        </w:sdtContent>
      </w:sdt>
      <w:r w:rsidR="00FB78B5" w:rsidRPr="006177E4">
        <w:rPr>
          <w:rFonts w:cs="Times New Roman"/>
          <w:szCs w:val="24"/>
        </w:rPr>
        <w:t xml:space="preserve"> para optar al título de</w:t>
      </w:r>
      <w:bookmarkStart w:id="5" w:name="_Hlk206691093"/>
      <w:r w:rsidR="00FB78B5" w:rsidRPr="006177E4">
        <w:rPr>
          <w:rFonts w:cs="Times New Roman"/>
          <w:szCs w:val="24"/>
        </w:rPr>
        <w:t xml:space="preserve"> </w:t>
      </w:r>
      <w:bookmarkStart w:id="6" w:name="_Hlk206690637"/>
      <w:bookmarkStart w:id="7" w:name="_Hlk206692023"/>
      <w:sdt>
        <w:sdtPr>
          <w:rPr>
            <w:rStyle w:val="TextocomentarioCar"/>
            <w:rFonts w:cs="Times New Roman"/>
            <w:sz w:val="24"/>
            <w:szCs w:val="24"/>
          </w:rPr>
          <w:alias w:val="Título"/>
          <w:tag w:val="Título"/>
          <w:id w:val="907349457"/>
          <w:placeholder>
            <w:docPart w:val="EFB16336C03CBF4483E30671BBF2C17F"/>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370457" w:rsidRPr="006177E4">
            <w:rPr>
              <w:rStyle w:val="TextocomentarioCar"/>
              <w:rFonts w:cs="Times New Roman"/>
              <w:sz w:val="24"/>
              <w:szCs w:val="24"/>
            </w:rPr>
            <w:t>Magíster en Tributación</w:t>
          </w:r>
        </w:sdtContent>
      </w:sdt>
      <w:bookmarkEnd w:id="5"/>
      <w:bookmarkEnd w:id="6"/>
    </w:p>
    <w:bookmarkEnd w:id="7"/>
    <w:p w14:paraId="6C0D1524" w14:textId="616C6585" w:rsidR="00850FB1" w:rsidRPr="006177E4" w:rsidRDefault="00850FB1" w:rsidP="00263B16">
      <w:pPr>
        <w:spacing w:line="480" w:lineRule="auto"/>
        <w:jc w:val="center"/>
        <w:rPr>
          <w:rFonts w:cs="Times New Roman"/>
          <w:szCs w:val="24"/>
        </w:rPr>
      </w:pPr>
    </w:p>
    <w:bookmarkStart w:id="8" w:name="_Hlk65077587"/>
    <w:bookmarkEnd w:id="4"/>
    <w:p w14:paraId="4F84F8AA" w14:textId="6D1ED0E2" w:rsidR="00573C21" w:rsidRPr="006177E4" w:rsidRDefault="00674D57" w:rsidP="00263B16">
      <w:pPr>
        <w:spacing w:line="480" w:lineRule="auto"/>
        <w:jc w:val="center"/>
        <w:rPr>
          <w:rStyle w:val="Estilo2"/>
          <w:rFonts w:cs="Times New Roman"/>
          <w:szCs w:val="24"/>
        </w:rPr>
      </w:pPr>
      <w:sdt>
        <w:sdtPr>
          <w:rPr>
            <w:rFonts w:cs="Times New Roman"/>
            <w:szCs w:val="24"/>
          </w:rPr>
          <w:alias w:val="Tipo de orientador(es)"/>
          <w:tag w:val="Tipo de orientador(es)"/>
          <w:id w:val="-2029240515"/>
          <w:placeholder>
            <w:docPart w:val="E5BA75A3F39446F09D928844DD9668E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sdtContent>
          <w:r w:rsidR="002973C0" w:rsidRPr="006177E4">
            <w:rPr>
              <w:rFonts w:cs="Times New Roman"/>
              <w:szCs w:val="24"/>
            </w:rPr>
            <w:t>Docente</w:t>
          </w:r>
        </w:sdtContent>
      </w:sdt>
      <w:r w:rsidR="00ED2237" w:rsidRPr="006177E4">
        <w:rPr>
          <w:rFonts w:cs="Times New Roman"/>
          <w:szCs w:val="24"/>
        </w:rPr>
        <w:t>:</w:t>
      </w:r>
      <w:bookmarkEnd w:id="8"/>
      <w:r w:rsidR="00E85BBD" w:rsidRPr="006177E4">
        <w:rPr>
          <w:rFonts w:cs="Times New Roman"/>
          <w:szCs w:val="24"/>
        </w:rPr>
        <w:t xml:space="preserve"> </w:t>
      </w:r>
      <w:r w:rsidR="00370457" w:rsidRPr="006177E4">
        <w:rPr>
          <w:rFonts w:cs="Times New Roman"/>
          <w:szCs w:val="24"/>
          <w:u w:color="000000"/>
          <w:lang w:val="es-ES_tradnl"/>
        </w:rPr>
        <w:t>Julián Andrés Gómez Sánchez</w:t>
      </w:r>
      <w:r w:rsidR="00573C21" w:rsidRPr="006177E4">
        <w:rPr>
          <w:rFonts w:cs="Times New Roman"/>
          <w:szCs w:val="24"/>
        </w:rPr>
        <w:t xml:space="preserve">, </w:t>
      </w:r>
      <w:sdt>
        <w:sdtPr>
          <w:rPr>
            <w:rStyle w:val="Estilo8"/>
            <w:rFonts w:cs="Times New Roman"/>
            <w:szCs w:val="24"/>
          </w:rPr>
          <w:alias w:val="Título asesor"/>
          <w:tag w:val="Título asesor"/>
          <w:id w:val="-464968887"/>
          <w:placeholder>
            <w:docPart w:val="52A95E2178D643B398D57C471B6FF8C5"/>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rPr>
            <w:rStyle w:val="Estilo8"/>
          </w:rPr>
        </w:sdtEndPr>
        <w:sdtContent>
          <w:r w:rsidR="002973C0" w:rsidRPr="006177E4">
            <w:rPr>
              <w:rStyle w:val="Estilo8"/>
              <w:rFonts w:cs="Times New Roman"/>
              <w:szCs w:val="24"/>
            </w:rPr>
            <w:t>Doctor (PhD)</w:t>
          </w:r>
        </w:sdtContent>
      </w:sdt>
      <w:r w:rsidR="007676DC" w:rsidRPr="006177E4">
        <w:rPr>
          <w:rStyle w:val="Estilo2"/>
          <w:rFonts w:cs="Times New Roman"/>
          <w:szCs w:val="24"/>
        </w:rPr>
        <w:t xml:space="preserve"> en</w:t>
      </w:r>
      <w:r w:rsidR="005B17DF" w:rsidRPr="006177E4">
        <w:rPr>
          <w:rStyle w:val="Estilo2"/>
          <w:rFonts w:cs="Times New Roman"/>
          <w:szCs w:val="24"/>
        </w:rPr>
        <w:t xml:space="preserve"> </w:t>
      </w:r>
      <w:r w:rsidR="00967716" w:rsidRPr="006177E4">
        <w:rPr>
          <w:rStyle w:val="Estilo2"/>
          <w:rFonts w:cs="Times New Roman"/>
          <w:szCs w:val="24"/>
        </w:rPr>
        <w:t>Desarrollo Sostenible</w:t>
      </w:r>
    </w:p>
    <w:p w14:paraId="735D2DE0" w14:textId="77777777" w:rsidR="0011138C" w:rsidRPr="006177E4" w:rsidRDefault="0011138C" w:rsidP="00263B16">
      <w:pPr>
        <w:spacing w:line="480" w:lineRule="auto"/>
        <w:jc w:val="center"/>
        <w:rPr>
          <w:rStyle w:val="Estilo5"/>
          <w:rFonts w:cs="Times New Roman"/>
          <w:szCs w:val="24"/>
        </w:rPr>
      </w:pPr>
    </w:p>
    <w:p w14:paraId="339B3940" w14:textId="77777777" w:rsidR="000F5AFE" w:rsidRPr="006177E4" w:rsidRDefault="000F5AFE" w:rsidP="00263B16">
      <w:pPr>
        <w:spacing w:line="480" w:lineRule="auto"/>
        <w:jc w:val="center"/>
        <w:rPr>
          <w:rStyle w:val="Estilo3"/>
          <w:rFonts w:cs="Times New Roman"/>
          <w:szCs w:val="24"/>
        </w:rPr>
      </w:pPr>
    </w:p>
    <w:p w14:paraId="5CDAD02A" w14:textId="364E4DA7" w:rsidR="00F12CF4" w:rsidRPr="006177E4" w:rsidRDefault="00C37D71" w:rsidP="00263B16">
      <w:pPr>
        <w:spacing w:line="480" w:lineRule="auto"/>
        <w:jc w:val="center"/>
        <w:rPr>
          <w:rFonts w:cs="Times New Roman"/>
          <w:szCs w:val="24"/>
        </w:rPr>
      </w:pPr>
      <w:r w:rsidRPr="006177E4">
        <w:rPr>
          <w:rStyle w:val="Estilo3"/>
          <w:rFonts w:cs="Times New Roman"/>
          <w:szCs w:val="24"/>
        </w:rPr>
        <w:t xml:space="preserve">Universidad de </w:t>
      </w:r>
      <w:r w:rsidR="000218DC" w:rsidRPr="006177E4">
        <w:rPr>
          <w:rStyle w:val="Estilo3"/>
          <w:rFonts w:cs="Times New Roman"/>
          <w:szCs w:val="24"/>
        </w:rPr>
        <w:t>Manizales</w:t>
      </w:r>
      <w:r w:rsidR="00EE694B" w:rsidRPr="006177E4">
        <w:rPr>
          <w:rStyle w:val="Estilo3"/>
          <w:rFonts w:cs="Times New Roman"/>
          <w:szCs w:val="24"/>
        </w:rPr>
        <w:br/>
      </w:r>
      <w:sdt>
        <w:sdtPr>
          <w:rPr>
            <w:rStyle w:val="TextocomentarioCar"/>
            <w:rFonts w:cs="Times New Roman"/>
            <w:sz w:val="24"/>
            <w:szCs w:val="24"/>
          </w:rPr>
          <w:alias w:val="Facultad"/>
          <w:tag w:val="Facultad"/>
          <w:id w:val="1362708455"/>
          <w:placeholder>
            <w:docPart w:val="C253DC77570F4E329353DB2CB0BA448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Pr>
        </w:sdtEndPr>
        <w:sdtContent>
          <w:r w:rsidR="002973C0" w:rsidRPr="006177E4">
            <w:rPr>
              <w:rStyle w:val="TextocomentarioCar"/>
              <w:rFonts w:cs="Times New Roman"/>
              <w:sz w:val="24"/>
              <w:szCs w:val="24"/>
            </w:rPr>
            <w:t xml:space="preserve">Facultad de Ciencias Contables, Económicas y Administrativas </w:t>
          </w:r>
        </w:sdtContent>
      </w:sdt>
    </w:p>
    <w:bookmarkStart w:id="9" w:name="_Hlk206691583"/>
    <w:p w14:paraId="50E44DF8" w14:textId="668CA973" w:rsidR="006156F1" w:rsidRPr="006177E4" w:rsidRDefault="00674D57" w:rsidP="00263B16">
      <w:pPr>
        <w:spacing w:line="480" w:lineRule="auto"/>
        <w:jc w:val="center"/>
        <w:rPr>
          <w:rFonts w:cs="Times New Roman"/>
          <w:szCs w:val="24"/>
        </w:rPr>
      </w:pPr>
      <w:sdt>
        <w:sdtPr>
          <w:rPr>
            <w:rStyle w:val="TextocomentarioCar"/>
            <w:rFonts w:cs="Times New Roman"/>
            <w:sz w:val="24"/>
            <w:szCs w:val="24"/>
          </w:rPr>
          <w:alias w:val="Programa"/>
          <w:tag w:val="Programa"/>
          <w:id w:val="-1492942475"/>
          <w:placeholder>
            <w:docPart w:val="C2393C13F1B64E7D9486E5834AC1A0D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A860CF" w:rsidRPr="006177E4">
            <w:rPr>
              <w:rStyle w:val="TextocomentarioCar"/>
              <w:rFonts w:cs="Times New Roman"/>
              <w:sz w:val="24"/>
              <w:szCs w:val="24"/>
            </w:rPr>
            <w:t>Maestría en Tributación</w:t>
          </w:r>
        </w:sdtContent>
      </w:sdt>
    </w:p>
    <w:bookmarkEnd w:id="9"/>
    <w:p w14:paraId="27AD4E93" w14:textId="7996995C" w:rsidR="00DB7AF2" w:rsidRPr="006177E4" w:rsidRDefault="00954F6C" w:rsidP="00263B16">
      <w:pPr>
        <w:spacing w:line="480" w:lineRule="auto"/>
        <w:jc w:val="center"/>
        <w:rPr>
          <w:rFonts w:cs="Times New Roman"/>
          <w:szCs w:val="24"/>
        </w:rPr>
      </w:pPr>
      <w:r w:rsidRPr="006177E4">
        <w:rPr>
          <w:rFonts w:cs="Times New Roman"/>
          <w:szCs w:val="24"/>
        </w:rPr>
        <w:t xml:space="preserve"> </w:t>
      </w:r>
      <w:r w:rsidR="001D3581" w:rsidRPr="006177E4">
        <w:rPr>
          <w:rFonts w:cs="Times New Roman"/>
          <w:szCs w:val="24"/>
        </w:rPr>
        <w:t>Manizales, Caldas, Colombia</w:t>
      </w:r>
    </w:p>
    <w:p w14:paraId="6A40ACDA" w14:textId="1D7365BE" w:rsidR="008921A3" w:rsidRPr="006177E4" w:rsidRDefault="00674D57" w:rsidP="00263B16">
      <w:pPr>
        <w:spacing w:line="480" w:lineRule="auto"/>
        <w:jc w:val="center"/>
        <w:rPr>
          <w:rFonts w:cs="Times New Roman"/>
          <w:szCs w:val="24"/>
        </w:rPr>
      </w:pPr>
      <w:sdt>
        <w:sdtPr>
          <w:rPr>
            <w:rFonts w:cs="Times New Roman"/>
            <w:szCs w:val="24"/>
          </w:rPr>
          <w:alias w:val="Año grado"/>
          <w:tag w:val="Año grado"/>
          <w:id w:val="-1455008069"/>
          <w:placeholder>
            <w:docPart w:val="514A1D4965294FE1AACF153E2E6DDA31"/>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sdtContent>
          <w:r w:rsidR="00A860CF" w:rsidRPr="006177E4">
            <w:rPr>
              <w:rFonts w:cs="Times New Roman"/>
              <w:szCs w:val="24"/>
            </w:rPr>
            <w:t>2026</w:t>
          </w:r>
        </w:sdtContent>
      </w:sdt>
      <w:r w:rsidR="00A870E2" w:rsidRPr="006177E4">
        <w:rPr>
          <w:rFonts w:cs="Times New Roman"/>
          <w:szCs w:val="24"/>
        </w:rPr>
        <w:t xml:space="preserve"> </w:t>
      </w:r>
      <w:bookmarkEnd w:id="3"/>
    </w:p>
    <w:p w14:paraId="096DEC6D" w14:textId="72070BC5" w:rsidR="00AD1DC1" w:rsidRPr="006177E4" w:rsidRDefault="00AD1DC1" w:rsidP="00263B16">
      <w:pPr>
        <w:spacing w:line="480" w:lineRule="auto"/>
        <w:jc w:val="left"/>
        <w:rPr>
          <w:rFonts w:cs="Times New Roman"/>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7017"/>
      </w:tblGrid>
      <w:tr w:rsidR="00672B85" w:rsidRPr="008C471E" w14:paraId="1936A5E9" w14:textId="77777777" w:rsidTr="008F7AA0">
        <w:trPr>
          <w:trHeight w:val="397"/>
          <w:jc w:val="center"/>
        </w:trPr>
        <w:tc>
          <w:tcPr>
            <w:tcW w:w="2351" w:type="dxa"/>
            <w:tcBorders>
              <w:top w:val="single" w:sz="12" w:space="0" w:color="393939" w:themeColor="accent6" w:themeShade="BF"/>
              <w:bottom w:val="single" w:sz="12" w:space="0" w:color="393939" w:themeColor="accent6" w:themeShade="BF"/>
            </w:tcBorders>
            <w:vAlign w:val="center"/>
          </w:tcPr>
          <w:p w14:paraId="3195E151" w14:textId="299E409E" w:rsidR="00672B85" w:rsidRPr="008C471E" w:rsidRDefault="00672B85" w:rsidP="008C471E">
            <w:pPr>
              <w:spacing w:line="240" w:lineRule="auto"/>
              <w:jc w:val="center"/>
              <w:rPr>
                <w:rFonts w:cs="Times New Roman"/>
                <w:b/>
                <w:bCs/>
                <w:sz w:val="22"/>
              </w:rPr>
            </w:pPr>
            <w:bookmarkStart w:id="10" w:name="_Hlk65068309"/>
            <w:r w:rsidRPr="008C471E">
              <w:rPr>
                <w:rFonts w:cs="Times New Roman"/>
                <w:sz w:val="22"/>
              </w:rPr>
              <w:br w:type="page"/>
            </w:r>
            <w:r w:rsidRPr="008C471E">
              <w:rPr>
                <w:rFonts w:cs="Times New Roman"/>
                <w:b/>
                <w:bCs/>
                <w:sz w:val="22"/>
              </w:rPr>
              <w:t>Cita</w:t>
            </w:r>
          </w:p>
        </w:tc>
        <w:tc>
          <w:tcPr>
            <w:tcW w:w="7053" w:type="dxa"/>
            <w:tcBorders>
              <w:top w:val="single" w:sz="12" w:space="0" w:color="393939" w:themeColor="accent6" w:themeShade="BF"/>
              <w:bottom w:val="single" w:sz="12" w:space="0" w:color="393939" w:themeColor="accent6" w:themeShade="BF"/>
            </w:tcBorders>
            <w:vAlign w:val="center"/>
          </w:tcPr>
          <w:p w14:paraId="5DF19D91" w14:textId="6722857D" w:rsidR="00672B85" w:rsidRPr="008C471E" w:rsidRDefault="00672B85" w:rsidP="008C471E">
            <w:pPr>
              <w:spacing w:line="240" w:lineRule="auto"/>
              <w:jc w:val="left"/>
              <w:rPr>
                <w:rFonts w:cs="Times New Roman"/>
                <w:sz w:val="22"/>
              </w:rPr>
            </w:pPr>
            <w:r w:rsidRPr="008C471E">
              <w:rPr>
                <w:rFonts w:cs="Times New Roman"/>
                <w:sz w:val="22"/>
              </w:rPr>
              <w:t>(</w:t>
            </w:r>
            <w:r w:rsidR="0097637E" w:rsidRPr="008C471E">
              <w:rPr>
                <w:rFonts w:cs="Times New Roman"/>
                <w:sz w:val="22"/>
              </w:rPr>
              <w:t>Acero y López</w:t>
            </w:r>
            <w:r w:rsidRPr="008C471E">
              <w:rPr>
                <w:rFonts w:cs="Times New Roman"/>
                <w:sz w:val="22"/>
              </w:rPr>
              <w:t>, 20</w:t>
            </w:r>
            <w:r w:rsidR="00D72D9C" w:rsidRPr="008C471E">
              <w:rPr>
                <w:rFonts w:cs="Times New Roman"/>
                <w:sz w:val="22"/>
              </w:rPr>
              <w:t>2</w:t>
            </w:r>
            <w:r w:rsidR="0097637E" w:rsidRPr="008C471E">
              <w:rPr>
                <w:rFonts w:cs="Times New Roman"/>
                <w:sz w:val="22"/>
              </w:rPr>
              <w:t>6</w:t>
            </w:r>
            <w:r w:rsidRPr="008C471E">
              <w:rPr>
                <w:rFonts w:cs="Times New Roman"/>
                <w:sz w:val="22"/>
              </w:rPr>
              <w:t>)</w:t>
            </w:r>
          </w:p>
        </w:tc>
      </w:tr>
      <w:tr w:rsidR="00672B85" w:rsidRPr="008C471E" w14:paraId="60CE9B4E" w14:textId="77777777" w:rsidTr="008F7AA0">
        <w:trPr>
          <w:trHeight w:val="983"/>
          <w:jc w:val="center"/>
        </w:trPr>
        <w:tc>
          <w:tcPr>
            <w:tcW w:w="2351" w:type="dxa"/>
            <w:tcBorders>
              <w:top w:val="single" w:sz="12" w:space="0" w:color="393939" w:themeColor="accent6" w:themeShade="BF"/>
              <w:bottom w:val="single" w:sz="12" w:space="0" w:color="393939" w:themeColor="accent6" w:themeShade="BF"/>
            </w:tcBorders>
            <w:vAlign w:val="center"/>
          </w:tcPr>
          <w:p w14:paraId="60879424" w14:textId="01FF6E6A" w:rsidR="00672B85" w:rsidRPr="008C471E" w:rsidRDefault="00672B85" w:rsidP="008C471E">
            <w:pPr>
              <w:spacing w:line="240" w:lineRule="auto"/>
              <w:jc w:val="center"/>
              <w:rPr>
                <w:rFonts w:cs="Times New Roman"/>
                <w:b/>
                <w:bCs/>
                <w:sz w:val="22"/>
              </w:rPr>
            </w:pPr>
            <w:r w:rsidRPr="008C471E">
              <w:rPr>
                <w:rFonts w:cs="Times New Roman"/>
                <w:b/>
                <w:bCs/>
                <w:sz w:val="22"/>
              </w:rPr>
              <w:t>Referencia</w:t>
            </w:r>
          </w:p>
          <w:p w14:paraId="4C4B0145" w14:textId="77777777" w:rsidR="00672B85" w:rsidRPr="008C471E" w:rsidRDefault="00672B85" w:rsidP="008C471E">
            <w:pPr>
              <w:spacing w:line="240" w:lineRule="auto"/>
              <w:jc w:val="center"/>
              <w:rPr>
                <w:rFonts w:cs="Times New Roman"/>
                <w:sz w:val="22"/>
              </w:rPr>
            </w:pPr>
          </w:p>
          <w:p w14:paraId="68293CCA" w14:textId="03DE5008" w:rsidR="00672B85" w:rsidRPr="008C471E" w:rsidRDefault="00672B85" w:rsidP="008C471E">
            <w:pPr>
              <w:spacing w:line="240" w:lineRule="auto"/>
              <w:jc w:val="center"/>
              <w:rPr>
                <w:rFonts w:cs="Times New Roman"/>
                <w:sz w:val="22"/>
              </w:rPr>
            </w:pPr>
            <w:r w:rsidRPr="008C471E">
              <w:rPr>
                <w:rFonts w:cs="Times New Roman"/>
                <w:b/>
                <w:bCs/>
                <w:sz w:val="22"/>
              </w:rPr>
              <w:t>Estilo</w:t>
            </w:r>
            <w:r w:rsidR="00844936" w:rsidRPr="008C471E">
              <w:rPr>
                <w:rFonts w:cs="Times New Roman"/>
                <w:b/>
                <w:bCs/>
                <w:sz w:val="22"/>
              </w:rPr>
              <w:t xml:space="preserve"> </w:t>
            </w:r>
            <w:r w:rsidRPr="008C471E">
              <w:rPr>
                <w:rFonts w:cs="Times New Roman"/>
                <w:b/>
                <w:bCs/>
                <w:sz w:val="22"/>
              </w:rPr>
              <w:t>APA 7</w:t>
            </w:r>
            <w:r w:rsidR="00844936" w:rsidRPr="008C471E">
              <w:rPr>
                <w:rFonts w:cs="Times New Roman"/>
                <w:b/>
                <w:bCs/>
                <w:sz w:val="22"/>
              </w:rPr>
              <w:t xml:space="preserve"> </w:t>
            </w:r>
            <w:r w:rsidRPr="008C471E">
              <w:rPr>
                <w:rFonts w:cs="Times New Roman"/>
                <w:b/>
                <w:bCs/>
                <w:sz w:val="22"/>
              </w:rPr>
              <w:t>(2020)</w:t>
            </w:r>
          </w:p>
        </w:tc>
        <w:tc>
          <w:tcPr>
            <w:tcW w:w="7053" w:type="dxa"/>
            <w:tcBorders>
              <w:top w:val="single" w:sz="12" w:space="0" w:color="393939" w:themeColor="accent6" w:themeShade="BF"/>
              <w:bottom w:val="single" w:sz="12" w:space="0" w:color="393939" w:themeColor="accent6" w:themeShade="BF"/>
            </w:tcBorders>
          </w:tcPr>
          <w:p w14:paraId="110DFDCF" w14:textId="4A741579" w:rsidR="00672B85" w:rsidRPr="008C471E" w:rsidRDefault="0097637E" w:rsidP="008C471E">
            <w:pPr>
              <w:spacing w:line="240" w:lineRule="auto"/>
              <w:ind w:left="709" w:hanging="709"/>
              <w:jc w:val="left"/>
              <w:rPr>
                <w:rFonts w:cs="Times New Roman"/>
                <w:sz w:val="22"/>
              </w:rPr>
            </w:pPr>
            <w:r w:rsidRPr="008C471E">
              <w:rPr>
                <w:rFonts w:cs="Times New Roman"/>
                <w:sz w:val="22"/>
              </w:rPr>
              <w:t xml:space="preserve">Acero, L.D y López, J.M. </w:t>
            </w:r>
            <w:r w:rsidR="00672B85" w:rsidRPr="008C471E">
              <w:rPr>
                <w:rFonts w:cs="Times New Roman"/>
                <w:sz w:val="22"/>
              </w:rPr>
              <w:t>(20</w:t>
            </w:r>
            <w:r w:rsidR="00112737" w:rsidRPr="008C471E">
              <w:rPr>
                <w:rFonts w:cs="Times New Roman"/>
                <w:sz w:val="22"/>
              </w:rPr>
              <w:t>2</w:t>
            </w:r>
            <w:r w:rsidRPr="008C471E">
              <w:rPr>
                <w:rFonts w:cs="Times New Roman"/>
                <w:sz w:val="22"/>
              </w:rPr>
              <w:t>6</w:t>
            </w:r>
            <w:r w:rsidR="00672B85" w:rsidRPr="008C471E">
              <w:rPr>
                <w:rFonts w:cs="Times New Roman"/>
                <w:sz w:val="22"/>
              </w:rPr>
              <w:t xml:space="preserve">). </w:t>
            </w:r>
            <w:r w:rsidRPr="008C471E">
              <w:rPr>
                <w:rFonts w:cs="Times New Roman"/>
                <w:i/>
                <w:sz w:val="22"/>
              </w:rPr>
              <w:t xml:space="preserve">Ineficacia de las Declaraciones de Retención en la Fuente: Un Análisis Tributario en los contribuyentes de la Administración de Impuestos de Ibagué (2014 al 2024) </w:t>
            </w:r>
            <w:r w:rsidR="00672B85" w:rsidRPr="008C471E">
              <w:rPr>
                <w:rFonts w:cs="Times New Roman"/>
                <w:iCs/>
                <w:sz w:val="22"/>
              </w:rPr>
              <w:t>[</w:t>
            </w:r>
            <w:sdt>
              <w:sdtPr>
                <w:rPr>
                  <w:rStyle w:val="Estilo10"/>
                  <w:rFonts w:cs="Times New Roman"/>
                  <w:sz w:val="22"/>
                </w:rPr>
                <w:alias w:val="Modalidad de grado"/>
                <w:tag w:val="Tipo de artículo"/>
                <w:id w:val="1337426040"/>
                <w:placeholder>
                  <w:docPart w:val="AA6ADFB637C949588B4C71028492D5A8"/>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Pr>
              </w:sdtEndPr>
              <w:sdtContent>
                <w:r w:rsidRPr="008C471E">
                  <w:rPr>
                    <w:rStyle w:val="Estilo10"/>
                    <w:rFonts w:cs="Times New Roman"/>
                    <w:sz w:val="22"/>
                  </w:rPr>
                  <w:t>Tesis de maestría</w:t>
                </w:r>
              </w:sdtContent>
            </w:sdt>
            <w:r w:rsidR="00672B85" w:rsidRPr="008C471E">
              <w:rPr>
                <w:rFonts w:cs="Times New Roman"/>
                <w:sz w:val="22"/>
              </w:rPr>
              <w:t>]. Universidad de</w:t>
            </w:r>
            <w:r w:rsidR="00D74C92" w:rsidRPr="008C471E">
              <w:rPr>
                <w:rFonts w:cs="Times New Roman"/>
                <w:sz w:val="22"/>
              </w:rPr>
              <w:t xml:space="preserve"> </w:t>
            </w:r>
            <w:r w:rsidR="009A4D6A" w:rsidRPr="008C471E">
              <w:rPr>
                <w:rFonts w:cs="Times New Roman"/>
                <w:sz w:val="22"/>
              </w:rPr>
              <w:t xml:space="preserve">Manizales. </w:t>
            </w:r>
            <w:r w:rsidR="001D0EBF" w:rsidRPr="008C471E">
              <w:rPr>
                <w:rFonts w:cs="Times New Roman"/>
                <w:sz w:val="22"/>
              </w:rPr>
              <w:t xml:space="preserve">RIDUM: </w:t>
            </w:r>
            <w:r w:rsidR="009A4D6A" w:rsidRPr="008C471E">
              <w:rPr>
                <w:rFonts w:cs="Times New Roman"/>
                <w:sz w:val="22"/>
              </w:rPr>
              <w:t>Repositorio Institucional U</w:t>
            </w:r>
            <w:r w:rsidR="001D0EBF" w:rsidRPr="008C471E">
              <w:rPr>
                <w:rFonts w:cs="Times New Roman"/>
                <w:sz w:val="22"/>
              </w:rPr>
              <w:t>niversidad de Manizales.</w:t>
            </w:r>
            <w:r w:rsidR="00672B85" w:rsidRPr="008C471E">
              <w:rPr>
                <w:rFonts w:cs="Times New Roman"/>
                <w:iCs/>
                <w:sz w:val="22"/>
              </w:rPr>
              <w:t xml:space="preserve"> </w:t>
            </w:r>
          </w:p>
        </w:tc>
      </w:tr>
    </w:tbl>
    <w:p w14:paraId="055835F4" w14:textId="61012411" w:rsidR="003D2E5C" w:rsidRPr="008C471E" w:rsidRDefault="00672B85" w:rsidP="008C471E">
      <w:pPr>
        <w:spacing w:line="240" w:lineRule="auto"/>
        <w:jc w:val="left"/>
        <w:rPr>
          <w:rFonts w:cs="Times New Roman"/>
          <w:b/>
          <w:noProof/>
          <w:sz w:val="22"/>
          <w:lang w:eastAsia="es-CO"/>
        </w:rPr>
      </w:pPr>
      <w:r w:rsidRPr="008C471E">
        <w:rPr>
          <w:rFonts w:cs="Times New Roman"/>
          <w:b/>
          <w:noProof/>
          <w:sz w:val="22"/>
          <w:lang w:eastAsia="es-CO"/>
        </w:rPr>
        <w:drawing>
          <wp:inline distT="0" distB="0" distL="0" distR="0" wp14:anchorId="05E5D7C7" wp14:editId="1BC438BC">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8C471E">
        <w:rPr>
          <w:rFonts w:cs="Times New Roman"/>
          <w:b/>
          <w:noProof/>
          <w:sz w:val="22"/>
          <w:lang w:eastAsia="es-CO"/>
        </w:rPr>
        <w:t xml:space="preserve"> </w:t>
      </w:r>
      <w:r w:rsidR="003D2E5C" w:rsidRPr="008C471E">
        <w:rPr>
          <w:rFonts w:cs="Times New Roman"/>
          <w:noProof/>
          <w:sz w:val="22"/>
          <w:lang w:eastAsia="es-CO"/>
        </w:rPr>
        <w:drawing>
          <wp:inline distT="0" distB="0" distL="0" distR="0" wp14:anchorId="5DEA27B6" wp14:editId="51C14974">
            <wp:extent cx="736600" cy="256427"/>
            <wp:effectExtent l="0" t="0" r="6350" b="0"/>
            <wp:docPr id="12" name="Imagen 12"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6090426D" w14:textId="77777777" w:rsidR="00023E51" w:rsidRPr="008C471E" w:rsidRDefault="00023E51" w:rsidP="008C471E">
      <w:pPr>
        <w:spacing w:line="240" w:lineRule="auto"/>
        <w:jc w:val="left"/>
        <w:rPr>
          <w:rStyle w:val="Estilo4"/>
          <w:rFonts w:cs="Times New Roman"/>
          <w:sz w:val="22"/>
        </w:rPr>
      </w:pPr>
      <w:bookmarkStart w:id="11" w:name="_Hlk65069342"/>
      <w:bookmarkEnd w:id="10"/>
    </w:p>
    <w:p w14:paraId="52E588FD" w14:textId="77777777" w:rsidR="00D25A38" w:rsidRPr="008C471E" w:rsidRDefault="00D25A38" w:rsidP="008C471E">
      <w:pPr>
        <w:spacing w:line="240" w:lineRule="auto"/>
        <w:jc w:val="left"/>
        <w:rPr>
          <w:rStyle w:val="TextocomentarioCar"/>
          <w:rFonts w:cs="Times New Roman"/>
          <w:sz w:val="22"/>
          <w:szCs w:val="22"/>
        </w:rPr>
      </w:pPr>
      <w:bookmarkStart w:id="12" w:name="_Hlk66967260"/>
    </w:p>
    <w:bookmarkStart w:id="13" w:name="_Hlk206691773"/>
    <w:bookmarkStart w:id="14" w:name="_Hlk206692473"/>
    <w:p w14:paraId="090344D9" w14:textId="34BD122F" w:rsidR="00806ECE" w:rsidRPr="008C471E" w:rsidRDefault="00674D57" w:rsidP="008C471E">
      <w:pPr>
        <w:spacing w:line="240" w:lineRule="auto"/>
        <w:jc w:val="left"/>
        <w:rPr>
          <w:rFonts w:cs="Times New Roman"/>
          <w:sz w:val="22"/>
        </w:rPr>
      </w:pPr>
      <w:sdt>
        <w:sdtPr>
          <w:rPr>
            <w:rStyle w:val="TextocomentarioCar"/>
            <w:rFonts w:cs="Times New Roman"/>
            <w:sz w:val="22"/>
            <w:szCs w:val="22"/>
          </w:rPr>
          <w:alias w:val="Programa"/>
          <w:tag w:val="Programa"/>
          <w:id w:val="-723830706"/>
          <w:placeholder>
            <w:docPart w:val="505670272798493C940F2A21A88DF3D1"/>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rPr>
        </w:sdtEndPr>
        <w:sdtContent>
          <w:r w:rsidR="00DD0C0D" w:rsidRPr="008C471E">
            <w:rPr>
              <w:rStyle w:val="TextocomentarioCar"/>
              <w:rFonts w:cs="Times New Roman"/>
              <w:sz w:val="22"/>
              <w:szCs w:val="22"/>
            </w:rPr>
            <w:t>Maestría en Tributación</w:t>
          </w:r>
        </w:sdtContent>
      </w:sdt>
      <w:r w:rsidR="00306676" w:rsidRPr="008C471E">
        <w:rPr>
          <w:rFonts w:cs="Times New Roman"/>
          <w:sz w:val="22"/>
        </w:rPr>
        <w:t xml:space="preserve">, </w:t>
      </w:r>
      <w:bookmarkEnd w:id="13"/>
      <w:sdt>
        <w:sdtPr>
          <w:rPr>
            <w:rStyle w:val="Estilo3"/>
            <w:rFonts w:cs="Times New Roman"/>
            <w:sz w:val="22"/>
          </w:rPr>
          <w:alias w:val="Cohorte"/>
          <w:tag w:val="Cohorte"/>
          <w:id w:val="-1774845340"/>
          <w:placeholder>
            <w:docPart w:val="41573E8C664148EFB2E02A9C76279967"/>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Pr>
        </w:sdtEndPr>
        <w:sdtContent>
          <w:r w:rsidR="00DD0C0D" w:rsidRPr="008C471E">
            <w:rPr>
              <w:rStyle w:val="Estilo3"/>
              <w:rFonts w:cs="Times New Roman"/>
              <w:sz w:val="22"/>
            </w:rPr>
            <w:t>XVI</w:t>
          </w:r>
        </w:sdtContent>
      </w:sdt>
      <w:r w:rsidR="00306676" w:rsidRPr="008C471E">
        <w:rPr>
          <w:rFonts w:cs="Times New Roman"/>
          <w:sz w:val="22"/>
        </w:rPr>
        <w:t xml:space="preserve"> </w:t>
      </w:r>
    </w:p>
    <w:bookmarkStart w:id="15" w:name="_Hlk66967311"/>
    <w:bookmarkStart w:id="16" w:name="_Hlk66967277"/>
    <w:bookmarkStart w:id="17" w:name="_Hlk64031905"/>
    <w:bookmarkStart w:id="18" w:name="_Hlk65683077"/>
    <w:bookmarkEnd w:id="14"/>
    <w:p w14:paraId="7A234A99" w14:textId="01764FC3" w:rsidR="00CD707A" w:rsidRPr="008C471E" w:rsidRDefault="00674D57" w:rsidP="008C471E">
      <w:pPr>
        <w:spacing w:line="240" w:lineRule="auto"/>
        <w:jc w:val="left"/>
        <w:rPr>
          <w:rFonts w:cs="Times New Roman"/>
          <w:sz w:val="22"/>
        </w:rPr>
      </w:pPr>
      <w:sdt>
        <w:sdtPr>
          <w:rPr>
            <w:rStyle w:val="Estilo5"/>
            <w:rFonts w:cs="Times New Roman"/>
            <w:sz w:val="22"/>
          </w:rPr>
          <w:id w:val="1684392674"/>
          <w:placeholder>
            <w:docPart w:val="689EC45628C41248A299345D18645521"/>
          </w:placeholder>
          <w15:color w:val="008000"/>
          <w:dropDownList>
            <w:listItem w:displayText="Seleccione grupo de investigación UManizales (A-Z)" w:value="Seleccione grupo de investigación UManizales (A-Z)"/>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Pr>
        </w:sdtEndPr>
        <w:sdtContent>
          <w:r w:rsidR="000F5AFE" w:rsidRPr="008C471E">
            <w:rPr>
              <w:rStyle w:val="Estilo5"/>
              <w:rFonts w:cs="Times New Roman"/>
              <w:sz w:val="22"/>
            </w:rPr>
            <w:t>Grupo de Investigación Teoría Contable</w:t>
          </w:r>
        </w:sdtContent>
      </w:sdt>
    </w:p>
    <w:bookmarkStart w:id="19" w:name="_Hlk66967298"/>
    <w:bookmarkStart w:id="20" w:name="_Hlk65187326"/>
    <w:bookmarkEnd w:id="15"/>
    <w:p w14:paraId="006054C2" w14:textId="3C18B46F" w:rsidR="00672B85" w:rsidRDefault="00674D57" w:rsidP="008C471E">
      <w:pPr>
        <w:spacing w:line="240" w:lineRule="auto"/>
        <w:jc w:val="left"/>
        <w:rPr>
          <w:rFonts w:cs="Times New Roman"/>
          <w:sz w:val="22"/>
        </w:rPr>
      </w:pPr>
      <w:sdt>
        <w:sdtPr>
          <w:rPr>
            <w:rStyle w:val="Estilo5"/>
            <w:rFonts w:cs="Times New Roman"/>
            <w:sz w:val="22"/>
          </w:rPr>
          <w:alias w:val="Grupo"/>
          <w:tag w:val="Grupo"/>
          <w:id w:val="1851758388"/>
          <w:placeholder>
            <w:docPart w:val="D444E435CAFFC94A9C2F8D1FE444CD1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Pr>
        </w:sdtEndPr>
        <w:sdtContent>
          <w:r w:rsidR="000F5AFE" w:rsidRPr="008C471E">
            <w:rPr>
              <w:rStyle w:val="Estilo5"/>
              <w:rFonts w:cs="Times New Roman"/>
              <w:sz w:val="22"/>
            </w:rPr>
            <w:t>Línea de Investigación Contabilidad y Estado</w:t>
          </w:r>
        </w:sdtContent>
      </w:sdt>
      <w:bookmarkEnd w:id="19"/>
      <w:r w:rsidR="006212BE" w:rsidRPr="008C471E">
        <w:rPr>
          <w:rFonts w:cs="Times New Roman"/>
          <w:sz w:val="22"/>
        </w:rPr>
        <w:t>.</w:t>
      </w:r>
      <w:bookmarkEnd w:id="20"/>
      <w:r w:rsidR="00672B85" w:rsidRPr="008C471E">
        <w:rPr>
          <w:rFonts w:cs="Times New Roman"/>
          <w:sz w:val="22"/>
        </w:rPr>
        <w:t xml:space="preserve">  </w:t>
      </w:r>
    </w:p>
    <w:p w14:paraId="103FAB85" w14:textId="77777777" w:rsidR="008C471E" w:rsidRDefault="008C471E" w:rsidP="008C471E">
      <w:pPr>
        <w:spacing w:line="240" w:lineRule="auto"/>
        <w:jc w:val="left"/>
        <w:rPr>
          <w:rFonts w:cs="Times New Roman"/>
          <w:sz w:val="22"/>
        </w:rPr>
      </w:pPr>
    </w:p>
    <w:p w14:paraId="5830FF4A" w14:textId="77777777" w:rsidR="008C471E" w:rsidRPr="008C471E" w:rsidRDefault="008C471E" w:rsidP="008C471E">
      <w:pPr>
        <w:spacing w:line="240" w:lineRule="auto"/>
        <w:jc w:val="left"/>
        <w:rPr>
          <w:rFonts w:cs="Times New Roman"/>
          <w:sz w:val="22"/>
        </w:rPr>
      </w:pPr>
    </w:p>
    <w:bookmarkEnd w:id="12"/>
    <w:bookmarkEnd w:id="16"/>
    <w:p w14:paraId="10254B99" w14:textId="77777777" w:rsidR="00E4042C" w:rsidRPr="008C471E" w:rsidRDefault="00E4042C" w:rsidP="008C471E">
      <w:pPr>
        <w:spacing w:line="240" w:lineRule="auto"/>
        <w:jc w:val="left"/>
        <w:rPr>
          <w:rFonts w:cs="Times New Roman"/>
          <w:sz w:val="22"/>
        </w:rPr>
      </w:pPr>
    </w:p>
    <w:p w14:paraId="0A57BD3B" w14:textId="4BEBF221" w:rsidR="001910FD" w:rsidRDefault="005745C7" w:rsidP="008C471E">
      <w:pPr>
        <w:spacing w:line="240" w:lineRule="auto"/>
        <w:jc w:val="left"/>
        <w:rPr>
          <w:rFonts w:cs="Times New Roman"/>
          <w:sz w:val="22"/>
        </w:rPr>
      </w:pPr>
      <w:r w:rsidRPr="008C471E">
        <w:rPr>
          <w:rFonts w:cs="Times New Roman"/>
          <w:b/>
          <w:bCs/>
          <w:sz w:val="22"/>
        </w:rPr>
        <w:t>Declaración de inteligencia artificial:</w:t>
      </w:r>
      <w:r w:rsidRPr="008C471E">
        <w:rPr>
          <w:rFonts w:cs="Times New Roman"/>
          <w:sz w:val="22"/>
        </w:rPr>
        <w:t xml:space="preserve"> </w:t>
      </w:r>
      <w:r w:rsidR="00140CD7" w:rsidRPr="008C471E">
        <w:rPr>
          <w:rFonts w:cs="Times New Roman"/>
          <w:sz w:val="22"/>
        </w:rPr>
        <w:t>el o los autores de este trabajo de grado declaran que han utilizado herramientas de inteligencia artificial</w:t>
      </w:r>
      <w:r w:rsidR="00E408D4" w:rsidRPr="008C471E">
        <w:rPr>
          <w:rFonts w:cs="Times New Roman"/>
          <w:sz w:val="22"/>
        </w:rPr>
        <w:t xml:space="preserve"> (IA)</w:t>
      </w:r>
      <w:r w:rsidR="00140CD7" w:rsidRPr="008C471E">
        <w:rPr>
          <w:rFonts w:cs="Times New Roman"/>
          <w:sz w:val="22"/>
        </w:rPr>
        <w:t xml:space="preserve">, </w:t>
      </w:r>
      <w:r w:rsidR="00B83CA7" w:rsidRPr="008C471E">
        <w:rPr>
          <w:rFonts w:cs="Times New Roman"/>
          <w:sz w:val="22"/>
        </w:rPr>
        <w:t xml:space="preserve">tales </w:t>
      </w:r>
      <w:r w:rsidR="00140CD7" w:rsidRPr="008C471E">
        <w:rPr>
          <w:rFonts w:cs="Times New Roman"/>
          <w:sz w:val="22"/>
        </w:rPr>
        <w:t>como [</w:t>
      </w:r>
      <w:proofErr w:type="spellStart"/>
      <w:r w:rsidR="00140CD7" w:rsidRPr="008C471E">
        <w:rPr>
          <w:rFonts w:cs="Times New Roman"/>
          <w:sz w:val="22"/>
        </w:rPr>
        <w:t>ChatGPT</w:t>
      </w:r>
      <w:proofErr w:type="spellEnd"/>
      <w:r w:rsidR="00140CD7" w:rsidRPr="008C471E">
        <w:rPr>
          <w:rFonts w:cs="Times New Roman"/>
          <w:sz w:val="22"/>
        </w:rPr>
        <w:t xml:space="preserve">, Grammarly, </w:t>
      </w:r>
      <w:proofErr w:type="spellStart"/>
      <w:r w:rsidR="00140CD7" w:rsidRPr="008C471E">
        <w:rPr>
          <w:rFonts w:cs="Times New Roman"/>
          <w:sz w:val="22"/>
        </w:rPr>
        <w:t>Turnitin</w:t>
      </w:r>
      <w:proofErr w:type="spellEnd"/>
      <w:r w:rsidR="004A5790" w:rsidRPr="008C471E">
        <w:rPr>
          <w:rFonts w:cs="Times New Roman"/>
          <w:sz w:val="22"/>
        </w:rPr>
        <w:t xml:space="preserve">, </w:t>
      </w:r>
      <w:proofErr w:type="spellStart"/>
      <w:r w:rsidR="004A5790" w:rsidRPr="008C471E">
        <w:rPr>
          <w:rFonts w:cs="Times New Roman"/>
          <w:sz w:val="22"/>
        </w:rPr>
        <w:t>Copilot</w:t>
      </w:r>
      <w:proofErr w:type="spellEnd"/>
      <w:r w:rsidR="004A5790" w:rsidRPr="008C471E">
        <w:rPr>
          <w:rFonts w:cs="Times New Roman"/>
          <w:sz w:val="22"/>
        </w:rPr>
        <w:t>, Gemini</w:t>
      </w:r>
      <w:r w:rsidR="006B1F83" w:rsidRPr="008C471E">
        <w:rPr>
          <w:rFonts w:cs="Times New Roman"/>
          <w:sz w:val="22"/>
        </w:rPr>
        <w:t>, entre otras</w:t>
      </w:r>
      <w:r w:rsidR="00140CD7" w:rsidRPr="008C471E">
        <w:rPr>
          <w:rFonts w:cs="Times New Roman"/>
          <w:sz w:val="22"/>
        </w:rPr>
        <w:t>], de manera ética y responsable</w:t>
      </w:r>
      <w:r w:rsidR="002059F8" w:rsidRPr="008C471E">
        <w:rPr>
          <w:rFonts w:cs="Times New Roman"/>
          <w:sz w:val="22"/>
        </w:rPr>
        <w:t xml:space="preserve">, tal como se </w:t>
      </w:r>
      <w:r w:rsidR="00EF749B" w:rsidRPr="008C471E">
        <w:rPr>
          <w:rFonts w:cs="Times New Roman"/>
          <w:sz w:val="22"/>
        </w:rPr>
        <w:t xml:space="preserve">establece en el Acuerdo </w:t>
      </w:r>
      <w:proofErr w:type="spellStart"/>
      <w:r w:rsidR="00E408D4" w:rsidRPr="008C471E">
        <w:rPr>
          <w:rFonts w:cs="Times New Roman"/>
          <w:sz w:val="22"/>
        </w:rPr>
        <w:t>UManizales</w:t>
      </w:r>
      <w:proofErr w:type="spellEnd"/>
      <w:r w:rsidR="00E408D4" w:rsidRPr="008C471E">
        <w:rPr>
          <w:rFonts w:cs="Times New Roman"/>
          <w:sz w:val="22"/>
        </w:rPr>
        <w:t xml:space="preserve"> </w:t>
      </w:r>
      <w:r w:rsidR="00EF749B" w:rsidRPr="008C471E">
        <w:rPr>
          <w:rFonts w:cs="Times New Roman"/>
          <w:sz w:val="22"/>
        </w:rPr>
        <w:t xml:space="preserve">002 (julio 26 de 2023) sobre propiedad intelectual e </w:t>
      </w:r>
      <w:r w:rsidR="00E408D4" w:rsidRPr="008C471E">
        <w:rPr>
          <w:rFonts w:cs="Times New Roman"/>
          <w:sz w:val="22"/>
        </w:rPr>
        <w:t>IA</w:t>
      </w:r>
      <w:r w:rsidR="00140CD7" w:rsidRPr="008C471E">
        <w:rPr>
          <w:rFonts w:cs="Times New Roman"/>
          <w:sz w:val="22"/>
        </w:rPr>
        <w:t xml:space="preserve">. Estas herramientas </w:t>
      </w:r>
      <w:r w:rsidR="00255A01" w:rsidRPr="008C471E">
        <w:rPr>
          <w:rFonts w:cs="Times New Roman"/>
          <w:sz w:val="22"/>
        </w:rPr>
        <w:t>son</w:t>
      </w:r>
      <w:r w:rsidR="00140CD7" w:rsidRPr="008C471E">
        <w:rPr>
          <w:rFonts w:cs="Times New Roman"/>
          <w:sz w:val="22"/>
        </w:rPr>
        <w:t xml:space="preserve"> empleadas como apoyo en la redacción, revisión gramatical y generación de ideas, pero en ningún caso sustituye</w:t>
      </w:r>
      <w:r w:rsidR="006E243D" w:rsidRPr="008C471E">
        <w:rPr>
          <w:rFonts w:cs="Times New Roman"/>
          <w:sz w:val="22"/>
        </w:rPr>
        <w:t>n</w:t>
      </w:r>
      <w:r w:rsidR="00140CD7" w:rsidRPr="008C471E">
        <w:rPr>
          <w:rFonts w:cs="Times New Roman"/>
          <w:sz w:val="22"/>
        </w:rPr>
        <w:t xml:space="preserve"> el análisis crítico, la argumentación académica ni la originalidad del trabajo. Asimismo, cualquier contenido generado con asistencia de IA </w:t>
      </w:r>
      <w:r w:rsidR="00A7330C" w:rsidRPr="008C471E">
        <w:rPr>
          <w:rFonts w:cs="Times New Roman"/>
          <w:sz w:val="22"/>
        </w:rPr>
        <w:t>está</w:t>
      </w:r>
      <w:r w:rsidR="00140CD7" w:rsidRPr="008C471E">
        <w:rPr>
          <w:rFonts w:cs="Times New Roman"/>
          <w:sz w:val="22"/>
        </w:rPr>
        <w:t xml:space="preserve"> </w:t>
      </w:r>
      <w:r w:rsidR="00C736EF" w:rsidRPr="008C471E">
        <w:rPr>
          <w:rFonts w:cs="Times New Roman"/>
          <w:sz w:val="22"/>
        </w:rPr>
        <w:t xml:space="preserve">citado y </w:t>
      </w:r>
      <w:r w:rsidR="00140CD7" w:rsidRPr="008C471E">
        <w:rPr>
          <w:rFonts w:cs="Times New Roman"/>
          <w:sz w:val="22"/>
        </w:rPr>
        <w:t xml:space="preserve">referenciado </w:t>
      </w:r>
      <w:r w:rsidR="00DE5E4B" w:rsidRPr="008C471E">
        <w:rPr>
          <w:rFonts w:cs="Times New Roman"/>
          <w:sz w:val="22"/>
        </w:rPr>
        <w:t>adecuadamente</w:t>
      </w:r>
      <w:r w:rsidR="00140CD7" w:rsidRPr="008C471E">
        <w:rPr>
          <w:rFonts w:cs="Times New Roman"/>
          <w:sz w:val="22"/>
        </w:rPr>
        <w:t>, garantizando la integridad académica y el cumplimiento de los principios éticos de la investigación.</w:t>
      </w:r>
    </w:p>
    <w:p w14:paraId="050B4C86" w14:textId="77777777" w:rsidR="008C471E" w:rsidRDefault="008C471E" w:rsidP="008C471E">
      <w:pPr>
        <w:spacing w:line="240" w:lineRule="auto"/>
        <w:jc w:val="left"/>
        <w:rPr>
          <w:rFonts w:cs="Times New Roman"/>
          <w:sz w:val="22"/>
        </w:rPr>
      </w:pPr>
    </w:p>
    <w:p w14:paraId="325AAB89" w14:textId="77777777" w:rsidR="008C471E" w:rsidRPr="008C471E" w:rsidRDefault="008C471E" w:rsidP="008C471E">
      <w:pPr>
        <w:spacing w:line="240" w:lineRule="auto"/>
        <w:jc w:val="left"/>
        <w:rPr>
          <w:rFonts w:cs="Times New Roman"/>
          <w:sz w:val="22"/>
        </w:rPr>
      </w:pPr>
    </w:p>
    <w:p w14:paraId="7B54EACC" w14:textId="77777777" w:rsidR="001910FD" w:rsidRPr="008C471E" w:rsidRDefault="001910FD" w:rsidP="008C471E">
      <w:pPr>
        <w:spacing w:line="240" w:lineRule="auto"/>
        <w:jc w:val="left"/>
        <w:rPr>
          <w:rFonts w:cs="Times New Roman"/>
          <w:sz w:val="22"/>
        </w:rPr>
      </w:pPr>
    </w:p>
    <w:p w14:paraId="074BA834" w14:textId="2947E157" w:rsidR="00CE55A5" w:rsidRPr="008C471E" w:rsidRDefault="00011DAD" w:rsidP="008C471E">
      <w:pPr>
        <w:spacing w:line="240" w:lineRule="auto"/>
        <w:jc w:val="left"/>
        <w:rPr>
          <w:rFonts w:cs="Times New Roman"/>
          <w:b/>
          <w:bCs/>
          <w:sz w:val="22"/>
        </w:rPr>
      </w:pPr>
      <w:r w:rsidRPr="008C471E">
        <w:rPr>
          <w:rFonts w:cs="Times New Roman"/>
          <w:b/>
          <w:bCs/>
          <w:sz w:val="22"/>
        </w:rPr>
        <w:t xml:space="preserve">Biblioteca </w:t>
      </w:r>
      <w:r w:rsidR="00E4042C" w:rsidRPr="008C471E">
        <w:rPr>
          <w:rFonts w:cs="Times New Roman"/>
          <w:b/>
          <w:bCs/>
          <w:sz w:val="22"/>
        </w:rPr>
        <w:t xml:space="preserve">y Centro de </w:t>
      </w:r>
      <w:r w:rsidR="00627CB2" w:rsidRPr="008C471E">
        <w:rPr>
          <w:rFonts w:cs="Times New Roman"/>
          <w:b/>
          <w:bCs/>
          <w:sz w:val="22"/>
        </w:rPr>
        <w:t>Recursos</w:t>
      </w:r>
      <w:r w:rsidR="005564C4" w:rsidRPr="008C471E">
        <w:rPr>
          <w:rFonts w:cs="Times New Roman"/>
          <w:sz w:val="22"/>
        </w:rPr>
        <w:t>: https://biblioteca.umanizales.edu.co/</w:t>
      </w:r>
      <w:bookmarkStart w:id="21" w:name="_Hlk66966829"/>
      <w:bookmarkStart w:id="22" w:name="_Hlk65432254"/>
      <w:bookmarkStart w:id="23" w:name="_Hlk64031990"/>
      <w:bookmarkEnd w:id="17"/>
    </w:p>
    <w:bookmarkEnd w:id="21"/>
    <w:p w14:paraId="4CC23848" w14:textId="7DF416FC" w:rsidR="005D39CA" w:rsidRPr="008C471E" w:rsidRDefault="005D39CA" w:rsidP="008C471E">
      <w:pPr>
        <w:spacing w:line="240" w:lineRule="auto"/>
        <w:jc w:val="left"/>
        <w:rPr>
          <w:rFonts w:cs="Times New Roman"/>
          <w:sz w:val="22"/>
        </w:rPr>
      </w:pPr>
      <w:r w:rsidRPr="008C471E">
        <w:rPr>
          <w:rFonts w:cs="Times New Roman"/>
          <w:b/>
          <w:bCs/>
          <w:sz w:val="22"/>
        </w:rPr>
        <w:t>Repositorio Institucional:</w:t>
      </w:r>
      <w:r w:rsidRPr="008C471E">
        <w:rPr>
          <w:rFonts w:cs="Times New Roman"/>
          <w:sz w:val="22"/>
        </w:rPr>
        <w:t xml:space="preserve"> </w:t>
      </w:r>
      <w:r w:rsidR="00F22DD0" w:rsidRPr="008C471E">
        <w:rPr>
          <w:rFonts w:cs="Times New Roman"/>
          <w:sz w:val="22"/>
        </w:rPr>
        <w:t xml:space="preserve">http://ridum.umanizales.edu.co/ </w:t>
      </w:r>
    </w:p>
    <w:p w14:paraId="569ADE1A" w14:textId="6FE9E0E0" w:rsidR="004400C8" w:rsidRPr="008C471E" w:rsidRDefault="004400C8" w:rsidP="008C471E">
      <w:pPr>
        <w:spacing w:line="240" w:lineRule="auto"/>
        <w:jc w:val="left"/>
        <w:rPr>
          <w:rFonts w:cs="Times New Roman"/>
          <w:sz w:val="22"/>
        </w:rPr>
      </w:pPr>
      <w:r w:rsidRPr="008C471E">
        <w:rPr>
          <w:rFonts w:cs="Times New Roman"/>
          <w:b/>
          <w:bCs/>
          <w:sz w:val="22"/>
        </w:rPr>
        <w:t xml:space="preserve">Universidad de </w:t>
      </w:r>
      <w:r w:rsidR="21181A3B" w:rsidRPr="008C471E">
        <w:rPr>
          <w:rFonts w:cs="Times New Roman"/>
          <w:b/>
          <w:bCs/>
          <w:sz w:val="22"/>
        </w:rPr>
        <w:t>Manizales</w:t>
      </w:r>
      <w:r w:rsidR="000B58FD" w:rsidRPr="008C471E">
        <w:rPr>
          <w:rFonts w:cs="Times New Roman"/>
          <w:b/>
          <w:bCs/>
          <w:sz w:val="22"/>
        </w:rPr>
        <w:t>:</w:t>
      </w:r>
      <w:r w:rsidR="21181A3B" w:rsidRPr="008C471E">
        <w:rPr>
          <w:rFonts w:cs="Times New Roman"/>
          <w:sz w:val="22"/>
        </w:rPr>
        <w:t xml:space="preserve"> </w:t>
      </w:r>
      <w:r w:rsidR="00F22DD0" w:rsidRPr="008C471E">
        <w:rPr>
          <w:rFonts w:cs="Times New Roman"/>
          <w:sz w:val="22"/>
        </w:rPr>
        <w:t xml:space="preserve">www.umanizales.edu.co </w:t>
      </w:r>
    </w:p>
    <w:p w14:paraId="1CF6AE8C" w14:textId="638C6A49" w:rsidR="00D55FB2" w:rsidRPr="008C471E" w:rsidRDefault="00D55FB2" w:rsidP="008C471E">
      <w:pPr>
        <w:spacing w:line="240" w:lineRule="auto"/>
        <w:jc w:val="left"/>
        <w:rPr>
          <w:rFonts w:cs="Times New Roman"/>
          <w:sz w:val="22"/>
        </w:rPr>
      </w:pPr>
      <w:r w:rsidRPr="008C471E">
        <w:rPr>
          <w:rFonts w:cs="Times New Roman"/>
          <w:b/>
          <w:bCs/>
          <w:sz w:val="22"/>
        </w:rPr>
        <w:t>Revistas:</w:t>
      </w:r>
      <w:r w:rsidRPr="008C471E">
        <w:rPr>
          <w:rFonts w:cs="Times New Roman"/>
          <w:sz w:val="22"/>
        </w:rPr>
        <w:t xml:space="preserve"> http://revistasum.umanizales.edu.co/</w:t>
      </w:r>
    </w:p>
    <w:p w14:paraId="4E708017" w14:textId="57F5D5A1" w:rsidR="00B148EA" w:rsidRDefault="004728F9" w:rsidP="008C471E">
      <w:pPr>
        <w:spacing w:line="240" w:lineRule="auto"/>
        <w:jc w:val="left"/>
        <w:rPr>
          <w:rFonts w:cs="Times New Roman"/>
          <w:sz w:val="22"/>
        </w:rPr>
      </w:pPr>
      <w:r w:rsidRPr="008C471E">
        <w:rPr>
          <w:rFonts w:cs="Times New Roman"/>
          <w:b/>
          <w:bCs/>
          <w:sz w:val="22"/>
        </w:rPr>
        <w:t xml:space="preserve">Fondo </w:t>
      </w:r>
      <w:r w:rsidR="009669AF" w:rsidRPr="008C471E">
        <w:rPr>
          <w:rFonts w:cs="Times New Roman"/>
          <w:b/>
          <w:bCs/>
          <w:sz w:val="22"/>
        </w:rPr>
        <w:t>Editorial:</w:t>
      </w:r>
      <w:r w:rsidR="009669AF" w:rsidRPr="008C471E">
        <w:rPr>
          <w:rFonts w:cs="Times New Roman"/>
          <w:sz w:val="22"/>
        </w:rPr>
        <w:t xml:space="preserve"> </w:t>
      </w:r>
      <w:hyperlink r:id="rId12" w:history="1">
        <w:r w:rsidR="008C471E" w:rsidRPr="00FA2719">
          <w:rPr>
            <w:rStyle w:val="Hipervnculo"/>
            <w:rFonts w:cs="Times New Roman"/>
            <w:sz w:val="22"/>
          </w:rPr>
          <w:t>https://editorialum.umanizales.edu.co/</w:t>
        </w:r>
      </w:hyperlink>
    </w:p>
    <w:p w14:paraId="76B56DE3" w14:textId="77777777" w:rsidR="008C471E" w:rsidRDefault="008C471E" w:rsidP="008C471E">
      <w:pPr>
        <w:spacing w:line="240" w:lineRule="auto"/>
        <w:jc w:val="left"/>
        <w:rPr>
          <w:rFonts w:cs="Times New Roman"/>
          <w:sz w:val="22"/>
        </w:rPr>
      </w:pPr>
    </w:p>
    <w:p w14:paraId="6D066167" w14:textId="77777777" w:rsidR="008C471E" w:rsidRPr="008C471E" w:rsidRDefault="008C471E" w:rsidP="008C471E">
      <w:pPr>
        <w:spacing w:line="240" w:lineRule="auto"/>
        <w:jc w:val="left"/>
        <w:rPr>
          <w:rFonts w:cs="Times New Roman"/>
          <w:sz w:val="22"/>
        </w:rPr>
      </w:pPr>
    </w:p>
    <w:p w14:paraId="7F5BD47F" w14:textId="77777777" w:rsidR="00F85DF7" w:rsidRPr="008C471E" w:rsidRDefault="00F85DF7" w:rsidP="008C471E">
      <w:pPr>
        <w:spacing w:line="240" w:lineRule="auto"/>
        <w:jc w:val="left"/>
        <w:rPr>
          <w:rFonts w:cs="Times New Roman"/>
          <w:sz w:val="22"/>
        </w:rPr>
      </w:pPr>
    </w:p>
    <w:p w14:paraId="57B42195" w14:textId="6F5E06DE" w:rsidR="0034710F" w:rsidRPr="008C471E" w:rsidRDefault="00C51917" w:rsidP="008C471E">
      <w:pPr>
        <w:spacing w:line="240" w:lineRule="auto"/>
        <w:ind w:firstLine="720"/>
        <w:jc w:val="left"/>
        <w:rPr>
          <w:rFonts w:cs="Times New Roman"/>
          <w:sz w:val="22"/>
        </w:rPr>
      </w:pPr>
      <w:r w:rsidRPr="008C471E">
        <w:rPr>
          <w:rFonts w:cs="Times New Roman"/>
          <w:sz w:val="22"/>
        </w:rPr>
        <w:t xml:space="preserve">El contenido de </w:t>
      </w:r>
      <w:r w:rsidR="00082F5C" w:rsidRPr="008C471E">
        <w:rPr>
          <w:rFonts w:cs="Times New Roman"/>
          <w:sz w:val="22"/>
        </w:rPr>
        <w:t>esta obra</w:t>
      </w:r>
      <w:r w:rsidRPr="008C471E">
        <w:rPr>
          <w:rFonts w:cs="Times New Roman"/>
          <w:sz w:val="22"/>
        </w:rPr>
        <w:t xml:space="preserve"> corresponde al derecho de expresión de los autores y no compromete el pensamiento institucional</w:t>
      </w:r>
      <w:r w:rsidR="00082F5C" w:rsidRPr="008C471E">
        <w:rPr>
          <w:rFonts w:cs="Times New Roman"/>
          <w:sz w:val="22"/>
        </w:rPr>
        <w:t xml:space="preserve"> </w:t>
      </w:r>
      <w:r w:rsidRPr="008C471E">
        <w:rPr>
          <w:rFonts w:cs="Times New Roman"/>
          <w:sz w:val="22"/>
        </w:rPr>
        <w:t xml:space="preserve">de la Universidad de </w:t>
      </w:r>
      <w:r w:rsidR="00F22DD0" w:rsidRPr="008C471E">
        <w:rPr>
          <w:rFonts w:cs="Times New Roman"/>
          <w:sz w:val="22"/>
        </w:rPr>
        <w:t>Manizales</w:t>
      </w:r>
      <w:r w:rsidRPr="008C471E">
        <w:rPr>
          <w:rFonts w:cs="Times New Roman"/>
          <w:sz w:val="22"/>
        </w:rPr>
        <w:t xml:space="preserve"> ni desata su responsabilidad</w:t>
      </w:r>
      <w:r w:rsidR="00082F5C" w:rsidRPr="008C471E">
        <w:rPr>
          <w:rFonts w:cs="Times New Roman"/>
          <w:sz w:val="22"/>
        </w:rPr>
        <w:t xml:space="preserve"> </w:t>
      </w:r>
      <w:r w:rsidRPr="008C471E">
        <w:rPr>
          <w:rFonts w:cs="Times New Roman"/>
          <w:sz w:val="22"/>
        </w:rPr>
        <w:t>frente a terceros. Los autores asumen la</w:t>
      </w:r>
      <w:r w:rsidR="00082F5C" w:rsidRPr="008C471E">
        <w:rPr>
          <w:rFonts w:cs="Times New Roman"/>
          <w:sz w:val="22"/>
        </w:rPr>
        <w:t xml:space="preserve"> </w:t>
      </w:r>
      <w:r w:rsidRPr="008C471E">
        <w:rPr>
          <w:rFonts w:cs="Times New Roman"/>
          <w:sz w:val="22"/>
        </w:rPr>
        <w:t>responsabilidad por los</w:t>
      </w:r>
      <w:r w:rsidR="00082F5C" w:rsidRPr="008C471E">
        <w:rPr>
          <w:rFonts w:cs="Times New Roman"/>
          <w:sz w:val="22"/>
        </w:rPr>
        <w:t xml:space="preserve"> </w:t>
      </w:r>
      <w:r w:rsidRPr="008C471E">
        <w:rPr>
          <w:rFonts w:cs="Times New Roman"/>
          <w:sz w:val="22"/>
        </w:rPr>
        <w:t>derechos de autor y conexos</w:t>
      </w:r>
      <w:r w:rsidR="00082F5C" w:rsidRPr="008C471E">
        <w:rPr>
          <w:rFonts w:cs="Times New Roman"/>
          <w:sz w:val="22"/>
        </w:rPr>
        <w:t>.</w:t>
      </w:r>
      <w:bookmarkEnd w:id="11"/>
      <w:bookmarkEnd w:id="18"/>
      <w:bookmarkEnd w:id="22"/>
      <w:bookmarkEnd w:id="23"/>
    </w:p>
    <w:p w14:paraId="347941BF" w14:textId="77777777" w:rsidR="0034710F" w:rsidRPr="006177E4" w:rsidRDefault="0034710F" w:rsidP="00263B16">
      <w:pPr>
        <w:spacing w:line="480" w:lineRule="auto"/>
        <w:jc w:val="center"/>
        <w:rPr>
          <w:rFonts w:cs="Times New Roman"/>
          <w:b/>
          <w:szCs w:val="24"/>
        </w:rPr>
        <w:sectPr w:rsidR="0034710F" w:rsidRPr="006177E4" w:rsidSect="00F913E9">
          <w:footerReference w:type="even" r:id="rId13"/>
          <w:footerReference w:type="default" r:id="rId14"/>
          <w:footerReference w:type="first" r:id="rId15"/>
          <w:pgSz w:w="12240" w:h="15840"/>
          <w:pgMar w:top="1440" w:right="1440" w:bottom="1440" w:left="1440" w:header="709" w:footer="709" w:gutter="0"/>
          <w:cols w:space="708"/>
          <w:docGrid w:linePitch="360"/>
        </w:sectPr>
      </w:pPr>
    </w:p>
    <w:p w14:paraId="0AC83E73" w14:textId="3F3C8FFC" w:rsidR="000511AB" w:rsidRPr="006177E4" w:rsidRDefault="00A0794E" w:rsidP="00263B16">
      <w:pPr>
        <w:spacing w:line="480" w:lineRule="auto"/>
        <w:jc w:val="center"/>
        <w:rPr>
          <w:rFonts w:cs="Times New Roman"/>
          <w:szCs w:val="24"/>
        </w:rPr>
      </w:pPr>
      <w:r w:rsidRPr="006177E4">
        <w:rPr>
          <w:rFonts w:cs="Times New Roman"/>
          <w:b/>
          <w:szCs w:val="24"/>
        </w:rPr>
        <w:lastRenderedPageBreak/>
        <w:t>Dedicatoria</w:t>
      </w:r>
    </w:p>
    <w:p w14:paraId="5446345B" w14:textId="77777777" w:rsidR="00942AFF" w:rsidRDefault="00B84731" w:rsidP="008C471E">
      <w:pPr>
        <w:pStyle w:val="PrrAPA"/>
        <w:rPr>
          <w:b/>
          <w:u w:color="000000"/>
          <w:lang w:val="es-ES_tradnl"/>
        </w:rPr>
      </w:pPr>
      <w:r w:rsidRPr="006177E4">
        <w:rPr>
          <w:u w:color="000000"/>
          <w:lang w:val="es-ES_tradnl"/>
        </w:rPr>
        <w:t xml:space="preserve">A Dios, porque él me ha guiado en todo este viaje académico, me ha dado las fuerzas para perseverar, mi roca eterna, el gozo de mi corazón y la fortaleza de mi alma. A mi hija María Paula, porque por ella y para ella vivo y siempre me ha brindado su apoyo y su paciencia cuando tengo que viajar cada mes a mis clases y se queda sola con sus abuelitos esperándome en casa. A mis padres que desde siempre me han apoyado en todo para que yo cumpla mis sueños y trabaje en ellos. A los docentes, en especial al profesor Orlando Posada Orrego, </w:t>
      </w:r>
      <w:proofErr w:type="spellStart"/>
      <w:proofErr w:type="gramStart"/>
      <w:r w:rsidRPr="006177E4">
        <w:rPr>
          <w:u w:color="000000"/>
          <w:lang w:val="es-ES_tradnl"/>
        </w:rPr>
        <w:t>Ph.D</w:t>
      </w:r>
      <w:proofErr w:type="spellEnd"/>
      <w:proofErr w:type="gramEnd"/>
      <w:r w:rsidRPr="006177E4">
        <w:rPr>
          <w:u w:color="000000"/>
          <w:lang w:val="es-ES_tradnl"/>
        </w:rPr>
        <w:t>, quien con su paciencia, dedicación y profesionalismo me ha guiado en este proceso académico. A mis compañeros de estudio, porque hemos sido un gran equipo de trabajo, fortaleciéndose lazos de amistad y de convivencia en los viajes realizados a la cuidad de Manizales</w:t>
      </w:r>
      <w:r w:rsidRPr="006177E4">
        <w:rPr>
          <w:b/>
          <w:u w:color="000000"/>
          <w:lang w:val="es-ES_tradnl"/>
        </w:rPr>
        <w:t>.</w:t>
      </w:r>
    </w:p>
    <w:p w14:paraId="2587DB0C" w14:textId="77777777" w:rsidR="00942AFF" w:rsidRDefault="00B84731" w:rsidP="00263B16">
      <w:pPr>
        <w:spacing w:line="480" w:lineRule="auto"/>
        <w:jc w:val="center"/>
        <w:rPr>
          <w:rFonts w:cs="Times New Roman"/>
          <w:b/>
          <w:color w:val="000000" w:themeColor="text1"/>
          <w:szCs w:val="24"/>
          <w:u w:color="000000"/>
          <w:lang w:val="es-ES_tradnl"/>
        </w:rPr>
      </w:pPr>
      <w:r w:rsidRPr="006177E4">
        <w:rPr>
          <w:rFonts w:cs="Times New Roman"/>
          <w:szCs w:val="24"/>
        </w:rPr>
        <w:t>Luz Dary Acero Acosta</w:t>
      </w:r>
    </w:p>
    <w:p w14:paraId="14F57593" w14:textId="2ED7BD59" w:rsidR="00D924D3" w:rsidRPr="00942AFF" w:rsidRDefault="00D924D3" w:rsidP="008C471E">
      <w:pPr>
        <w:pStyle w:val="PrrAPA"/>
        <w:rPr>
          <w:b/>
          <w:color w:val="000000" w:themeColor="text1"/>
          <w:u w:color="000000"/>
          <w:lang w:val="es-ES_tradnl"/>
        </w:rPr>
      </w:pPr>
      <w:r w:rsidRPr="006177E4">
        <w:t>A Dios, por la vida, la salud, la protección y guía que me brindó en este reto académico. A mi amada familia, soporte incondicional en mi vida</w:t>
      </w:r>
      <w:r w:rsidR="002679D4" w:rsidRPr="006177E4">
        <w:t>,</w:t>
      </w:r>
      <w:r w:rsidR="00363F99" w:rsidRPr="006177E4">
        <w:t xml:space="preserve"> </w:t>
      </w:r>
      <w:r w:rsidR="002679D4" w:rsidRPr="006177E4">
        <w:t xml:space="preserve">a </w:t>
      </w:r>
      <w:r w:rsidR="00363F99" w:rsidRPr="006177E4">
        <w:t>mis padres</w:t>
      </w:r>
      <w:r w:rsidR="002679D4" w:rsidRPr="006177E4">
        <w:t xml:space="preserve"> </w:t>
      </w:r>
      <w:r w:rsidR="00363F99" w:rsidRPr="006177E4">
        <w:t xml:space="preserve">Dora Esperanza y Víctor </w:t>
      </w:r>
      <w:r w:rsidR="00FE2586" w:rsidRPr="006177E4">
        <w:t>Julio</w:t>
      </w:r>
      <w:r w:rsidR="00363F99" w:rsidRPr="006177E4">
        <w:t xml:space="preserve">, por su amor infinito, sus sacrificios y esfuerzo, </w:t>
      </w:r>
      <w:r w:rsidR="007F778A" w:rsidRPr="006177E4">
        <w:t xml:space="preserve">los cuales me permiten </w:t>
      </w:r>
      <w:r w:rsidR="00FE2586" w:rsidRPr="006177E4">
        <w:t xml:space="preserve">llegar hasta aquí y </w:t>
      </w:r>
      <w:r w:rsidR="007F778A" w:rsidRPr="006177E4">
        <w:t xml:space="preserve">obtener mi título de </w:t>
      </w:r>
      <w:r w:rsidR="002679D4" w:rsidRPr="006177E4">
        <w:t>magíster, a</w:t>
      </w:r>
      <w:r w:rsidR="00363F99" w:rsidRPr="006177E4">
        <w:t xml:space="preserve"> mi hermano </w:t>
      </w:r>
      <w:r w:rsidR="007F778A" w:rsidRPr="006177E4">
        <w:t>Víctor</w:t>
      </w:r>
      <w:r w:rsidR="00363F99" w:rsidRPr="006177E4">
        <w:t xml:space="preserve"> Javier por su amor</w:t>
      </w:r>
      <w:r w:rsidR="007F778A" w:rsidRPr="006177E4">
        <w:t xml:space="preserve"> y</w:t>
      </w:r>
      <w:r w:rsidR="00363F99" w:rsidRPr="006177E4">
        <w:t xml:space="preserve"> apoyo</w:t>
      </w:r>
      <w:r w:rsidR="007F778A" w:rsidRPr="006177E4">
        <w:t>. A mis compañeros de estudio y amigos, por su colaboración y amistad incondicional</w:t>
      </w:r>
      <w:r w:rsidR="002679D4" w:rsidRPr="006177E4">
        <w:t>. A los profesores por sus enseñanzas, por las experiencias y las lecciones que me han formado.</w:t>
      </w:r>
    </w:p>
    <w:p w14:paraId="470FFB76" w14:textId="7DAC6541" w:rsidR="00810CD5" w:rsidRPr="006177E4" w:rsidRDefault="00810CD5" w:rsidP="00263B16">
      <w:pPr>
        <w:spacing w:line="480" w:lineRule="auto"/>
        <w:jc w:val="center"/>
        <w:rPr>
          <w:rFonts w:cs="Times New Roman"/>
          <w:szCs w:val="24"/>
        </w:rPr>
      </w:pPr>
      <w:r w:rsidRPr="006177E4">
        <w:rPr>
          <w:rFonts w:cs="Times New Roman"/>
          <w:szCs w:val="24"/>
        </w:rPr>
        <w:t>Joana Marcela López Moya</w:t>
      </w:r>
    </w:p>
    <w:p w14:paraId="20B454EB" w14:textId="77777777" w:rsidR="00973658" w:rsidRPr="006177E4" w:rsidRDefault="00973658" w:rsidP="00263B16">
      <w:pPr>
        <w:spacing w:line="480" w:lineRule="auto"/>
        <w:rPr>
          <w:rFonts w:cs="Times New Roman"/>
          <w:szCs w:val="24"/>
        </w:rPr>
      </w:pPr>
    </w:p>
    <w:p w14:paraId="74EEB17B" w14:textId="77777777" w:rsidR="001E1DD5" w:rsidRPr="006177E4" w:rsidRDefault="001E1DD5" w:rsidP="00263B16">
      <w:pPr>
        <w:spacing w:line="480" w:lineRule="auto"/>
        <w:rPr>
          <w:rFonts w:cs="Times New Roman"/>
          <w:szCs w:val="24"/>
        </w:rPr>
      </w:pPr>
    </w:p>
    <w:p w14:paraId="0A15098E" w14:textId="70DC9B9C" w:rsidR="00AB050B" w:rsidRDefault="00AB050B" w:rsidP="00263B16">
      <w:pPr>
        <w:spacing w:line="480" w:lineRule="auto"/>
        <w:jc w:val="left"/>
        <w:rPr>
          <w:rFonts w:cs="Times New Roman"/>
          <w:szCs w:val="24"/>
        </w:rPr>
      </w:pPr>
    </w:p>
    <w:p w14:paraId="4187E3B0" w14:textId="77777777" w:rsidR="00942AFF" w:rsidRPr="006177E4" w:rsidRDefault="00942AFF" w:rsidP="00263B16">
      <w:pPr>
        <w:spacing w:line="480" w:lineRule="auto"/>
        <w:jc w:val="left"/>
        <w:rPr>
          <w:rFonts w:cs="Times New Roman"/>
          <w:szCs w:val="24"/>
        </w:rPr>
      </w:pPr>
    </w:p>
    <w:p w14:paraId="07D53611" w14:textId="606A036A" w:rsidR="00A27781" w:rsidRDefault="00A27781" w:rsidP="00263B16">
      <w:pPr>
        <w:spacing w:line="480" w:lineRule="auto"/>
        <w:rPr>
          <w:rFonts w:cs="Times New Roman"/>
          <w:szCs w:val="24"/>
        </w:rPr>
      </w:pPr>
    </w:p>
    <w:sdt>
      <w:sdtPr>
        <w:rPr>
          <w:rFonts w:eastAsiaTheme="minorHAnsi" w:cstheme="minorBidi"/>
          <w:b w:val="0"/>
          <w:szCs w:val="22"/>
          <w:lang w:val="es-ES" w:eastAsia="en-US"/>
        </w:rPr>
        <w:id w:val="1851676864"/>
        <w:docPartObj>
          <w:docPartGallery w:val="Table of Contents"/>
          <w:docPartUnique/>
        </w:docPartObj>
      </w:sdtPr>
      <w:sdtEndPr>
        <w:rPr>
          <w:bCs/>
        </w:rPr>
      </w:sdtEndPr>
      <w:sdtContent>
        <w:p w14:paraId="7BCEE2AD" w14:textId="77777777" w:rsidR="008C471E" w:rsidRDefault="008C471E" w:rsidP="00263B16">
          <w:pPr>
            <w:pStyle w:val="TtuloTDC"/>
            <w:numPr>
              <w:ilvl w:val="0"/>
              <w:numId w:val="0"/>
            </w:numPr>
            <w:ind w:left="431" w:hanging="431"/>
            <w:rPr>
              <w:rFonts w:eastAsiaTheme="minorHAnsi" w:cstheme="minorBidi"/>
              <w:b w:val="0"/>
              <w:szCs w:val="22"/>
              <w:lang w:val="es-ES" w:eastAsia="en-US"/>
            </w:rPr>
          </w:pPr>
        </w:p>
        <w:p w14:paraId="4C7CD3FE" w14:textId="77777777" w:rsidR="008C471E" w:rsidRDefault="008C471E">
          <w:pPr>
            <w:spacing w:after="160" w:line="259" w:lineRule="auto"/>
            <w:jc w:val="left"/>
            <w:rPr>
              <w:lang w:val="es-ES"/>
            </w:rPr>
          </w:pPr>
          <w:r>
            <w:rPr>
              <w:b/>
              <w:lang w:val="es-ES"/>
            </w:rPr>
            <w:br w:type="page"/>
          </w:r>
        </w:p>
        <w:p w14:paraId="71A9FDE0" w14:textId="4ADAF1D8" w:rsidR="006D4587" w:rsidRDefault="006D4587" w:rsidP="00263B16">
          <w:pPr>
            <w:pStyle w:val="TtuloTDC"/>
            <w:numPr>
              <w:ilvl w:val="0"/>
              <w:numId w:val="0"/>
            </w:numPr>
            <w:ind w:left="431" w:hanging="431"/>
          </w:pPr>
          <w:r>
            <w:rPr>
              <w:lang w:val="es-ES"/>
            </w:rPr>
            <w:lastRenderedPageBreak/>
            <w:t>Tabla de contenido</w:t>
          </w:r>
        </w:p>
        <w:p w14:paraId="48A6D4B6" w14:textId="0762D60F" w:rsidR="00324DFC" w:rsidRDefault="00023831"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r>
            <w:fldChar w:fldCharType="begin"/>
          </w:r>
          <w:r>
            <w:instrText xml:space="preserve"> TOC \o "1-5" \h \z \u </w:instrText>
          </w:r>
          <w:r>
            <w:fldChar w:fldCharType="separate"/>
          </w:r>
          <w:hyperlink w:anchor="_Toc229077634" w:history="1">
            <w:r w:rsidR="00324DFC" w:rsidRPr="00FF11F1">
              <w:rPr>
                <w:rStyle w:val="Hipervnculo"/>
                <w:noProof/>
              </w:rPr>
              <w:t>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Introducción</w:t>
            </w:r>
            <w:r w:rsidR="00324DFC">
              <w:rPr>
                <w:noProof/>
                <w:webHidden/>
              </w:rPr>
              <w:tab/>
            </w:r>
            <w:r w:rsidR="00324DFC">
              <w:rPr>
                <w:noProof/>
                <w:webHidden/>
              </w:rPr>
              <w:fldChar w:fldCharType="begin"/>
            </w:r>
            <w:r w:rsidR="00324DFC">
              <w:rPr>
                <w:noProof/>
                <w:webHidden/>
              </w:rPr>
              <w:instrText xml:space="preserve"> PAGEREF _Toc229077634 \h </w:instrText>
            </w:r>
            <w:r w:rsidR="00324DFC">
              <w:rPr>
                <w:noProof/>
                <w:webHidden/>
              </w:rPr>
            </w:r>
            <w:r w:rsidR="00324DFC">
              <w:rPr>
                <w:noProof/>
                <w:webHidden/>
              </w:rPr>
              <w:fldChar w:fldCharType="separate"/>
            </w:r>
            <w:r w:rsidR="00CD3177">
              <w:rPr>
                <w:noProof/>
                <w:webHidden/>
              </w:rPr>
              <w:t>15</w:t>
            </w:r>
            <w:r w:rsidR="00324DFC">
              <w:rPr>
                <w:noProof/>
                <w:webHidden/>
              </w:rPr>
              <w:fldChar w:fldCharType="end"/>
            </w:r>
          </w:hyperlink>
        </w:p>
        <w:p w14:paraId="433B27A1" w14:textId="16EB8839"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35" w:history="1">
            <w:r w:rsidR="00324DFC" w:rsidRPr="00FF11F1">
              <w:rPr>
                <w:rStyle w:val="Hipervnculo"/>
                <w:noProof/>
              </w:rPr>
              <w:t>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Planteamiento del problema</w:t>
            </w:r>
            <w:r w:rsidR="00324DFC">
              <w:rPr>
                <w:noProof/>
                <w:webHidden/>
              </w:rPr>
              <w:tab/>
            </w:r>
            <w:r w:rsidR="00324DFC">
              <w:rPr>
                <w:noProof/>
                <w:webHidden/>
              </w:rPr>
              <w:fldChar w:fldCharType="begin"/>
            </w:r>
            <w:r w:rsidR="00324DFC">
              <w:rPr>
                <w:noProof/>
                <w:webHidden/>
              </w:rPr>
              <w:instrText xml:space="preserve"> PAGEREF _Toc229077635 \h </w:instrText>
            </w:r>
            <w:r w:rsidR="00324DFC">
              <w:rPr>
                <w:noProof/>
                <w:webHidden/>
              </w:rPr>
            </w:r>
            <w:r w:rsidR="00324DFC">
              <w:rPr>
                <w:noProof/>
                <w:webHidden/>
              </w:rPr>
              <w:fldChar w:fldCharType="separate"/>
            </w:r>
            <w:r w:rsidR="00CD3177">
              <w:rPr>
                <w:noProof/>
                <w:webHidden/>
              </w:rPr>
              <w:t>21</w:t>
            </w:r>
            <w:r w:rsidR="00324DFC">
              <w:rPr>
                <w:noProof/>
                <w:webHidden/>
              </w:rPr>
              <w:fldChar w:fldCharType="end"/>
            </w:r>
          </w:hyperlink>
        </w:p>
        <w:p w14:paraId="4F6C1957" w14:textId="727AB492"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36" w:history="1">
            <w:r w:rsidR="00324DFC" w:rsidRPr="00FF11F1">
              <w:rPr>
                <w:rStyle w:val="Hipervnculo"/>
                <w:noProof/>
              </w:rPr>
              <w:t>2.1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Formulación de la pregunta problema</w:t>
            </w:r>
            <w:r w:rsidR="00324DFC">
              <w:rPr>
                <w:noProof/>
                <w:webHidden/>
              </w:rPr>
              <w:tab/>
            </w:r>
            <w:r w:rsidR="00324DFC">
              <w:rPr>
                <w:noProof/>
                <w:webHidden/>
              </w:rPr>
              <w:fldChar w:fldCharType="begin"/>
            </w:r>
            <w:r w:rsidR="00324DFC">
              <w:rPr>
                <w:noProof/>
                <w:webHidden/>
              </w:rPr>
              <w:instrText xml:space="preserve"> PAGEREF _Toc229077636 \h </w:instrText>
            </w:r>
            <w:r w:rsidR="00324DFC">
              <w:rPr>
                <w:noProof/>
                <w:webHidden/>
              </w:rPr>
            </w:r>
            <w:r w:rsidR="00324DFC">
              <w:rPr>
                <w:noProof/>
                <w:webHidden/>
              </w:rPr>
              <w:fldChar w:fldCharType="separate"/>
            </w:r>
            <w:r w:rsidR="00CD3177">
              <w:rPr>
                <w:noProof/>
                <w:webHidden/>
              </w:rPr>
              <w:t>30</w:t>
            </w:r>
            <w:r w:rsidR="00324DFC">
              <w:rPr>
                <w:noProof/>
                <w:webHidden/>
              </w:rPr>
              <w:fldChar w:fldCharType="end"/>
            </w:r>
          </w:hyperlink>
        </w:p>
        <w:p w14:paraId="0114EDE2" w14:textId="6A43632E"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37" w:history="1">
            <w:r w:rsidR="00324DFC" w:rsidRPr="00FF11F1">
              <w:rPr>
                <w:rStyle w:val="Hipervnculo"/>
                <w:noProof/>
              </w:rPr>
              <w:t>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Justificación</w:t>
            </w:r>
            <w:r w:rsidR="00324DFC">
              <w:rPr>
                <w:noProof/>
                <w:webHidden/>
              </w:rPr>
              <w:tab/>
            </w:r>
            <w:r w:rsidR="00324DFC">
              <w:rPr>
                <w:noProof/>
                <w:webHidden/>
              </w:rPr>
              <w:fldChar w:fldCharType="begin"/>
            </w:r>
            <w:r w:rsidR="00324DFC">
              <w:rPr>
                <w:noProof/>
                <w:webHidden/>
              </w:rPr>
              <w:instrText xml:space="preserve"> PAGEREF _Toc229077637 \h </w:instrText>
            </w:r>
            <w:r w:rsidR="00324DFC">
              <w:rPr>
                <w:noProof/>
                <w:webHidden/>
              </w:rPr>
            </w:r>
            <w:r w:rsidR="00324DFC">
              <w:rPr>
                <w:noProof/>
                <w:webHidden/>
              </w:rPr>
              <w:fldChar w:fldCharType="separate"/>
            </w:r>
            <w:r w:rsidR="00CD3177">
              <w:rPr>
                <w:noProof/>
                <w:webHidden/>
              </w:rPr>
              <w:t>31</w:t>
            </w:r>
            <w:r w:rsidR="00324DFC">
              <w:rPr>
                <w:noProof/>
                <w:webHidden/>
              </w:rPr>
              <w:fldChar w:fldCharType="end"/>
            </w:r>
          </w:hyperlink>
        </w:p>
        <w:p w14:paraId="1AF6B153" w14:textId="700DDF84"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38" w:history="1">
            <w:r w:rsidR="00324DFC" w:rsidRPr="00FF11F1">
              <w:rPr>
                <w:rStyle w:val="Hipervnculo"/>
                <w:noProof/>
              </w:rPr>
              <w:t>4</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Objetivos</w:t>
            </w:r>
            <w:r w:rsidR="00324DFC">
              <w:rPr>
                <w:noProof/>
                <w:webHidden/>
              </w:rPr>
              <w:tab/>
            </w:r>
            <w:r w:rsidR="00324DFC">
              <w:rPr>
                <w:noProof/>
                <w:webHidden/>
              </w:rPr>
              <w:fldChar w:fldCharType="begin"/>
            </w:r>
            <w:r w:rsidR="00324DFC">
              <w:rPr>
                <w:noProof/>
                <w:webHidden/>
              </w:rPr>
              <w:instrText xml:space="preserve"> PAGEREF _Toc229077638 \h </w:instrText>
            </w:r>
            <w:r w:rsidR="00324DFC">
              <w:rPr>
                <w:noProof/>
                <w:webHidden/>
              </w:rPr>
            </w:r>
            <w:r w:rsidR="00324DFC">
              <w:rPr>
                <w:noProof/>
                <w:webHidden/>
              </w:rPr>
              <w:fldChar w:fldCharType="separate"/>
            </w:r>
            <w:r w:rsidR="00CD3177">
              <w:rPr>
                <w:noProof/>
                <w:webHidden/>
              </w:rPr>
              <w:t>33</w:t>
            </w:r>
            <w:r w:rsidR="00324DFC">
              <w:rPr>
                <w:noProof/>
                <w:webHidden/>
              </w:rPr>
              <w:fldChar w:fldCharType="end"/>
            </w:r>
          </w:hyperlink>
        </w:p>
        <w:p w14:paraId="04FD75CE" w14:textId="6A38D19F"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39" w:history="1">
            <w:r w:rsidR="00324DFC" w:rsidRPr="00FF11F1">
              <w:rPr>
                <w:rStyle w:val="Hipervnculo"/>
                <w:noProof/>
              </w:rPr>
              <w:t>4.1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Objetivo general</w:t>
            </w:r>
            <w:r w:rsidR="00324DFC">
              <w:rPr>
                <w:noProof/>
                <w:webHidden/>
              </w:rPr>
              <w:tab/>
            </w:r>
            <w:r w:rsidR="00324DFC">
              <w:rPr>
                <w:noProof/>
                <w:webHidden/>
              </w:rPr>
              <w:fldChar w:fldCharType="begin"/>
            </w:r>
            <w:r w:rsidR="00324DFC">
              <w:rPr>
                <w:noProof/>
                <w:webHidden/>
              </w:rPr>
              <w:instrText xml:space="preserve"> PAGEREF _Toc229077639 \h </w:instrText>
            </w:r>
            <w:r w:rsidR="00324DFC">
              <w:rPr>
                <w:noProof/>
                <w:webHidden/>
              </w:rPr>
            </w:r>
            <w:r w:rsidR="00324DFC">
              <w:rPr>
                <w:noProof/>
                <w:webHidden/>
              </w:rPr>
              <w:fldChar w:fldCharType="separate"/>
            </w:r>
            <w:r w:rsidR="00CD3177">
              <w:rPr>
                <w:noProof/>
                <w:webHidden/>
              </w:rPr>
              <w:t>33</w:t>
            </w:r>
            <w:r w:rsidR="00324DFC">
              <w:rPr>
                <w:noProof/>
                <w:webHidden/>
              </w:rPr>
              <w:fldChar w:fldCharType="end"/>
            </w:r>
          </w:hyperlink>
        </w:p>
        <w:p w14:paraId="0A9D04BE" w14:textId="35C2416E"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0" w:history="1">
            <w:r w:rsidR="00324DFC" w:rsidRPr="00FF11F1">
              <w:rPr>
                <w:rStyle w:val="Hipervnculo"/>
                <w:noProof/>
              </w:rPr>
              <w:t>4.2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Objetivos específicos</w:t>
            </w:r>
            <w:r w:rsidR="00324DFC">
              <w:rPr>
                <w:noProof/>
                <w:webHidden/>
              </w:rPr>
              <w:tab/>
            </w:r>
            <w:r w:rsidR="00324DFC">
              <w:rPr>
                <w:noProof/>
                <w:webHidden/>
              </w:rPr>
              <w:fldChar w:fldCharType="begin"/>
            </w:r>
            <w:r w:rsidR="00324DFC">
              <w:rPr>
                <w:noProof/>
                <w:webHidden/>
              </w:rPr>
              <w:instrText xml:space="preserve"> PAGEREF _Toc229077640 \h </w:instrText>
            </w:r>
            <w:r w:rsidR="00324DFC">
              <w:rPr>
                <w:noProof/>
                <w:webHidden/>
              </w:rPr>
            </w:r>
            <w:r w:rsidR="00324DFC">
              <w:rPr>
                <w:noProof/>
                <w:webHidden/>
              </w:rPr>
              <w:fldChar w:fldCharType="separate"/>
            </w:r>
            <w:r w:rsidR="00CD3177">
              <w:rPr>
                <w:noProof/>
                <w:webHidden/>
              </w:rPr>
              <w:t>33</w:t>
            </w:r>
            <w:r w:rsidR="00324DFC">
              <w:rPr>
                <w:noProof/>
                <w:webHidden/>
              </w:rPr>
              <w:fldChar w:fldCharType="end"/>
            </w:r>
          </w:hyperlink>
        </w:p>
        <w:p w14:paraId="44CB9EE3" w14:textId="6DD3D591"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1" w:history="1">
            <w:r w:rsidR="00324DFC" w:rsidRPr="00FF11F1">
              <w:rPr>
                <w:rStyle w:val="Hipervnculo"/>
                <w:noProof/>
              </w:rPr>
              <w:t>5</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Marco teórico</w:t>
            </w:r>
            <w:r w:rsidR="00324DFC">
              <w:rPr>
                <w:noProof/>
                <w:webHidden/>
              </w:rPr>
              <w:tab/>
            </w:r>
            <w:r w:rsidR="00324DFC">
              <w:rPr>
                <w:noProof/>
                <w:webHidden/>
              </w:rPr>
              <w:fldChar w:fldCharType="begin"/>
            </w:r>
            <w:r w:rsidR="00324DFC">
              <w:rPr>
                <w:noProof/>
                <w:webHidden/>
              </w:rPr>
              <w:instrText xml:space="preserve"> PAGEREF _Toc229077641 \h </w:instrText>
            </w:r>
            <w:r w:rsidR="00324DFC">
              <w:rPr>
                <w:noProof/>
                <w:webHidden/>
              </w:rPr>
            </w:r>
            <w:r w:rsidR="00324DFC">
              <w:rPr>
                <w:noProof/>
                <w:webHidden/>
              </w:rPr>
              <w:fldChar w:fldCharType="separate"/>
            </w:r>
            <w:r w:rsidR="00CD3177">
              <w:rPr>
                <w:noProof/>
                <w:webHidden/>
              </w:rPr>
              <w:t>34</w:t>
            </w:r>
            <w:r w:rsidR="00324DFC">
              <w:rPr>
                <w:noProof/>
                <w:webHidden/>
              </w:rPr>
              <w:fldChar w:fldCharType="end"/>
            </w:r>
          </w:hyperlink>
        </w:p>
        <w:p w14:paraId="529B52F4" w14:textId="24388F52"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2" w:history="1">
            <w:r w:rsidR="00324DFC" w:rsidRPr="00FF11F1">
              <w:rPr>
                <w:rStyle w:val="Hipervnculo"/>
                <w:noProof/>
              </w:rPr>
              <w:t>5.1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Marco Referencial</w:t>
            </w:r>
            <w:r w:rsidR="00324DFC">
              <w:rPr>
                <w:noProof/>
                <w:webHidden/>
              </w:rPr>
              <w:tab/>
            </w:r>
            <w:r w:rsidR="00324DFC">
              <w:rPr>
                <w:noProof/>
                <w:webHidden/>
              </w:rPr>
              <w:fldChar w:fldCharType="begin"/>
            </w:r>
            <w:r w:rsidR="00324DFC">
              <w:rPr>
                <w:noProof/>
                <w:webHidden/>
              </w:rPr>
              <w:instrText xml:space="preserve"> PAGEREF _Toc229077642 \h </w:instrText>
            </w:r>
            <w:r w:rsidR="00324DFC">
              <w:rPr>
                <w:noProof/>
                <w:webHidden/>
              </w:rPr>
            </w:r>
            <w:r w:rsidR="00324DFC">
              <w:rPr>
                <w:noProof/>
                <w:webHidden/>
              </w:rPr>
              <w:fldChar w:fldCharType="separate"/>
            </w:r>
            <w:r w:rsidR="00CD3177">
              <w:rPr>
                <w:noProof/>
                <w:webHidden/>
              </w:rPr>
              <w:t>34</w:t>
            </w:r>
            <w:r w:rsidR="00324DFC">
              <w:rPr>
                <w:noProof/>
                <w:webHidden/>
              </w:rPr>
              <w:fldChar w:fldCharType="end"/>
            </w:r>
          </w:hyperlink>
        </w:p>
        <w:p w14:paraId="2BCA2CC3" w14:textId="0FD602C9"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43" w:history="1">
            <w:r w:rsidR="00324DFC" w:rsidRPr="00FF11F1">
              <w:rPr>
                <w:rStyle w:val="Hipervnculo"/>
                <w:noProof/>
              </w:rPr>
              <w:t>5.1.1</w:t>
            </w:r>
            <w:r w:rsidR="00324DFC">
              <w:rPr>
                <w:rFonts w:asciiTheme="minorHAnsi" w:hAnsiTheme="minorHAnsi" w:cstheme="minorBidi"/>
                <w:noProof/>
                <w:kern w:val="2"/>
                <w:szCs w:val="24"/>
                <w14:ligatures w14:val="standardContextual"/>
              </w:rPr>
              <w:tab/>
            </w:r>
            <w:r w:rsidR="00324DFC" w:rsidRPr="00FF11F1">
              <w:rPr>
                <w:rStyle w:val="Hipervnculo"/>
                <w:noProof/>
              </w:rPr>
              <w:t>Estado del arte</w:t>
            </w:r>
            <w:r w:rsidR="00324DFC">
              <w:rPr>
                <w:noProof/>
                <w:webHidden/>
              </w:rPr>
              <w:tab/>
            </w:r>
            <w:r w:rsidR="00324DFC">
              <w:rPr>
                <w:noProof/>
                <w:webHidden/>
              </w:rPr>
              <w:fldChar w:fldCharType="begin"/>
            </w:r>
            <w:r w:rsidR="00324DFC">
              <w:rPr>
                <w:noProof/>
                <w:webHidden/>
              </w:rPr>
              <w:instrText xml:space="preserve"> PAGEREF _Toc229077643 \h </w:instrText>
            </w:r>
            <w:r w:rsidR="00324DFC">
              <w:rPr>
                <w:noProof/>
                <w:webHidden/>
              </w:rPr>
            </w:r>
            <w:r w:rsidR="00324DFC">
              <w:rPr>
                <w:noProof/>
                <w:webHidden/>
              </w:rPr>
              <w:fldChar w:fldCharType="separate"/>
            </w:r>
            <w:r w:rsidR="00CD3177">
              <w:rPr>
                <w:noProof/>
                <w:webHidden/>
              </w:rPr>
              <w:t>34</w:t>
            </w:r>
            <w:r w:rsidR="00324DFC">
              <w:rPr>
                <w:noProof/>
                <w:webHidden/>
              </w:rPr>
              <w:fldChar w:fldCharType="end"/>
            </w:r>
          </w:hyperlink>
        </w:p>
        <w:p w14:paraId="062411AE" w14:textId="43FC578C"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4" w:history="1">
            <w:r w:rsidR="00324DFC" w:rsidRPr="00FF11F1">
              <w:rPr>
                <w:rStyle w:val="Hipervnculo"/>
                <w:noProof/>
              </w:rPr>
              <w:t>5.1.1.1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Antecedentes históricos.</w:t>
            </w:r>
            <w:r w:rsidR="00324DFC">
              <w:rPr>
                <w:noProof/>
                <w:webHidden/>
              </w:rPr>
              <w:tab/>
            </w:r>
            <w:r w:rsidR="00324DFC">
              <w:rPr>
                <w:noProof/>
                <w:webHidden/>
              </w:rPr>
              <w:fldChar w:fldCharType="begin"/>
            </w:r>
            <w:r w:rsidR="00324DFC">
              <w:rPr>
                <w:noProof/>
                <w:webHidden/>
              </w:rPr>
              <w:instrText xml:space="preserve"> PAGEREF _Toc229077644 \h </w:instrText>
            </w:r>
            <w:r w:rsidR="00324DFC">
              <w:rPr>
                <w:noProof/>
                <w:webHidden/>
              </w:rPr>
            </w:r>
            <w:r w:rsidR="00324DFC">
              <w:rPr>
                <w:noProof/>
                <w:webHidden/>
              </w:rPr>
              <w:fldChar w:fldCharType="separate"/>
            </w:r>
            <w:r w:rsidR="00CD3177">
              <w:rPr>
                <w:noProof/>
                <w:webHidden/>
              </w:rPr>
              <w:t>34</w:t>
            </w:r>
            <w:r w:rsidR="00324DFC">
              <w:rPr>
                <w:noProof/>
                <w:webHidden/>
              </w:rPr>
              <w:fldChar w:fldCharType="end"/>
            </w:r>
          </w:hyperlink>
        </w:p>
        <w:p w14:paraId="30C6F5B6" w14:textId="116A8188"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45" w:history="1">
            <w:r w:rsidR="00324DFC" w:rsidRPr="00FF11F1">
              <w:rPr>
                <w:rStyle w:val="Hipervnculo"/>
                <w:noProof/>
              </w:rPr>
              <w:t>5.1.2</w:t>
            </w:r>
            <w:r w:rsidR="00324DFC">
              <w:rPr>
                <w:rFonts w:asciiTheme="minorHAnsi" w:hAnsiTheme="minorHAnsi" w:cstheme="minorBidi"/>
                <w:noProof/>
                <w:kern w:val="2"/>
                <w:szCs w:val="24"/>
                <w14:ligatures w14:val="standardContextual"/>
              </w:rPr>
              <w:tab/>
            </w:r>
            <w:r w:rsidR="00324DFC" w:rsidRPr="00FF11F1">
              <w:rPr>
                <w:rStyle w:val="Hipervnculo"/>
                <w:noProof/>
              </w:rPr>
              <w:t>Antecedentes Académicos</w:t>
            </w:r>
            <w:r w:rsidR="00324DFC">
              <w:rPr>
                <w:noProof/>
                <w:webHidden/>
              </w:rPr>
              <w:tab/>
            </w:r>
            <w:r w:rsidR="00324DFC">
              <w:rPr>
                <w:noProof/>
                <w:webHidden/>
              </w:rPr>
              <w:fldChar w:fldCharType="begin"/>
            </w:r>
            <w:r w:rsidR="00324DFC">
              <w:rPr>
                <w:noProof/>
                <w:webHidden/>
              </w:rPr>
              <w:instrText xml:space="preserve"> PAGEREF _Toc229077645 \h </w:instrText>
            </w:r>
            <w:r w:rsidR="00324DFC">
              <w:rPr>
                <w:noProof/>
                <w:webHidden/>
              </w:rPr>
            </w:r>
            <w:r w:rsidR="00324DFC">
              <w:rPr>
                <w:noProof/>
                <w:webHidden/>
              </w:rPr>
              <w:fldChar w:fldCharType="separate"/>
            </w:r>
            <w:r w:rsidR="00CD3177">
              <w:rPr>
                <w:noProof/>
                <w:webHidden/>
              </w:rPr>
              <w:t>36</w:t>
            </w:r>
            <w:r w:rsidR="00324DFC">
              <w:rPr>
                <w:noProof/>
                <w:webHidden/>
              </w:rPr>
              <w:fldChar w:fldCharType="end"/>
            </w:r>
          </w:hyperlink>
        </w:p>
        <w:p w14:paraId="5BCD151E" w14:textId="6CE772AF"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6" w:history="1">
            <w:r w:rsidR="00324DFC" w:rsidRPr="00FF11F1">
              <w:rPr>
                <w:rStyle w:val="Hipervnculo"/>
                <w:noProof/>
              </w:rPr>
              <w:t>5.1.2.1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Antecedentes Académicos Locales.</w:t>
            </w:r>
            <w:r w:rsidR="00324DFC">
              <w:rPr>
                <w:noProof/>
                <w:webHidden/>
              </w:rPr>
              <w:tab/>
            </w:r>
            <w:r w:rsidR="00324DFC">
              <w:rPr>
                <w:noProof/>
                <w:webHidden/>
              </w:rPr>
              <w:fldChar w:fldCharType="begin"/>
            </w:r>
            <w:r w:rsidR="00324DFC">
              <w:rPr>
                <w:noProof/>
                <w:webHidden/>
              </w:rPr>
              <w:instrText xml:space="preserve"> PAGEREF _Toc229077646 \h </w:instrText>
            </w:r>
            <w:r w:rsidR="00324DFC">
              <w:rPr>
                <w:noProof/>
                <w:webHidden/>
              </w:rPr>
            </w:r>
            <w:r w:rsidR="00324DFC">
              <w:rPr>
                <w:noProof/>
                <w:webHidden/>
              </w:rPr>
              <w:fldChar w:fldCharType="separate"/>
            </w:r>
            <w:r w:rsidR="00CD3177">
              <w:rPr>
                <w:noProof/>
                <w:webHidden/>
              </w:rPr>
              <w:t>37</w:t>
            </w:r>
            <w:r w:rsidR="00324DFC">
              <w:rPr>
                <w:noProof/>
                <w:webHidden/>
              </w:rPr>
              <w:fldChar w:fldCharType="end"/>
            </w:r>
          </w:hyperlink>
        </w:p>
        <w:p w14:paraId="65AFFD1B" w14:textId="3783F4E8"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7" w:history="1">
            <w:r w:rsidR="00324DFC" w:rsidRPr="00FF11F1">
              <w:rPr>
                <w:rStyle w:val="Hipervnculo"/>
                <w:noProof/>
              </w:rPr>
              <w:t>5.1.2.2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Antecedentes Académicos Nacionales.</w:t>
            </w:r>
            <w:r w:rsidR="00324DFC">
              <w:rPr>
                <w:noProof/>
                <w:webHidden/>
              </w:rPr>
              <w:tab/>
            </w:r>
            <w:r w:rsidR="00324DFC">
              <w:rPr>
                <w:noProof/>
                <w:webHidden/>
              </w:rPr>
              <w:fldChar w:fldCharType="begin"/>
            </w:r>
            <w:r w:rsidR="00324DFC">
              <w:rPr>
                <w:noProof/>
                <w:webHidden/>
              </w:rPr>
              <w:instrText xml:space="preserve"> PAGEREF _Toc229077647 \h </w:instrText>
            </w:r>
            <w:r w:rsidR="00324DFC">
              <w:rPr>
                <w:noProof/>
                <w:webHidden/>
              </w:rPr>
            </w:r>
            <w:r w:rsidR="00324DFC">
              <w:rPr>
                <w:noProof/>
                <w:webHidden/>
              </w:rPr>
              <w:fldChar w:fldCharType="separate"/>
            </w:r>
            <w:r w:rsidR="00CD3177">
              <w:rPr>
                <w:noProof/>
                <w:webHidden/>
              </w:rPr>
              <w:t>44</w:t>
            </w:r>
            <w:r w:rsidR="00324DFC">
              <w:rPr>
                <w:noProof/>
                <w:webHidden/>
              </w:rPr>
              <w:fldChar w:fldCharType="end"/>
            </w:r>
          </w:hyperlink>
        </w:p>
        <w:p w14:paraId="2B8DF384" w14:textId="1893A7D4"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8" w:history="1">
            <w:r w:rsidR="00324DFC" w:rsidRPr="00FF11F1">
              <w:rPr>
                <w:rStyle w:val="Hipervnculo"/>
                <w:noProof/>
              </w:rPr>
              <w:t>5.1.2.3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Antecedentes Académicos Internacionales.</w:t>
            </w:r>
            <w:r w:rsidR="00324DFC">
              <w:rPr>
                <w:noProof/>
                <w:webHidden/>
              </w:rPr>
              <w:tab/>
            </w:r>
            <w:r w:rsidR="00324DFC">
              <w:rPr>
                <w:noProof/>
                <w:webHidden/>
              </w:rPr>
              <w:fldChar w:fldCharType="begin"/>
            </w:r>
            <w:r w:rsidR="00324DFC">
              <w:rPr>
                <w:noProof/>
                <w:webHidden/>
              </w:rPr>
              <w:instrText xml:space="preserve"> PAGEREF _Toc229077648 \h </w:instrText>
            </w:r>
            <w:r w:rsidR="00324DFC">
              <w:rPr>
                <w:noProof/>
                <w:webHidden/>
              </w:rPr>
            </w:r>
            <w:r w:rsidR="00324DFC">
              <w:rPr>
                <w:noProof/>
                <w:webHidden/>
              </w:rPr>
              <w:fldChar w:fldCharType="separate"/>
            </w:r>
            <w:r w:rsidR="00CD3177">
              <w:rPr>
                <w:noProof/>
                <w:webHidden/>
              </w:rPr>
              <w:t>51</w:t>
            </w:r>
            <w:r w:rsidR="00324DFC">
              <w:rPr>
                <w:noProof/>
                <w:webHidden/>
              </w:rPr>
              <w:fldChar w:fldCharType="end"/>
            </w:r>
          </w:hyperlink>
        </w:p>
        <w:p w14:paraId="7FC3C858" w14:textId="7B534A50"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49" w:history="1">
            <w:r w:rsidR="00324DFC" w:rsidRPr="00FF11F1">
              <w:rPr>
                <w:rStyle w:val="Hipervnculo"/>
                <w:noProof/>
              </w:rPr>
              <w:t>5.2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Marco conceptual</w:t>
            </w:r>
            <w:r w:rsidR="00324DFC">
              <w:rPr>
                <w:noProof/>
                <w:webHidden/>
              </w:rPr>
              <w:tab/>
            </w:r>
            <w:r w:rsidR="00324DFC">
              <w:rPr>
                <w:noProof/>
                <w:webHidden/>
              </w:rPr>
              <w:fldChar w:fldCharType="begin"/>
            </w:r>
            <w:r w:rsidR="00324DFC">
              <w:rPr>
                <w:noProof/>
                <w:webHidden/>
              </w:rPr>
              <w:instrText xml:space="preserve"> PAGEREF _Toc229077649 \h </w:instrText>
            </w:r>
            <w:r w:rsidR="00324DFC">
              <w:rPr>
                <w:noProof/>
                <w:webHidden/>
              </w:rPr>
            </w:r>
            <w:r w:rsidR="00324DFC">
              <w:rPr>
                <w:noProof/>
                <w:webHidden/>
              </w:rPr>
              <w:fldChar w:fldCharType="separate"/>
            </w:r>
            <w:r w:rsidR="00CD3177">
              <w:rPr>
                <w:noProof/>
                <w:webHidden/>
              </w:rPr>
              <w:t>56</w:t>
            </w:r>
            <w:r w:rsidR="00324DFC">
              <w:rPr>
                <w:noProof/>
                <w:webHidden/>
              </w:rPr>
              <w:fldChar w:fldCharType="end"/>
            </w:r>
          </w:hyperlink>
        </w:p>
        <w:p w14:paraId="14E9DD6B" w14:textId="30138D36"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0" w:history="1">
            <w:r w:rsidR="00324DFC" w:rsidRPr="00FF11F1">
              <w:rPr>
                <w:rStyle w:val="Hipervnculo"/>
                <w:noProof/>
              </w:rPr>
              <w:t>5.3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Marco Teórico</w:t>
            </w:r>
            <w:r w:rsidR="00324DFC">
              <w:rPr>
                <w:noProof/>
                <w:webHidden/>
              </w:rPr>
              <w:tab/>
            </w:r>
            <w:r w:rsidR="00324DFC">
              <w:rPr>
                <w:noProof/>
                <w:webHidden/>
              </w:rPr>
              <w:fldChar w:fldCharType="begin"/>
            </w:r>
            <w:r w:rsidR="00324DFC">
              <w:rPr>
                <w:noProof/>
                <w:webHidden/>
              </w:rPr>
              <w:instrText xml:space="preserve"> PAGEREF _Toc229077650 \h </w:instrText>
            </w:r>
            <w:r w:rsidR="00324DFC">
              <w:rPr>
                <w:noProof/>
                <w:webHidden/>
              </w:rPr>
            </w:r>
            <w:r w:rsidR="00324DFC">
              <w:rPr>
                <w:noProof/>
                <w:webHidden/>
              </w:rPr>
              <w:fldChar w:fldCharType="separate"/>
            </w:r>
            <w:r w:rsidR="00CD3177">
              <w:rPr>
                <w:noProof/>
                <w:webHidden/>
              </w:rPr>
              <w:t>62</w:t>
            </w:r>
            <w:r w:rsidR="00324DFC">
              <w:rPr>
                <w:noProof/>
                <w:webHidden/>
              </w:rPr>
              <w:fldChar w:fldCharType="end"/>
            </w:r>
          </w:hyperlink>
        </w:p>
        <w:p w14:paraId="6AE018AD" w14:textId="6CBC55A7"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1" w:history="1">
            <w:r w:rsidR="00324DFC" w:rsidRPr="00FF11F1">
              <w:rPr>
                <w:rStyle w:val="Hipervnculo"/>
                <w:noProof/>
              </w:rPr>
              <w:t>5.4</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Marco contextual</w:t>
            </w:r>
            <w:r w:rsidR="00324DFC">
              <w:rPr>
                <w:noProof/>
                <w:webHidden/>
              </w:rPr>
              <w:tab/>
            </w:r>
            <w:r w:rsidR="00324DFC">
              <w:rPr>
                <w:noProof/>
                <w:webHidden/>
              </w:rPr>
              <w:fldChar w:fldCharType="begin"/>
            </w:r>
            <w:r w:rsidR="00324DFC">
              <w:rPr>
                <w:noProof/>
                <w:webHidden/>
              </w:rPr>
              <w:instrText xml:space="preserve"> PAGEREF _Toc229077651 \h </w:instrText>
            </w:r>
            <w:r w:rsidR="00324DFC">
              <w:rPr>
                <w:noProof/>
                <w:webHidden/>
              </w:rPr>
            </w:r>
            <w:r w:rsidR="00324DFC">
              <w:rPr>
                <w:noProof/>
                <w:webHidden/>
              </w:rPr>
              <w:fldChar w:fldCharType="separate"/>
            </w:r>
            <w:r w:rsidR="00CD3177">
              <w:rPr>
                <w:noProof/>
                <w:webHidden/>
              </w:rPr>
              <w:t>68</w:t>
            </w:r>
            <w:r w:rsidR="00324DFC">
              <w:rPr>
                <w:noProof/>
                <w:webHidden/>
              </w:rPr>
              <w:fldChar w:fldCharType="end"/>
            </w:r>
          </w:hyperlink>
        </w:p>
        <w:p w14:paraId="321F97A4" w14:textId="6DA29FE2"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2" w:history="1">
            <w:r w:rsidR="00324DFC" w:rsidRPr="00FF11F1">
              <w:rPr>
                <w:rStyle w:val="Hipervnculo"/>
                <w:noProof/>
              </w:rPr>
              <w:t>5.5</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Marco Legal</w:t>
            </w:r>
            <w:r w:rsidR="00324DFC">
              <w:rPr>
                <w:noProof/>
                <w:webHidden/>
              </w:rPr>
              <w:tab/>
            </w:r>
            <w:r w:rsidR="00324DFC">
              <w:rPr>
                <w:noProof/>
                <w:webHidden/>
              </w:rPr>
              <w:fldChar w:fldCharType="begin"/>
            </w:r>
            <w:r w:rsidR="00324DFC">
              <w:rPr>
                <w:noProof/>
                <w:webHidden/>
              </w:rPr>
              <w:instrText xml:space="preserve"> PAGEREF _Toc229077652 \h </w:instrText>
            </w:r>
            <w:r w:rsidR="00324DFC">
              <w:rPr>
                <w:noProof/>
                <w:webHidden/>
              </w:rPr>
            </w:r>
            <w:r w:rsidR="00324DFC">
              <w:rPr>
                <w:noProof/>
                <w:webHidden/>
              </w:rPr>
              <w:fldChar w:fldCharType="separate"/>
            </w:r>
            <w:r w:rsidR="00CD3177">
              <w:rPr>
                <w:noProof/>
                <w:webHidden/>
              </w:rPr>
              <w:t>72</w:t>
            </w:r>
            <w:r w:rsidR="00324DFC">
              <w:rPr>
                <w:noProof/>
                <w:webHidden/>
              </w:rPr>
              <w:fldChar w:fldCharType="end"/>
            </w:r>
          </w:hyperlink>
        </w:p>
        <w:p w14:paraId="01092C8C" w14:textId="33F16CD9"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3" w:history="1">
            <w:r w:rsidR="00324DFC" w:rsidRPr="00FF11F1">
              <w:rPr>
                <w:rStyle w:val="Hipervnculo"/>
                <w:noProof/>
              </w:rPr>
              <w:t>6</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Metodología</w:t>
            </w:r>
            <w:r w:rsidR="00324DFC">
              <w:rPr>
                <w:noProof/>
                <w:webHidden/>
              </w:rPr>
              <w:tab/>
            </w:r>
            <w:r w:rsidR="00324DFC">
              <w:rPr>
                <w:noProof/>
                <w:webHidden/>
              </w:rPr>
              <w:fldChar w:fldCharType="begin"/>
            </w:r>
            <w:r w:rsidR="00324DFC">
              <w:rPr>
                <w:noProof/>
                <w:webHidden/>
              </w:rPr>
              <w:instrText xml:space="preserve"> PAGEREF _Toc229077653 \h </w:instrText>
            </w:r>
            <w:r w:rsidR="00324DFC">
              <w:rPr>
                <w:noProof/>
                <w:webHidden/>
              </w:rPr>
            </w:r>
            <w:r w:rsidR="00324DFC">
              <w:rPr>
                <w:noProof/>
                <w:webHidden/>
              </w:rPr>
              <w:fldChar w:fldCharType="separate"/>
            </w:r>
            <w:r w:rsidR="00CD3177">
              <w:rPr>
                <w:noProof/>
                <w:webHidden/>
              </w:rPr>
              <w:t>79</w:t>
            </w:r>
            <w:r w:rsidR="00324DFC">
              <w:rPr>
                <w:noProof/>
                <w:webHidden/>
              </w:rPr>
              <w:fldChar w:fldCharType="end"/>
            </w:r>
          </w:hyperlink>
        </w:p>
        <w:p w14:paraId="57FEB2A7" w14:textId="4CE5CC6D"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4" w:history="1">
            <w:r w:rsidR="00324DFC" w:rsidRPr="00FF11F1">
              <w:rPr>
                <w:rStyle w:val="Hipervnculo"/>
                <w:noProof/>
              </w:rPr>
              <w:t>6.1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Diseño de la investigación</w:t>
            </w:r>
            <w:r w:rsidR="00324DFC">
              <w:rPr>
                <w:noProof/>
                <w:webHidden/>
              </w:rPr>
              <w:tab/>
            </w:r>
            <w:r w:rsidR="00324DFC">
              <w:rPr>
                <w:noProof/>
                <w:webHidden/>
              </w:rPr>
              <w:fldChar w:fldCharType="begin"/>
            </w:r>
            <w:r w:rsidR="00324DFC">
              <w:rPr>
                <w:noProof/>
                <w:webHidden/>
              </w:rPr>
              <w:instrText xml:space="preserve"> PAGEREF _Toc229077654 \h </w:instrText>
            </w:r>
            <w:r w:rsidR="00324DFC">
              <w:rPr>
                <w:noProof/>
                <w:webHidden/>
              </w:rPr>
            </w:r>
            <w:r w:rsidR="00324DFC">
              <w:rPr>
                <w:noProof/>
                <w:webHidden/>
              </w:rPr>
              <w:fldChar w:fldCharType="separate"/>
            </w:r>
            <w:r w:rsidR="00CD3177">
              <w:rPr>
                <w:noProof/>
                <w:webHidden/>
              </w:rPr>
              <w:t>79</w:t>
            </w:r>
            <w:r w:rsidR="00324DFC">
              <w:rPr>
                <w:noProof/>
                <w:webHidden/>
              </w:rPr>
              <w:fldChar w:fldCharType="end"/>
            </w:r>
          </w:hyperlink>
        </w:p>
        <w:p w14:paraId="6118888F" w14:textId="08589B3B"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5" w:history="1">
            <w:r w:rsidR="00324DFC" w:rsidRPr="00FF11F1">
              <w:rPr>
                <w:rStyle w:val="Hipervnculo"/>
                <w:noProof/>
              </w:rPr>
              <w:t>6.2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Tipo de investigación</w:t>
            </w:r>
            <w:r w:rsidR="00324DFC">
              <w:rPr>
                <w:noProof/>
                <w:webHidden/>
              </w:rPr>
              <w:tab/>
            </w:r>
            <w:r w:rsidR="00324DFC">
              <w:rPr>
                <w:noProof/>
                <w:webHidden/>
              </w:rPr>
              <w:fldChar w:fldCharType="begin"/>
            </w:r>
            <w:r w:rsidR="00324DFC">
              <w:rPr>
                <w:noProof/>
                <w:webHidden/>
              </w:rPr>
              <w:instrText xml:space="preserve"> PAGEREF _Toc229077655 \h </w:instrText>
            </w:r>
            <w:r w:rsidR="00324DFC">
              <w:rPr>
                <w:noProof/>
                <w:webHidden/>
              </w:rPr>
            </w:r>
            <w:r w:rsidR="00324DFC">
              <w:rPr>
                <w:noProof/>
                <w:webHidden/>
              </w:rPr>
              <w:fldChar w:fldCharType="separate"/>
            </w:r>
            <w:r w:rsidR="00CD3177">
              <w:rPr>
                <w:noProof/>
                <w:webHidden/>
              </w:rPr>
              <w:t>80</w:t>
            </w:r>
            <w:r w:rsidR="00324DFC">
              <w:rPr>
                <w:noProof/>
                <w:webHidden/>
              </w:rPr>
              <w:fldChar w:fldCharType="end"/>
            </w:r>
          </w:hyperlink>
        </w:p>
        <w:p w14:paraId="053BBDBB" w14:textId="41433408"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6" w:history="1">
            <w:r w:rsidR="00324DFC" w:rsidRPr="00FF11F1">
              <w:rPr>
                <w:rStyle w:val="Hipervnculo"/>
                <w:noProof/>
              </w:rPr>
              <w:t>6.3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Enfoque de la investigación</w:t>
            </w:r>
            <w:r w:rsidR="00324DFC">
              <w:rPr>
                <w:noProof/>
                <w:webHidden/>
              </w:rPr>
              <w:tab/>
            </w:r>
            <w:r w:rsidR="00324DFC">
              <w:rPr>
                <w:noProof/>
                <w:webHidden/>
              </w:rPr>
              <w:fldChar w:fldCharType="begin"/>
            </w:r>
            <w:r w:rsidR="00324DFC">
              <w:rPr>
                <w:noProof/>
                <w:webHidden/>
              </w:rPr>
              <w:instrText xml:space="preserve"> PAGEREF _Toc229077656 \h </w:instrText>
            </w:r>
            <w:r w:rsidR="00324DFC">
              <w:rPr>
                <w:noProof/>
                <w:webHidden/>
              </w:rPr>
            </w:r>
            <w:r w:rsidR="00324DFC">
              <w:rPr>
                <w:noProof/>
                <w:webHidden/>
              </w:rPr>
              <w:fldChar w:fldCharType="separate"/>
            </w:r>
            <w:r w:rsidR="00CD3177">
              <w:rPr>
                <w:noProof/>
                <w:webHidden/>
              </w:rPr>
              <w:t>81</w:t>
            </w:r>
            <w:r w:rsidR="00324DFC">
              <w:rPr>
                <w:noProof/>
                <w:webHidden/>
              </w:rPr>
              <w:fldChar w:fldCharType="end"/>
            </w:r>
          </w:hyperlink>
        </w:p>
        <w:p w14:paraId="5FEA5200" w14:textId="2D9AF0E5"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7" w:history="1">
            <w:r w:rsidR="00324DFC" w:rsidRPr="00FF11F1">
              <w:rPr>
                <w:rStyle w:val="Hipervnculo"/>
                <w:noProof/>
              </w:rPr>
              <w:t>6.4</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Método de la investigación</w:t>
            </w:r>
            <w:r w:rsidR="00324DFC">
              <w:rPr>
                <w:noProof/>
                <w:webHidden/>
              </w:rPr>
              <w:tab/>
            </w:r>
            <w:r w:rsidR="00324DFC">
              <w:rPr>
                <w:noProof/>
                <w:webHidden/>
              </w:rPr>
              <w:fldChar w:fldCharType="begin"/>
            </w:r>
            <w:r w:rsidR="00324DFC">
              <w:rPr>
                <w:noProof/>
                <w:webHidden/>
              </w:rPr>
              <w:instrText xml:space="preserve"> PAGEREF _Toc229077657 \h </w:instrText>
            </w:r>
            <w:r w:rsidR="00324DFC">
              <w:rPr>
                <w:noProof/>
                <w:webHidden/>
              </w:rPr>
            </w:r>
            <w:r w:rsidR="00324DFC">
              <w:rPr>
                <w:noProof/>
                <w:webHidden/>
              </w:rPr>
              <w:fldChar w:fldCharType="separate"/>
            </w:r>
            <w:r w:rsidR="00CD3177">
              <w:rPr>
                <w:noProof/>
                <w:webHidden/>
              </w:rPr>
              <w:t>82</w:t>
            </w:r>
            <w:r w:rsidR="00324DFC">
              <w:rPr>
                <w:noProof/>
                <w:webHidden/>
              </w:rPr>
              <w:fldChar w:fldCharType="end"/>
            </w:r>
          </w:hyperlink>
        </w:p>
        <w:p w14:paraId="3B58A424" w14:textId="3AE250AD"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8" w:history="1">
            <w:r w:rsidR="00324DFC" w:rsidRPr="00FF11F1">
              <w:rPr>
                <w:rStyle w:val="Hipervnculo"/>
                <w:rFonts w:cs="Times New Roman"/>
                <w:noProof/>
              </w:rPr>
              <w:t>6.5</w:t>
            </w:r>
            <w:r w:rsidR="00324DFC">
              <w:rPr>
                <w:rFonts w:asciiTheme="minorHAnsi" w:eastAsiaTheme="minorEastAsia" w:hAnsiTheme="minorHAnsi"/>
                <w:noProof/>
                <w:kern w:val="2"/>
                <w:szCs w:val="24"/>
                <w:lang w:eastAsia="es-CO"/>
                <w14:ligatures w14:val="standardContextual"/>
              </w:rPr>
              <w:tab/>
            </w:r>
            <w:r w:rsidR="00324DFC" w:rsidRPr="00FF11F1">
              <w:rPr>
                <w:rStyle w:val="Hipervnculo"/>
                <w:rFonts w:cs="Times New Roman"/>
                <w:noProof/>
              </w:rPr>
              <w:t>Universo Investigación</w:t>
            </w:r>
            <w:r w:rsidR="00324DFC">
              <w:rPr>
                <w:noProof/>
                <w:webHidden/>
              </w:rPr>
              <w:tab/>
            </w:r>
            <w:r w:rsidR="00324DFC">
              <w:rPr>
                <w:noProof/>
                <w:webHidden/>
              </w:rPr>
              <w:fldChar w:fldCharType="begin"/>
            </w:r>
            <w:r w:rsidR="00324DFC">
              <w:rPr>
                <w:noProof/>
                <w:webHidden/>
              </w:rPr>
              <w:instrText xml:space="preserve"> PAGEREF _Toc229077658 \h </w:instrText>
            </w:r>
            <w:r w:rsidR="00324DFC">
              <w:rPr>
                <w:noProof/>
                <w:webHidden/>
              </w:rPr>
            </w:r>
            <w:r w:rsidR="00324DFC">
              <w:rPr>
                <w:noProof/>
                <w:webHidden/>
              </w:rPr>
              <w:fldChar w:fldCharType="separate"/>
            </w:r>
            <w:r w:rsidR="00CD3177">
              <w:rPr>
                <w:noProof/>
                <w:webHidden/>
              </w:rPr>
              <w:t>83</w:t>
            </w:r>
            <w:r w:rsidR="00324DFC">
              <w:rPr>
                <w:noProof/>
                <w:webHidden/>
              </w:rPr>
              <w:fldChar w:fldCharType="end"/>
            </w:r>
          </w:hyperlink>
        </w:p>
        <w:p w14:paraId="529DC042" w14:textId="3B4AC522"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59" w:history="1">
            <w:r w:rsidR="00324DFC" w:rsidRPr="00FF11F1">
              <w:rPr>
                <w:rStyle w:val="Hipervnculo"/>
                <w:noProof/>
              </w:rPr>
              <w:t>6.6</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Muestra</w:t>
            </w:r>
            <w:r w:rsidR="00324DFC">
              <w:rPr>
                <w:noProof/>
                <w:webHidden/>
              </w:rPr>
              <w:tab/>
            </w:r>
            <w:r w:rsidR="00324DFC">
              <w:rPr>
                <w:noProof/>
                <w:webHidden/>
              </w:rPr>
              <w:fldChar w:fldCharType="begin"/>
            </w:r>
            <w:r w:rsidR="00324DFC">
              <w:rPr>
                <w:noProof/>
                <w:webHidden/>
              </w:rPr>
              <w:instrText xml:space="preserve"> PAGEREF _Toc229077659 \h </w:instrText>
            </w:r>
            <w:r w:rsidR="00324DFC">
              <w:rPr>
                <w:noProof/>
                <w:webHidden/>
              </w:rPr>
            </w:r>
            <w:r w:rsidR="00324DFC">
              <w:rPr>
                <w:noProof/>
                <w:webHidden/>
              </w:rPr>
              <w:fldChar w:fldCharType="separate"/>
            </w:r>
            <w:r w:rsidR="00CD3177">
              <w:rPr>
                <w:noProof/>
                <w:webHidden/>
              </w:rPr>
              <w:t>84</w:t>
            </w:r>
            <w:r w:rsidR="00324DFC">
              <w:rPr>
                <w:noProof/>
                <w:webHidden/>
              </w:rPr>
              <w:fldChar w:fldCharType="end"/>
            </w:r>
          </w:hyperlink>
        </w:p>
        <w:p w14:paraId="08E59340" w14:textId="58514D76"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0" w:history="1">
            <w:r w:rsidR="00324DFC" w:rsidRPr="00FF11F1">
              <w:rPr>
                <w:rStyle w:val="Hipervnculo"/>
                <w:noProof/>
              </w:rPr>
              <w:t>6.7</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Técnicas</w:t>
            </w:r>
            <w:r w:rsidR="00324DFC">
              <w:rPr>
                <w:noProof/>
                <w:webHidden/>
              </w:rPr>
              <w:tab/>
            </w:r>
            <w:r w:rsidR="00324DFC">
              <w:rPr>
                <w:noProof/>
                <w:webHidden/>
              </w:rPr>
              <w:fldChar w:fldCharType="begin"/>
            </w:r>
            <w:r w:rsidR="00324DFC">
              <w:rPr>
                <w:noProof/>
                <w:webHidden/>
              </w:rPr>
              <w:instrText xml:space="preserve"> PAGEREF _Toc229077660 \h </w:instrText>
            </w:r>
            <w:r w:rsidR="00324DFC">
              <w:rPr>
                <w:noProof/>
                <w:webHidden/>
              </w:rPr>
            </w:r>
            <w:r w:rsidR="00324DFC">
              <w:rPr>
                <w:noProof/>
                <w:webHidden/>
              </w:rPr>
              <w:fldChar w:fldCharType="separate"/>
            </w:r>
            <w:r w:rsidR="00CD3177">
              <w:rPr>
                <w:noProof/>
                <w:webHidden/>
              </w:rPr>
              <w:t>84</w:t>
            </w:r>
            <w:r w:rsidR="00324DFC">
              <w:rPr>
                <w:noProof/>
                <w:webHidden/>
              </w:rPr>
              <w:fldChar w:fldCharType="end"/>
            </w:r>
          </w:hyperlink>
        </w:p>
        <w:p w14:paraId="6A4EA79C" w14:textId="4F40215D"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1" w:history="1">
            <w:r w:rsidR="00324DFC" w:rsidRPr="00FF11F1">
              <w:rPr>
                <w:rStyle w:val="Hipervnculo"/>
                <w:noProof/>
              </w:rPr>
              <w:t>6.8</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Instrumentos</w:t>
            </w:r>
            <w:r w:rsidR="00324DFC">
              <w:rPr>
                <w:noProof/>
                <w:webHidden/>
              </w:rPr>
              <w:tab/>
            </w:r>
            <w:r w:rsidR="00324DFC">
              <w:rPr>
                <w:noProof/>
                <w:webHidden/>
              </w:rPr>
              <w:fldChar w:fldCharType="begin"/>
            </w:r>
            <w:r w:rsidR="00324DFC">
              <w:rPr>
                <w:noProof/>
                <w:webHidden/>
              </w:rPr>
              <w:instrText xml:space="preserve"> PAGEREF _Toc229077661 \h </w:instrText>
            </w:r>
            <w:r w:rsidR="00324DFC">
              <w:rPr>
                <w:noProof/>
                <w:webHidden/>
              </w:rPr>
            </w:r>
            <w:r w:rsidR="00324DFC">
              <w:rPr>
                <w:noProof/>
                <w:webHidden/>
              </w:rPr>
              <w:fldChar w:fldCharType="separate"/>
            </w:r>
            <w:r w:rsidR="00CD3177">
              <w:rPr>
                <w:noProof/>
                <w:webHidden/>
              </w:rPr>
              <w:t>85</w:t>
            </w:r>
            <w:r w:rsidR="00324DFC">
              <w:rPr>
                <w:noProof/>
                <w:webHidden/>
              </w:rPr>
              <w:fldChar w:fldCharType="end"/>
            </w:r>
          </w:hyperlink>
        </w:p>
        <w:p w14:paraId="6680EFB3" w14:textId="1F38D09E"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2" w:history="1">
            <w:r w:rsidR="00324DFC" w:rsidRPr="00FF11F1">
              <w:rPr>
                <w:rStyle w:val="Hipervnculo"/>
                <w:noProof/>
              </w:rPr>
              <w:t>6.9</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Fuentes de Investigación</w:t>
            </w:r>
            <w:r w:rsidR="00324DFC">
              <w:rPr>
                <w:noProof/>
                <w:webHidden/>
              </w:rPr>
              <w:tab/>
            </w:r>
            <w:r w:rsidR="00324DFC">
              <w:rPr>
                <w:noProof/>
                <w:webHidden/>
              </w:rPr>
              <w:fldChar w:fldCharType="begin"/>
            </w:r>
            <w:r w:rsidR="00324DFC">
              <w:rPr>
                <w:noProof/>
                <w:webHidden/>
              </w:rPr>
              <w:instrText xml:space="preserve"> PAGEREF _Toc229077662 \h </w:instrText>
            </w:r>
            <w:r w:rsidR="00324DFC">
              <w:rPr>
                <w:noProof/>
                <w:webHidden/>
              </w:rPr>
            </w:r>
            <w:r w:rsidR="00324DFC">
              <w:rPr>
                <w:noProof/>
                <w:webHidden/>
              </w:rPr>
              <w:fldChar w:fldCharType="separate"/>
            </w:r>
            <w:r w:rsidR="00CD3177">
              <w:rPr>
                <w:noProof/>
                <w:webHidden/>
              </w:rPr>
              <w:t>123</w:t>
            </w:r>
            <w:r w:rsidR="00324DFC">
              <w:rPr>
                <w:noProof/>
                <w:webHidden/>
              </w:rPr>
              <w:fldChar w:fldCharType="end"/>
            </w:r>
          </w:hyperlink>
        </w:p>
        <w:p w14:paraId="7B7892AC" w14:textId="04E45B20"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3" w:history="1">
            <w:r w:rsidR="00324DFC" w:rsidRPr="00FF11F1">
              <w:rPr>
                <w:rStyle w:val="Hipervnculo"/>
                <w:noProof/>
              </w:rPr>
              <w:t>6.10</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Síntesis Argumental del Marco Metodológico</w:t>
            </w:r>
            <w:r w:rsidR="00324DFC">
              <w:rPr>
                <w:noProof/>
                <w:webHidden/>
              </w:rPr>
              <w:tab/>
            </w:r>
            <w:r w:rsidR="00324DFC">
              <w:rPr>
                <w:noProof/>
                <w:webHidden/>
              </w:rPr>
              <w:fldChar w:fldCharType="begin"/>
            </w:r>
            <w:r w:rsidR="00324DFC">
              <w:rPr>
                <w:noProof/>
                <w:webHidden/>
              </w:rPr>
              <w:instrText xml:space="preserve"> PAGEREF _Toc229077663 \h </w:instrText>
            </w:r>
            <w:r w:rsidR="00324DFC">
              <w:rPr>
                <w:noProof/>
                <w:webHidden/>
              </w:rPr>
            </w:r>
            <w:r w:rsidR="00324DFC">
              <w:rPr>
                <w:noProof/>
                <w:webHidden/>
              </w:rPr>
              <w:fldChar w:fldCharType="separate"/>
            </w:r>
            <w:r w:rsidR="00CD3177">
              <w:rPr>
                <w:noProof/>
                <w:webHidden/>
              </w:rPr>
              <w:t>127</w:t>
            </w:r>
            <w:r w:rsidR="00324DFC">
              <w:rPr>
                <w:noProof/>
                <w:webHidden/>
              </w:rPr>
              <w:fldChar w:fldCharType="end"/>
            </w:r>
          </w:hyperlink>
        </w:p>
        <w:p w14:paraId="5B9FB8DC" w14:textId="5D69E57C"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4" w:history="1">
            <w:r w:rsidR="00324DFC" w:rsidRPr="00FF11F1">
              <w:rPr>
                <w:rStyle w:val="Hipervnculo"/>
                <w:noProof/>
              </w:rPr>
              <w:t>7</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Resultados</w:t>
            </w:r>
            <w:r w:rsidR="00324DFC">
              <w:rPr>
                <w:noProof/>
                <w:webHidden/>
              </w:rPr>
              <w:tab/>
            </w:r>
            <w:r w:rsidR="00324DFC">
              <w:rPr>
                <w:noProof/>
                <w:webHidden/>
              </w:rPr>
              <w:fldChar w:fldCharType="begin"/>
            </w:r>
            <w:r w:rsidR="00324DFC">
              <w:rPr>
                <w:noProof/>
                <w:webHidden/>
              </w:rPr>
              <w:instrText xml:space="preserve"> PAGEREF _Toc229077664 \h </w:instrText>
            </w:r>
            <w:r w:rsidR="00324DFC">
              <w:rPr>
                <w:noProof/>
                <w:webHidden/>
              </w:rPr>
            </w:r>
            <w:r w:rsidR="00324DFC">
              <w:rPr>
                <w:noProof/>
                <w:webHidden/>
              </w:rPr>
              <w:fldChar w:fldCharType="separate"/>
            </w:r>
            <w:r w:rsidR="00CD3177">
              <w:rPr>
                <w:noProof/>
                <w:webHidden/>
              </w:rPr>
              <w:t>130</w:t>
            </w:r>
            <w:r w:rsidR="00324DFC">
              <w:rPr>
                <w:noProof/>
                <w:webHidden/>
              </w:rPr>
              <w:fldChar w:fldCharType="end"/>
            </w:r>
          </w:hyperlink>
        </w:p>
        <w:p w14:paraId="1983AAD0" w14:textId="04E0CE13"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5" w:history="1">
            <w:r w:rsidR="00324DFC" w:rsidRPr="00FF11F1">
              <w:rPr>
                <w:rStyle w:val="Hipervnculo"/>
                <w:noProof/>
              </w:rPr>
              <w:t>7.1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Objetivo A. Causas de la ineficacia de las declaraciones de retención en la fuente</w:t>
            </w:r>
            <w:r w:rsidR="00324DFC">
              <w:rPr>
                <w:noProof/>
                <w:webHidden/>
              </w:rPr>
              <w:tab/>
            </w:r>
            <w:r w:rsidR="00324DFC">
              <w:rPr>
                <w:noProof/>
                <w:webHidden/>
              </w:rPr>
              <w:fldChar w:fldCharType="begin"/>
            </w:r>
            <w:r w:rsidR="00324DFC">
              <w:rPr>
                <w:noProof/>
                <w:webHidden/>
              </w:rPr>
              <w:instrText xml:space="preserve"> PAGEREF _Toc229077665 \h </w:instrText>
            </w:r>
            <w:r w:rsidR="00324DFC">
              <w:rPr>
                <w:noProof/>
                <w:webHidden/>
              </w:rPr>
            </w:r>
            <w:r w:rsidR="00324DFC">
              <w:rPr>
                <w:noProof/>
                <w:webHidden/>
              </w:rPr>
              <w:fldChar w:fldCharType="separate"/>
            </w:r>
            <w:r w:rsidR="00CD3177">
              <w:rPr>
                <w:noProof/>
                <w:webHidden/>
              </w:rPr>
              <w:t>130</w:t>
            </w:r>
            <w:r w:rsidR="00324DFC">
              <w:rPr>
                <w:noProof/>
                <w:webHidden/>
              </w:rPr>
              <w:fldChar w:fldCharType="end"/>
            </w:r>
          </w:hyperlink>
        </w:p>
        <w:p w14:paraId="6B3CADB3" w14:textId="3E60068E"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66" w:history="1">
            <w:r w:rsidR="00324DFC" w:rsidRPr="00FF11F1">
              <w:rPr>
                <w:rStyle w:val="Hipervnculo"/>
                <w:noProof/>
              </w:rPr>
              <w:t>7.1.1</w:t>
            </w:r>
            <w:r w:rsidR="00324DFC">
              <w:rPr>
                <w:rFonts w:asciiTheme="minorHAnsi" w:hAnsiTheme="minorHAnsi" w:cstheme="minorBidi"/>
                <w:noProof/>
                <w:kern w:val="2"/>
                <w:szCs w:val="24"/>
                <w14:ligatures w14:val="standardContextual"/>
              </w:rPr>
              <w:tab/>
            </w:r>
            <w:r w:rsidR="00324DFC" w:rsidRPr="00FF11F1">
              <w:rPr>
                <w:rStyle w:val="Hipervnculo"/>
                <w:noProof/>
              </w:rPr>
              <w:t>Atributos teóricos que explican las causas de la ineficacia de las declaraciones de retención en la fuente en renta</w:t>
            </w:r>
            <w:r w:rsidR="00324DFC">
              <w:rPr>
                <w:noProof/>
                <w:webHidden/>
              </w:rPr>
              <w:tab/>
            </w:r>
            <w:r w:rsidR="00324DFC">
              <w:rPr>
                <w:noProof/>
                <w:webHidden/>
              </w:rPr>
              <w:fldChar w:fldCharType="begin"/>
            </w:r>
            <w:r w:rsidR="00324DFC">
              <w:rPr>
                <w:noProof/>
                <w:webHidden/>
              </w:rPr>
              <w:instrText xml:space="preserve"> PAGEREF _Toc229077666 \h </w:instrText>
            </w:r>
            <w:r w:rsidR="00324DFC">
              <w:rPr>
                <w:noProof/>
                <w:webHidden/>
              </w:rPr>
            </w:r>
            <w:r w:rsidR="00324DFC">
              <w:rPr>
                <w:noProof/>
                <w:webHidden/>
              </w:rPr>
              <w:fldChar w:fldCharType="separate"/>
            </w:r>
            <w:r w:rsidR="00CD3177">
              <w:rPr>
                <w:noProof/>
                <w:webHidden/>
              </w:rPr>
              <w:t>130</w:t>
            </w:r>
            <w:r w:rsidR="00324DFC">
              <w:rPr>
                <w:noProof/>
                <w:webHidden/>
              </w:rPr>
              <w:fldChar w:fldCharType="end"/>
            </w:r>
          </w:hyperlink>
        </w:p>
        <w:p w14:paraId="11E09874" w14:textId="5F9AB600"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67" w:history="1">
            <w:r w:rsidR="00324DFC" w:rsidRPr="00FF11F1">
              <w:rPr>
                <w:rStyle w:val="Hipervnculo"/>
                <w:noProof/>
              </w:rPr>
              <w:t>7.1.2</w:t>
            </w:r>
            <w:r w:rsidR="00324DFC">
              <w:rPr>
                <w:rFonts w:asciiTheme="minorHAnsi" w:hAnsiTheme="minorHAnsi" w:cstheme="minorBidi"/>
                <w:noProof/>
                <w:kern w:val="2"/>
                <w:szCs w:val="24"/>
                <w14:ligatures w14:val="standardContextual"/>
              </w:rPr>
              <w:tab/>
            </w:r>
            <w:r w:rsidR="00324DFC" w:rsidRPr="00FF11F1">
              <w:rPr>
                <w:rStyle w:val="Hipervnculo"/>
                <w:noProof/>
              </w:rPr>
              <w:t>Hallazgos de la revisión documental</w:t>
            </w:r>
            <w:r w:rsidR="00324DFC">
              <w:rPr>
                <w:noProof/>
                <w:webHidden/>
              </w:rPr>
              <w:tab/>
            </w:r>
            <w:r w:rsidR="00324DFC">
              <w:rPr>
                <w:noProof/>
                <w:webHidden/>
              </w:rPr>
              <w:fldChar w:fldCharType="begin"/>
            </w:r>
            <w:r w:rsidR="00324DFC">
              <w:rPr>
                <w:noProof/>
                <w:webHidden/>
              </w:rPr>
              <w:instrText xml:space="preserve"> PAGEREF _Toc229077667 \h </w:instrText>
            </w:r>
            <w:r w:rsidR="00324DFC">
              <w:rPr>
                <w:noProof/>
                <w:webHidden/>
              </w:rPr>
            </w:r>
            <w:r w:rsidR="00324DFC">
              <w:rPr>
                <w:noProof/>
                <w:webHidden/>
              </w:rPr>
              <w:fldChar w:fldCharType="separate"/>
            </w:r>
            <w:r w:rsidR="00CD3177">
              <w:rPr>
                <w:noProof/>
                <w:webHidden/>
              </w:rPr>
              <w:t>133</w:t>
            </w:r>
            <w:r w:rsidR="00324DFC">
              <w:rPr>
                <w:noProof/>
                <w:webHidden/>
              </w:rPr>
              <w:fldChar w:fldCharType="end"/>
            </w:r>
          </w:hyperlink>
        </w:p>
        <w:p w14:paraId="70454752" w14:textId="6C71476B"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8" w:history="1">
            <w:r w:rsidR="00324DFC" w:rsidRPr="00FF11F1">
              <w:rPr>
                <w:rStyle w:val="Hipervnculo"/>
                <w:noProof/>
              </w:rPr>
              <w:t>7.1.2.1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Principales causas de la ineficacia de las declaraciones de retención en la fuente en renta según los alcances legales y procedimentales.</w:t>
            </w:r>
            <w:r w:rsidR="00324DFC">
              <w:rPr>
                <w:noProof/>
                <w:webHidden/>
              </w:rPr>
              <w:tab/>
            </w:r>
            <w:r w:rsidR="00324DFC">
              <w:rPr>
                <w:noProof/>
                <w:webHidden/>
              </w:rPr>
              <w:fldChar w:fldCharType="begin"/>
            </w:r>
            <w:r w:rsidR="00324DFC">
              <w:rPr>
                <w:noProof/>
                <w:webHidden/>
              </w:rPr>
              <w:instrText xml:space="preserve"> PAGEREF _Toc229077668 \h </w:instrText>
            </w:r>
            <w:r w:rsidR="00324DFC">
              <w:rPr>
                <w:noProof/>
                <w:webHidden/>
              </w:rPr>
            </w:r>
            <w:r w:rsidR="00324DFC">
              <w:rPr>
                <w:noProof/>
                <w:webHidden/>
              </w:rPr>
              <w:fldChar w:fldCharType="separate"/>
            </w:r>
            <w:r w:rsidR="00CD3177">
              <w:rPr>
                <w:noProof/>
                <w:webHidden/>
              </w:rPr>
              <w:t>147</w:t>
            </w:r>
            <w:r w:rsidR="00324DFC">
              <w:rPr>
                <w:noProof/>
                <w:webHidden/>
              </w:rPr>
              <w:fldChar w:fldCharType="end"/>
            </w:r>
          </w:hyperlink>
        </w:p>
        <w:p w14:paraId="2CCE02EF" w14:textId="010628D5"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69" w:history="1">
            <w:r w:rsidR="00324DFC" w:rsidRPr="00FF11F1">
              <w:rPr>
                <w:rStyle w:val="Hipervnculo"/>
                <w:noProof/>
              </w:rPr>
              <w:t>7.1.2.1.1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Entrevista estructurada, Análisis Trabajo de Campo.</w:t>
            </w:r>
            <w:r w:rsidR="00324DFC">
              <w:rPr>
                <w:noProof/>
                <w:webHidden/>
              </w:rPr>
              <w:tab/>
            </w:r>
            <w:r w:rsidR="00324DFC">
              <w:rPr>
                <w:noProof/>
                <w:webHidden/>
              </w:rPr>
              <w:fldChar w:fldCharType="begin"/>
            </w:r>
            <w:r w:rsidR="00324DFC">
              <w:rPr>
                <w:noProof/>
                <w:webHidden/>
              </w:rPr>
              <w:instrText xml:space="preserve"> PAGEREF _Toc229077669 \h </w:instrText>
            </w:r>
            <w:r w:rsidR="00324DFC">
              <w:rPr>
                <w:noProof/>
                <w:webHidden/>
              </w:rPr>
            </w:r>
            <w:r w:rsidR="00324DFC">
              <w:rPr>
                <w:noProof/>
                <w:webHidden/>
              </w:rPr>
              <w:fldChar w:fldCharType="separate"/>
            </w:r>
            <w:r w:rsidR="00CD3177">
              <w:rPr>
                <w:noProof/>
                <w:webHidden/>
              </w:rPr>
              <w:t>151</w:t>
            </w:r>
            <w:r w:rsidR="00324DFC">
              <w:rPr>
                <w:noProof/>
                <w:webHidden/>
              </w:rPr>
              <w:fldChar w:fldCharType="end"/>
            </w:r>
          </w:hyperlink>
        </w:p>
        <w:p w14:paraId="76536542" w14:textId="4A069ECF"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70" w:history="1">
            <w:r w:rsidR="00324DFC" w:rsidRPr="00FF11F1">
              <w:rPr>
                <w:rStyle w:val="Hipervnculo"/>
                <w:noProof/>
              </w:rPr>
              <w:t>7.1.3</w:t>
            </w:r>
            <w:r w:rsidR="00324DFC">
              <w:rPr>
                <w:rFonts w:asciiTheme="minorHAnsi" w:hAnsiTheme="minorHAnsi" w:cstheme="minorBidi"/>
                <w:noProof/>
                <w:kern w:val="2"/>
                <w:szCs w:val="24"/>
                <w14:ligatures w14:val="standardContextual"/>
              </w:rPr>
              <w:tab/>
            </w:r>
            <w:r w:rsidR="00324DFC" w:rsidRPr="00FF11F1">
              <w:rPr>
                <w:rStyle w:val="Hipervnculo"/>
                <w:noProof/>
              </w:rPr>
              <w:t>Conclusión Objetivo 1</w:t>
            </w:r>
            <w:r w:rsidR="00324DFC">
              <w:rPr>
                <w:noProof/>
                <w:webHidden/>
              </w:rPr>
              <w:tab/>
            </w:r>
            <w:r w:rsidR="00324DFC">
              <w:rPr>
                <w:noProof/>
                <w:webHidden/>
              </w:rPr>
              <w:fldChar w:fldCharType="begin"/>
            </w:r>
            <w:r w:rsidR="00324DFC">
              <w:rPr>
                <w:noProof/>
                <w:webHidden/>
              </w:rPr>
              <w:instrText xml:space="preserve"> PAGEREF _Toc229077670 \h </w:instrText>
            </w:r>
            <w:r w:rsidR="00324DFC">
              <w:rPr>
                <w:noProof/>
                <w:webHidden/>
              </w:rPr>
            </w:r>
            <w:r w:rsidR="00324DFC">
              <w:rPr>
                <w:noProof/>
                <w:webHidden/>
              </w:rPr>
              <w:fldChar w:fldCharType="separate"/>
            </w:r>
            <w:r w:rsidR="00CD3177">
              <w:rPr>
                <w:noProof/>
                <w:webHidden/>
              </w:rPr>
              <w:t>155</w:t>
            </w:r>
            <w:r w:rsidR="00324DFC">
              <w:rPr>
                <w:noProof/>
                <w:webHidden/>
              </w:rPr>
              <w:fldChar w:fldCharType="end"/>
            </w:r>
          </w:hyperlink>
        </w:p>
        <w:p w14:paraId="78609E64" w14:textId="6431FCCC"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1" w:history="1">
            <w:r w:rsidR="00324DFC" w:rsidRPr="00FF11F1">
              <w:rPr>
                <w:rStyle w:val="Hipervnculo"/>
                <w:noProof/>
              </w:rPr>
              <w:t>7.2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Objetivo B: consecuencias legales, fiscales y operativas de la ineficacia de las declaraciones de retención en la fuente en renta</w:t>
            </w:r>
            <w:r w:rsidR="00324DFC">
              <w:rPr>
                <w:noProof/>
                <w:webHidden/>
              </w:rPr>
              <w:tab/>
            </w:r>
            <w:r w:rsidR="00324DFC">
              <w:rPr>
                <w:noProof/>
                <w:webHidden/>
              </w:rPr>
              <w:fldChar w:fldCharType="begin"/>
            </w:r>
            <w:r w:rsidR="00324DFC">
              <w:rPr>
                <w:noProof/>
                <w:webHidden/>
              </w:rPr>
              <w:instrText xml:space="preserve"> PAGEREF _Toc229077671 \h </w:instrText>
            </w:r>
            <w:r w:rsidR="00324DFC">
              <w:rPr>
                <w:noProof/>
                <w:webHidden/>
              </w:rPr>
            </w:r>
            <w:r w:rsidR="00324DFC">
              <w:rPr>
                <w:noProof/>
                <w:webHidden/>
              </w:rPr>
              <w:fldChar w:fldCharType="separate"/>
            </w:r>
            <w:r w:rsidR="00CD3177">
              <w:rPr>
                <w:noProof/>
                <w:webHidden/>
              </w:rPr>
              <w:t>155</w:t>
            </w:r>
            <w:r w:rsidR="00324DFC">
              <w:rPr>
                <w:noProof/>
                <w:webHidden/>
              </w:rPr>
              <w:fldChar w:fldCharType="end"/>
            </w:r>
          </w:hyperlink>
        </w:p>
        <w:p w14:paraId="2DA967A1" w14:textId="06F23F9A"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72" w:history="1">
            <w:r w:rsidR="00324DFC" w:rsidRPr="00FF11F1">
              <w:rPr>
                <w:rStyle w:val="Hipervnculo"/>
                <w:noProof/>
              </w:rPr>
              <w:t>7.2.1</w:t>
            </w:r>
            <w:r w:rsidR="00324DFC">
              <w:rPr>
                <w:rFonts w:asciiTheme="minorHAnsi" w:hAnsiTheme="minorHAnsi" w:cstheme="minorBidi"/>
                <w:noProof/>
                <w:kern w:val="2"/>
                <w:szCs w:val="24"/>
                <w14:ligatures w14:val="standardContextual"/>
              </w:rPr>
              <w:tab/>
            </w:r>
            <w:r w:rsidR="00324DFC" w:rsidRPr="00FF11F1">
              <w:rPr>
                <w:rStyle w:val="Hipervnculo"/>
                <w:noProof/>
              </w:rPr>
              <w:t>Atributos teóricos que explican las consecuencias legales, fiscales y operativas de la ineficacia de las declaraciones de retención en la fuente en renta</w:t>
            </w:r>
            <w:r w:rsidR="00324DFC">
              <w:rPr>
                <w:noProof/>
                <w:webHidden/>
              </w:rPr>
              <w:tab/>
            </w:r>
            <w:r w:rsidR="00324DFC">
              <w:rPr>
                <w:noProof/>
                <w:webHidden/>
              </w:rPr>
              <w:fldChar w:fldCharType="begin"/>
            </w:r>
            <w:r w:rsidR="00324DFC">
              <w:rPr>
                <w:noProof/>
                <w:webHidden/>
              </w:rPr>
              <w:instrText xml:space="preserve"> PAGEREF _Toc229077672 \h </w:instrText>
            </w:r>
            <w:r w:rsidR="00324DFC">
              <w:rPr>
                <w:noProof/>
                <w:webHidden/>
              </w:rPr>
            </w:r>
            <w:r w:rsidR="00324DFC">
              <w:rPr>
                <w:noProof/>
                <w:webHidden/>
              </w:rPr>
              <w:fldChar w:fldCharType="separate"/>
            </w:r>
            <w:r w:rsidR="00CD3177">
              <w:rPr>
                <w:noProof/>
                <w:webHidden/>
              </w:rPr>
              <w:t>158</w:t>
            </w:r>
            <w:r w:rsidR="00324DFC">
              <w:rPr>
                <w:noProof/>
                <w:webHidden/>
              </w:rPr>
              <w:fldChar w:fldCharType="end"/>
            </w:r>
          </w:hyperlink>
        </w:p>
        <w:p w14:paraId="56F9445C" w14:textId="1473C1E0"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73" w:history="1">
            <w:r w:rsidR="00324DFC" w:rsidRPr="00FF11F1">
              <w:rPr>
                <w:rStyle w:val="Hipervnculo"/>
                <w:noProof/>
              </w:rPr>
              <w:t>7.2.2</w:t>
            </w:r>
            <w:r w:rsidR="00324DFC">
              <w:rPr>
                <w:rFonts w:asciiTheme="minorHAnsi" w:hAnsiTheme="minorHAnsi" w:cstheme="minorBidi"/>
                <w:noProof/>
                <w:kern w:val="2"/>
                <w:szCs w:val="24"/>
                <w14:ligatures w14:val="standardContextual"/>
              </w:rPr>
              <w:tab/>
            </w:r>
            <w:r w:rsidR="00324DFC" w:rsidRPr="00FF11F1">
              <w:rPr>
                <w:rStyle w:val="Hipervnculo"/>
                <w:noProof/>
              </w:rPr>
              <w:t>Consecuencias legales, fiscales operativas y de proceso de cobro de la ineficacia de las declaraciones de retención en la fuente en renta</w:t>
            </w:r>
            <w:r w:rsidR="00324DFC">
              <w:rPr>
                <w:noProof/>
                <w:webHidden/>
              </w:rPr>
              <w:tab/>
            </w:r>
            <w:r w:rsidR="00324DFC">
              <w:rPr>
                <w:noProof/>
                <w:webHidden/>
              </w:rPr>
              <w:fldChar w:fldCharType="begin"/>
            </w:r>
            <w:r w:rsidR="00324DFC">
              <w:rPr>
                <w:noProof/>
                <w:webHidden/>
              </w:rPr>
              <w:instrText xml:space="preserve"> PAGEREF _Toc229077673 \h </w:instrText>
            </w:r>
            <w:r w:rsidR="00324DFC">
              <w:rPr>
                <w:noProof/>
                <w:webHidden/>
              </w:rPr>
            </w:r>
            <w:r w:rsidR="00324DFC">
              <w:rPr>
                <w:noProof/>
                <w:webHidden/>
              </w:rPr>
              <w:fldChar w:fldCharType="separate"/>
            </w:r>
            <w:r w:rsidR="00CD3177">
              <w:rPr>
                <w:noProof/>
                <w:webHidden/>
              </w:rPr>
              <w:t>160</w:t>
            </w:r>
            <w:r w:rsidR="00324DFC">
              <w:rPr>
                <w:noProof/>
                <w:webHidden/>
              </w:rPr>
              <w:fldChar w:fldCharType="end"/>
            </w:r>
          </w:hyperlink>
        </w:p>
        <w:p w14:paraId="33C05218" w14:textId="5D317155"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4" w:history="1">
            <w:r w:rsidR="00324DFC" w:rsidRPr="00FF11F1">
              <w:rPr>
                <w:rStyle w:val="Hipervnculo"/>
                <w:noProof/>
              </w:rPr>
              <w:t>7.2.2.1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Consecuencias legales</w:t>
            </w:r>
            <w:r w:rsidR="00324DFC">
              <w:rPr>
                <w:noProof/>
                <w:webHidden/>
              </w:rPr>
              <w:tab/>
            </w:r>
            <w:r w:rsidR="00324DFC">
              <w:rPr>
                <w:noProof/>
                <w:webHidden/>
              </w:rPr>
              <w:fldChar w:fldCharType="begin"/>
            </w:r>
            <w:r w:rsidR="00324DFC">
              <w:rPr>
                <w:noProof/>
                <w:webHidden/>
              </w:rPr>
              <w:instrText xml:space="preserve"> PAGEREF _Toc229077674 \h </w:instrText>
            </w:r>
            <w:r w:rsidR="00324DFC">
              <w:rPr>
                <w:noProof/>
                <w:webHidden/>
              </w:rPr>
            </w:r>
            <w:r w:rsidR="00324DFC">
              <w:rPr>
                <w:noProof/>
                <w:webHidden/>
              </w:rPr>
              <w:fldChar w:fldCharType="separate"/>
            </w:r>
            <w:r w:rsidR="00CD3177">
              <w:rPr>
                <w:noProof/>
                <w:webHidden/>
              </w:rPr>
              <w:t>160</w:t>
            </w:r>
            <w:r w:rsidR="00324DFC">
              <w:rPr>
                <w:noProof/>
                <w:webHidden/>
              </w:rPr>
              <w:fldChar w:fldCharType="end"/>
            </w:r>
          </w:hyperlink>
        </w:p>
        <w:p w14:paraId="741A1FEF" w14:textId="3A61223E"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5" w:history="1">
            <w:r w:rsidR="00324DFC" w:rsidRPr="00FF11F1">
              <w:rPr>
                <w:rStyle w:val="Hipervnculo"/>
                <w:noProof/>
              </w:rPr>
              <w:t>7.2.2.1.1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Análisis documental</w:t>
            </w:r>
            <w:r w:rsidR="00324DFC">
              <w:rPr>
                <w:noProof/>
                <w:webHidden/>
              </w:rPr>
              <w:tab/>
            </w:r>
            <w:r w:rsidR="00324DFC">
              <w:rPr>
                <w:noProof/>
                <w:webHidden/>
              </w:rPr>
              <w:fldChar w:fldCharType="begin"/>
            </w:r>
            <w:r w:rsidR="00324DFC">
              <w:rPr>
                <w:noProof/>
                <w:webHidden/>
              </w:rPr>
              <w:instrText xml:space="preserve"> PAGEREF _Toc229077675 \h </w:instrText>
            </w:r>
            <w:r w:rsidR="00324DFC">
              <w:rPr>
                <w:noProof/>
                <w:webHidden/>
              </w:rPr>
            </w:r>
            <w:r w:rsidR="00324DFC">
              <w:rPr>
                <w:noProof/>
                <w:webHidden/>
              </w:rPr>
              <w:fldChar w:fldCharType="separate"/>
            </w:r>
            <w:r w:rsidR="00CD3177">
              <w:rPr>
                <w:noProof/>
                <w:webHidden/>
              </w:rPr>
              <w:t>161</w:t>
            </w:r>
            <w:r w:rsidR="00324DFC">
              <w:rPr>
                <w:noProof/>
                <w:webHidden/>
              </w:rPr>
              <w:fldChar w:fldCharType="end"/>
            </w:r>
          </w:hyperlink>
        </w:p>
        <w:p w14:paraId="2947FD06" w14:textId="2368E3A7"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6" w:history="1">
            <w:r w:rsidR="00324DFC" w:rsidRPr="00FF11F1">
              <w:rPr>
                <w:rStyle w:val="Hipervnculo"/>
                <w:noProof/>
              </w:rPr>
              <w:t>7.2.2.1.2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Análisis Trabajo de Campo</w:t>
            </w:r>
            <w:r w:rsidR="00324DFC">
              <w:rPr>
                <w:noProof/>
                <w:webHidden/>
              </w:rPr>
              <w:tab/>
            </w:r>
            <w:r w:rsidR="00324DFC">
              <w:rPr>
                <w:noProof/>
                <w:webHidden/>
              </w:rPr>
              <w:fldChar w:fldCharType="begin"/>
            </w:r>
            <w:r w:rsidR="00324DFC">
              <w:rPr>
                <w:noProof/>
                <w:webHidden/>
              </w:rPr>
              <w:instrText xml:space="preserve"> PAGEREF _Toc229077676 \h </w:instrText>
            </w:r>
            <w:r w:rsidR="00324DFC">
              <w:rPr>
                <w:noProof/>
                <w:webHidden/>
              </w:rPr>
            </w:r>
            <w:r w:rsidR="00324DFC">
              <w:rPr>
                <w:noProof/>
                <w:webHidden/>
              </w:rPr>
              <w:fldChar w:fldCharType="separate"/>
            </w:r>
            <w:r w:rsidR="00CD3177">
              <w:rPr>
                <w:noProof/>
                <w:webHidden/>
              </w:rPr>
              <w:t>164</w:t>
            </w:r>
            <w:r w:rsidR="00324DFC">
              <w:rPr>
                <w:noProof/>
                <w:webHidden/>
              </w:rPr>
              <w:fldChar w:fldCharType="end"/>
            </w:r>
          </w:hyperlink>
        </w:p>
        <w:p w14:paraId="49C2A9EB" w14:textId="2DAA0F37"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7" w:history="1">
            <w:r w:rsidR="00324DFC" w:rsidRPr="00FF11F1">
              <w:rPr>
                <w:rStyle w:val="Hipervnculo"/>
                <w:noProof/>
              </w:rPr>
              <w:t>7.2.2.1.3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Conclusiones sobre las consecuencias legales.</w:t>
            </w:r>
            <w:r w:rsidR="00324DFC">
              <w:rPr>
                <w:noProof/>
                <w:webHidden/>
              </w:rPr>
              <w:tab/>
            </w:r>
            <w:r w:rsidR="00324DFC">
              <w:rPr>
                <w:noProof/>
                <w:webHidden/>
              </w:rPr>
              <w:fldChar w:fldCharType="begin"/>
            </w:r>
            <w:r w:rsidR="00324DFC">
              <w:rPr>
                <w:noProof/>
                <w:webHidden/>
              </w:rPr>
              <w:instrText xml:space="preserve"> PAGEREF _Toc229077677 \h </w:instrText>
            </w:r>
            <w:r w:rsidR="00324DFC">
              <w:rPr>
                <w:noProof/>
                <w:webHidden/>
              </w:rPr>
            </w:r>
            <w:r w:rsidR="00324DFC">
              <w:rPr>
                <w:noProof/>
                <w:webHidden/>
              </w:rPr>
              <w:fldChar w:fldCharType="separate"/>
            </w:r>
            <w:r w:rsidR="00CD3177">
              <w:rPr>
                <w:noProof/>
                <w:webHidden/>
              </w:rPr>
              <w:t>165</w:t>
            </w:r>
            <w:r w:rsidR="00324DFC">
              <w:rPr>
                <w:noProof/>
                <w:webHidden/>
              </w:rPr>
              <w:fldChar w:fldCharType="end"/>
            </w:r>
          </w:hyperlink>
        </w:p>
        <w:p w14:paraId="4BFD74F0" w14:textId="29CD4380"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8" w:history="1">
            <w:r w:rsidR="00324DFC" w:rsidRPr="00FF11F1">
              <w:rPr>
                <w:rStyle w:val="Hipervnculo"/>
                <w:noProof/>
              </w:rPr>
              <w:t>7.2.2.1.4</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Consecuencias fiscales.</w:t>
            </w:r>
            <w:r w:rsidR="00324DFC">
              <w:rPr>
                <w:noProof/>
                <w:webHidden/>
              </w:rPr>
              <w:tab/>
            </w:r>
            <w:r w:rsidR="00324DFC">
              <w:rPr>
                <w:noProof/>
                <w:webHidden/>
              </w:rPr>
              <w:fldChar w:fldCharType="begin"/>
            </w:r>
            <w:r w:rsidR="00324DFC">
              <w:rPr>
                <w:noProof/>
                <w:webHidden/>
              </w:rPr>
              <w:instrText xml:space="preserve"> PAGEREF _Toc229077678 \h </w:instrText>
            </w:r>
            <w:r w:rsidR="00324DFC">
              <w:rPr>
                <w:noProof/>
                <w:webHidden/>
              </w:rPr>
            </w:r>
            <w:r w:rsidR="00324DFC">
              <w:rPr>
                <w:noProof/>
                <w:webHidden/>
              </w:rPr>
              <w:fldChar w:fldCharType="separate"/>
            </w:r>
            <w:r w:rsidR="00CD3177">
              <w:rPr>
                <w:noProof/>
                <w:webHidden/>
              </w:rPr>
              <w:t>165</w:t>
            </w:r>
            <w:r w:rsidR="00324DFC">
              <w:rPr>
                <w:noProof/>
                <w:webHidden/>
              </w:rPr>
              <w:fldChar w:fldCharType="end"/>
            </w:r>
          </w:hyperlink>
        </w:p>
        <w:p w14:paraId="557BE97D" w14:textId="0DE6FCCD"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79" w:history="1">
            <w:r w:rsidR="00324DFC" w:rsidRPr="00FF11F1">
              <w:rPr>
                <w:rStyle w:val="Hipervnculo"/>
                <w:noProof/>
              </w:rPr>
              <w:t>7.2.2.1.5</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Análisis documental</w:t>
            </w:r>
            <w:r w:rsidR="00324DFC">
              <w:rPr>
                <w:noProof/>
                <w:webHidden/>
              </w:rPr>
              <w:tab/>
            </w:r>
            <w:r w:rsidR="00324DFC">
              <w:rPr>
                <w:noProof/>
                <w:webHidden/>
              </w:rPr>
              <w:fldChar w:fldCharType="begin"/>
            </w:r>
            <w:r w:rsidR="00324DFC">
              <w:rPr>
                <w:noProof/>
                <w:webHidden/>
              </w:rPr>
              <w:instrText xml:space="preserve"> PAGEREF _Toc229077679 \h </w:instrText>
            </w:r>
            <w:r w:rsidR="00324DFC">
              <w:rPr>
                <w:noProof/>
                <w:webHidden/>
              </w:rPr>
            </w:r>
            <w:r w:rsidR="00324DFC">
              <w:rPr>
                <w:noProof/>
                <w:webHidden/>
              </w:rPr>
              <w:fldChar w:fldCharType="separate"/>
            </w:r>
            <w:r w:rsidR="00CD3177">
              <w:rPr>
                <w:noProof/>
                <w:webHidden/>
              </w:rPr>
              <w:t>166</w:t>
            </w:r>
            <w:r w:rsidR="00324DFC">
              <w:rPr>
                <w:noProof/>
                <w:webHidden/>
              </w:rPr>
              <w:fldChar w:fldCharType="end"/>
            </w:r>
          </w:hyperlink>
        </w:p>
        <w:p w14:paraId="0DB93322" w14:textId="64352072"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0" w:history="1">
            <w:r w:rsidR="00324DFC" w:rsidRPr="00FF11F1">
              <w:rPr>
                <w:rStyle w:val="Hipervnculo"/>
                <w:noProof/>
              </w:rPr>
              <w:t>7.2.2.1.6</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Análisis Trabajo de Campo, entrevistas a expertos.</w:t>
            </w:r>
            <w:r w:rsidR="00324DFC">
              <w:rPr>
                <w:noProof/>
                <w:webHidden/>
              </w:rPr>
              <w:tab/>
            </w:r>
            <w:r w:rsidR="00324DFC">
              <w:rPr>
                <w:noProof/>
                <w:webHidden/>
              </w:rPr>
              <w:fldChar w:fldCharType="begin"/>
            </w:r>
            <w:r w:rsidR="00324DFC">
              <w:rPr>
                <w:noProof/>
                <w:webHidden/>
              </w:rPr>
              <w:instrText xml:space="preserve"> PAGEREF _Toc229077680 \h </w:instrText>
            </w:r>
            <w:r w:rsidR="00324DFC">
              <w:rPr>
                <w:noProof/>
                <w:webHidden/>
              </w:rPr>
            </w:r>
            <w:r w:rsidR="00324DFC">
              <w:rPr>
                <w:noProof/>
                <w:webHidden/>
              </w:rPr>
              <w:fldChar w:fldCharType="separate"/>
            </w:r>
            <w:r w:rsidR="00CD3177">
              <w:rPr>
                <w:noProof/>
                <w:webHidden/>
              </w:rPr>
              <w:t>168</w:t>
            </w:r>
            <w:r w:rsidR="00324DFC">
              <w:rPr>
                <w:noProof/>
                <w:webHidden/>
              </w:rPr>
              <w:fldChar w:fldCharType="end"/>
            </w:r>
          </w:hyperlink>
        </w:p>
        <w:p w14:paraId="14EB6736" w14:textId="2E7B6EA1"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1" w:history="1">
            <w:r w:rsidR="00324DFC" w:rsidRPr="00FF11F1">
              <w:rPr>
                <w:rStyle w:val="Hipervnculo"/>
                <w:noProof/>
              </w:rPr>
              <w:t>7.2.2.1.7</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Conclusiones sobre las consecuencias Fiscales.</w:t>
            </w:r>
            <w:r w:rsidR="00324DFC">
              <w:rPr>
                <w:noProof/>
                <w:webHidden/>
              </w:rPr>
              <w:tab/>
            </w:r>
            <w:r w:rsidR="00324DFC">
              <w:rPr>
                <w:noProof/>
                <w:webHidden/>
              </w:rPr>
              <w:fldChar w:fldCharType="begin"/>
            </w:r>
            <w:r w:rsidR="00324DFC">
              <w:rPr>
                <w:noProof/>
                <w:webHidden/>
              </w:rPr>
              <w:instrText xml:space="preserve"> PAGEREF _Toc229077681 \h </w:instrText>
            </w:r>
            <w:r w:rsidR="00324DFC">
              <w:rPr>
                <w:noProof/>
                <w:webHidden/>
              </w:rPr>
            </w:r>
            <w:r w:rsidR="00324DFC">
              <w:rPr>
                <w:noProof/>
                <w:webHidden/>
              </w:rPr>
              <w:fldChar w:fldCharType="separate"/>
            </w:r>
            <w:r w:rsidR="00CD3177">
              <w:rPr>
                <w:noProof/>
                <w:webHidden/>
              </w:rPr>
              <w:t>170</w:t>
            </w:r>
            <w:r w:rsidR="00324DFC">
              <w:rPr>
                <w:noProof/>
                <w:webHidden/>
              </w:rPr>
              <w:fldChar w:fldCharType="end"/>
            </w:r>
          </w:hyperlink>
        </w:p>
        <w:p w14:paraId="25E33D83" w14:textId="23CF6EB1"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2" w:history="1">
            <w:r w:rsidR="00324DFC" w:rsidRPr="00FF11F1">
              <w:rPr>
                <w:rStyle w:val="Hipervnculo"/>
                <w:noProof/>
              </w:rPr>
              <w:t>7.2.2.1.8</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Consecuencias operativas.</w:t>
            </w:r>
            <w:r w:rsidR="00324DFC">
              <w:rPr>
                <w:noProof/>
                <w:webHidden/>
              </w:rPr>
              <w:tab/>
            </w:r>
            <w:r w:rsidR="00324DFC">
              <w:rPr>
                <w:noProof/>
                <w:webHidden/>
              </w:rPr>
              <w:fldChar w:fldCharType="begin"/>
            </w:r>
            <w:r w:rsidR="00324DFC">
              <w:rPr>
                <w:noProof/>
                <w:webHidden/>
              </w:rPr>
              <w:instrText xml:space="preserve"> PAGEREF _Toc229077682 \h </w:instrText>
            </w:r>
            <w:r w:rsidR="00324DFC">
              <w:rPr>
                <w:noProof/>
                <w:webHidden/>
              </w:rPr>
            </w:r>
            <w:r w:rsidR="00324DFC">
              <w:rPr>
                <w:noProof/>
                <w:webHidden/>
              </w:rPr>
              <w:fldChar w:fldCharType="separate"/>
            </w:r>
            <w:r w:rsidR="00CD3177">
              <w:rPr>
                <w:noProof/>
                <w:webHidden/>
              </w:rPr>
              <w:t>171</w:t>
            </w:r>
            <w:r w:rsidR="00324DFC">
              <w:rPr>
                <w:noProof/>
                <w:webHidden/>
              </w:rPr>
              <w:fldChar w:fldCharType="end"/>
            </w:r>
          </w:hyperlink>
        </w:p>
        <w:p w14:paraId="19BB9B97" w14:textId="22DC09F6" w:rsidR="00324DFC" w:rsidRDefault="00674D57" w:rsidP="00263B16">
          <w:pPr>
            <w:pStyle w:val="TDC5"/>
            <w:tabs>
              <w:tab w:val="left" w:pos="203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3" w:history="1">
            <w:r w:rsidR="00324DFC" w:rsidRPr="00FF11F1">
              <w:rPr>
                <w:rStyle w:val="Hipervnculo"/>
                <w:noProof/>
              </w:rPr>
              <w:t>7.2.2.1.9</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Análisis documental.</w:t>
            </w:r>
            <w:r w:rsidR="00324DFC">
              <w:rPr>
                <w:noProof/>
                <w:webHidden/>
              </w:rPr>
              <w:tab/>
            </w:r>
            <w:r w:rsidR="00324DFC">
              <w:rPr>
                <w:noProof/>
                <w:webHidden/>
              </w:rPr>
              <w:fldChar w:fldCharType="begin"/>
            </w:r>
            <w:r w:rsidR="00324DFC">
              <w:rPr>
                <w:noProof/>
                <w:webHidden/>
              </w:rPr>
              <w:instrText xml:space="preserve"> PAGEREF _Toc229077683 \h </w:instrText>
            </w:r>
            <w:r w:rsidR="00324DFC">
              <w:rPr>
                <w:noProof/>
                <w:webHidden/>
              </w:rPr>
            </w:r>
            <w:r w:rsidR="00324DFC">
              <w:rPr>
                <w:noProof/>
                <w:webHidden/>
              </w:rPr>
              <w:fldChar w:fldCharType="separate"/>
            </w:r>
            <w:r w:rsidR="00CD3177">
              <w:rPr>
                <w:noProof/>
                <w:webHidden/>
              </w:rPr>
              <w:t>172</w:t>
            </w:r>
            <w:r w:rsidR="00324DFC">
              <w:rPr>
                <w:noProof/>
                <w:webHidden/>
              </w:rPr>
              <w:fldChar w:fldCharType="end"/>
            </w:r>
          </w:hyperlink>
        </w:p>
        <w:p w14:paraId="4D4CB0E5" w14:textId="6371A90C" w:rsidR="00324DFC" w:rsidRDefault="00674D57" w:rsidP="00263B16">
          <w:pPr>
            <w:pStyle w:val="TDC5"/>
            <w:tabs>
              <w:tab w:val="left" w:pos="21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4" w:history="1">
            <w:r w:rsidR="00324DFC" w:rsidRPr="00FF11F1">
              <w:rPr>
                <w:rStyle w:val="Hipervnculo"/>
                <w:noProof/>
              </w:rPr>
              <w:t>7.2.2.1.10</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Análisis Trabajo de Campo, entrevistas.</w:t>
            </w:r>
            <w:r w:rsidR="00324DFC">
              <w:rPr>
                <w:noProof/>
                <w:webHidden/>
              </w:rPr>
              <w:tab/>
            </w:r>
            <w:r w:rsidR="00324DFC">
              <w:rPr>
                <w:noProof/>
                <w:webHidden/>
              </w:rPr>
              <w:fldChar w:fldCharType="begin"/>
            </w:r>
            <w:r w:rsidR="00324DFC">
              <w:rPr>
                <w:noProof/>
                <w:webHidden/>
              </w:rPr>
              <w:instrText xml:space="preserve"> PAGEREF _Toc229077684 \h </w:instrText>
            </w:r>
            <w:r w:rsidR="00324DFC">
              <w:rPr>
                <w:noProof/>
                <w:webHidden/>
              </w:rPr>
            </w:r>
            <w:r w:rsidR="00324DFC">
              <w:rPr>
                <w:noProof/>
                <w:webHidden/>
              </w:rPr>
              <w:fldChar w:fldCharType="separate"/>
            </w:r>
            <w:r w:rsidR="00CD3177">
              <w:rPr>
                <w:noProof/>
                <w:webHidden/>
              </w:rPr>
              <w:t>173</w:t>
            </w:r>
            <w:r w:rsidR="00324DFC">
              <w:rPr>
                <w:noProof/>
                <w:webHidden/>
              </w:rPr>
              <w:fldChar w:fldCharType="end"/>
            </w:r>
          </w:hyperlink>
        </w:p>
        <w:p w14:paraId="122B0E25" w14:textId="350147AD" w:rsidR="00324DFC" w:rsidRDefault="00674D57" w:rsidP="00263B16">
          <w:pPr>
            <w:pStyle w:val="TDC5"/>
            <w:tabs>
              <w:tab w:val="left" w:pos="21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5" w:history="1">
            <w:r w:rsidR="00324DFC" w:rsidRPr="00FF11F1">
              <w:rPr>
                <w:rStyle w:val="Hipervnculo"/>
                <w:noProof/>
              </w:rPr>
              <w:t>7.2.2.1.11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Cifras DSIA Ibagué 2014 al 2024.</w:t>
            </w:r>
            <w:r w:rsidR="00324DFC">
              <w:rPr>
                <w:noProof/>
                <w:webHidden/>
              </w:rPr>
              <w:tab/>
            </w:r>
            <w:r w:rsidR="00324DFC">
              <w:rPr>
                <w:noProof/>
                <w:webHidden/>
              </w:rPr>
              <w:fldChar w:fldCharType="begin"/>
            </w:r>
            <w:r w:rsidR="00324DFC">
              <w:rPr>
                <w:noProof/>
                <w:webHidden/>
              </w:rPr>
              <w:instrText xml:space="preserve"> PAGEREF _Toc229077685 \h </w:instrText>
            </w:r>
            <w:r w:rsidR="00324DFC">
              <w:rPr>
                <w:noProof/>
                <w:webHidden/>
              </w:rPr>
            </w:r>
            <w:r w:rsidR="00324DFC">
              <w:rPr>
                <w:noProof/>
                <w:webHidden/>
              </w:rPr>
              <w:fldChar w:fldCharType="separate"/>
            </w:r>
            <w:r w:rsidR="00CD3177">
              <w:rPr>
                <w:noProof/>
                <w:webHidden/>
              </w:rPr>
              <w:t>175</w:t>
            </w:r>
            <w:r w:rsidR="00324DFC">
              <w:rPr>
                <w:noProof/>
                <w:webHidden/>
              </w:rPr>
              <w:fldChar w:fldCharType="end"/>
            </w:r>
          </w:hyperlink>
        </w:p>
        <w:p w14:paraId="18CA69D3" w14:textId="430F92F8" w:rsidR="00324DFC" w:rsidRDefault="00674D57" w:rsidP="00263B16">
          <w:pPr>
            <w:pStyle w:val="TDC5"/>
            <w:tabs>
              <w:tab w:val="left" w:pos="21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6" w:history="1">
            <w:r w:rsidR="00324DFC" w:rsidRPr="00FF11F1">
              <w:rPr>
                <w:rStyle w:val="Hipervnculo"/>
                <w:noProof/>
              </w:rPr>
              <w:t>7.2.2.1.12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Conclusiones sobre las consecuencias Operativas.</w:t>
            </w:r>
            <w:r w:rsidR="00324DFC">
              <w:rPr>
                <w:noProof/>
                <w:webHidden/>
              </w:rPr>
              <w:tab/>
            </w:r>
            <w:r w:rsidR="00324DFC">
              <w:rPr>
                <w:noProof/>
                <w:webHidden/>
              </w:rPr>
              <w:fldChar w:fldCharType="begin"/>
            </w:r>
            <w:r w:rsidR="00324DFC">
              <w:rPr>
                <w:noProof/>
                <w:webHidden/>
              </w:rPr>
              <w:instrText xml:space="preserve"> PAGEREF _Toc229077686 \h </w:instrText>
            </w:r>
            <w:r w:rsidR="00324DFC">
              <w:rPr>
                <w:noProof/>
                <w:webHidden/>
              </w:rPr>
            </w:r>
            <w:r w:rsidR="00324DFC">
              <w:rPr>
                <w:noProof/>
                <w:webHidden/>
              </w:rPr>
              <w:fldChar w:fldCharType="separate"/>
            </w:r>
            <w:r w:rsidR="00CD3177">
              <w:rPr>
                <w:noProof/>
                <w:webHidden/>
              </w:rPr>
              <w:t>186</w:t>
            </w:r>
            <w:r w:rsidR="00324DFC">
              <w:rPr>
                <w:noProof/>
                <w:webHidden/>
              </w:rPr>
              <w:fldChar w:fldCharType="end"/>
            </w:r>
          </w:hyperlink>
        </w:p>
        <w:p w14:paraId="284A88F6" w14:textId="7EA8C648"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87" w:history="1">
            <w:r w:rsidR="00324DFC" w:rsidRPr="00FF11F1">
              <w:rPr>
                <w:rStyle w:val="Hipervnculo"/>
                <w:noProof/>
              </w:rPr>
              <w:t>7.2.3</w:t>
            </w:r>
            <w:r w:rsidR="00324DFC">
              <w:rPr>
                <w:rFonts w:asciiTheme="minorHAnsi" w:hAnsiTheme="minorHAnsi" w:cstheme="minorBidi"/>
                <w:noProof/>
                <w:kern w:val="2"/>
                <w:szCs w:val="24"/>
                <w14:ligatures w14:val="standardContextual"/>
              </w:rPr>
              <w:tab/>
            </w:r>
            <w:r w:rsidR="00324DFC" w:rsidRPr="00FF11F1">
              <w:rPr>
                <w:rStyle w:val="Hipervnculo"/>
                <w:noProof/>
              </w:rPr>
              <w:t>Conclusiones del objetivo específico B</w:t>
            </w:r>
            <w:r w:rsidR="00324DFC">
              <w:rPr>
                <w:noProof/>
                <w:webHidden/>
              </w:rPr>
              <w:tab/>
            </w:r>
            <w:r w:rsidR="00324DFC">
              <w:rPr>
                <w:noProof/>
                <w:webHidden/>
              </w:rPr>
              <w:fldChar w:fldCharType="begin"/>
            </w:r>
            <w:r w:rsidR="00324DFC">
              <w:rPr>
                <w:noProof/>
                <w:webHidden/>
              </w:rPr>
              <w:instrText xml:space="preserve"> PAGEREF _Toc229077687 \h </w:instrText>
            </w:r>
            <w:r w:rsidR="00324DFC">
              <w:rPr>
                <w:noProof/>
                <w:webHidden/>
              </w:rPr>
            </w:r>
            <w:r w:rsidR="00324DFC">
              <w:rPr>
                <w:noProof/>
                <w:webHidden/>
              </w:rPr>
              <w:fldChar w:fldCharType="separate"/>
            </w:r>
            <w:r w:rsidR="00CD3177">
              <w:rPr>
                <w:noProof/>
                <w:webHidden/>
              </w:rPr>
              <w:t>187</w:t>
            </w:r>
            <w:r w:rsidR="00324DFC">
              <w:rPr>
                <w:noProof/>
                <w:webHidden/>
              </w:rPr>
              <w:fldChar w:fldCharType="end"/>
            </w:r>
          </w:hyperlink>
        </w:p>
        <w:p w14:paraId="4E751FE1" w14:textId="438E9A99" w:rsidR="00324DFC" w:rsidRDefault="00674D57" w:rsidP="00263B16">
          <w:pPr>
            <w:pStyle w:val="TDC2"/>
            <w:tabs>
              <w:tab w:val="left" w:pos="958"/>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88" w:history="1">
            <w:r w:rsidR="00324DFC" w:rsidRPr="00FF11F1">
              <w:rPr>
                <w:rStyle w:val="Hipervnculo"/>
                <w:noProof/>
              </w:rPr>
              <w:t>7.3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Objetivo C: problemáticas asociadas a la ineficacia de las declaraciones de retención en la fuente</w:t>
            </w:r>
            <w:r w:rsidR="00324DFC">
              <w:rPr>
                <w:noProof/>
                <w:webHidden/>
              </w:rPr>
              <w:tab/>
            </w:r>
            <w:r w:rsidR="00324DFC">
              <w:rPr>
                <w:noProof/>
                <w:webHidden/>
              </w:rPr>
              <w:fldChar w:fldCharType="begin"/>
            </w:r>
            <w:r w:rsidR="00324DFC">
              <w:rPr>
                <w:noProof/>
                <w:webHidden/>
              </w:rPr>
              <w:instrText xml:space="preserve"> PAGEREF _Toc229077688 \h </w:instrText>
            </w:r>
            <w:r w:rsidR="00324DFC">
              <w:rPr>
                <w:noProof/>
                <w:webHidden/>
              </w:rPr>
            </w:r>
            <w:r w:rsidR="00324DFC">
              <w:rPr>
                <w:noProof/>
                <w:webHidden/>
              </w:rPr>
              <w:fldChar w:fldCharType="separate"/>
            </w:r>
            <w:r w:rsidR="00CD3177">
              <w:rPr>
                <w:noProof/>
                <w:webHidden/>
              </w:rPr>
              <w:t>189</w:t>
            </w:r>
            <w:r w:rsidR="00324DFC">
              <w:rPr>
                <w:noProof/>
                <w:webHidden/>
              </w:rPr>
              <w:fldChar w:fldCharType="end"/>
            </w:r>
          </w:hyperlink>
        </w:p>
        <w:p w14:paraId="7E54E4C2" w14:textId="7DEDA5CF"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89" w:history="1">
            <w:r w:rsidR="00324DFC" w:rsidRPr="00FF11F1">
              <w:rPr>
                <w:rStyle w:val="Hipervnculo"/>
                <w:noProof/>
              </w:rPr>
              <w:t>7.3.1</w:t>
            </w:r>
            <w:r w:rsidR="00324DFC">
              <w:rPr>
                <w:rFonts w:asciiTheme="minorHAnsi" w:hAnsiTheme="minorHAnsi" w:cstheme="minorBidi"/>
                <w:noProof/>
                <w:kern w:val="2"/>
                <w:szCs w:val="24"/>
                <w14:ligatures w14:val="standardContextual"/>
              </w:rPr>
              <w:tab/>
            </w:r>
            <w:r w:rsidR="00324DFC" w:rsidRPr="00FF11F1">
              <w:rPr>
                <w:rStyle w:val="Hipervnculo"/>
                <w:noProof/>
              </w:rPr>
              <w:t>Atributos teóricos que explican las problemáticas de las retenciones ineficaces</w:t>
            </w:r>
            <w:r w:rsidR="00324DFC">
              <w:rPr>
                <w:noProof/>
                <w:webHidden/>
              </w:rPr>
              <w:tab/>
            </w:r>
            <w:r w:rsidR="00324DFC">
              <w:rPr>
                <w:noProof/>
                <w:webHidden/>
              </w:rPr>
              <w:fldChar w:fldCharType="begin"/>
            </w:r>
            <w:r w:rsidR="00324DFC">
              <w:rPr>
                <w:noProof/>
                <w:webHidden/>
              </w:rPr>
              <w:instrText xml:space="preserve"> PAGEREF _Toc229077689 \h </w:instrText>
            </w:r>
            <w:r w:rsidR="00324DFC">
              <w:rPr>
                <w:noProof/>
                <w:webHidden/>
              </w:rPr>
            </w:r>
            <w:r w:rsidR="00324DFC">
              <w:rPr>
                <w:noProof/>
                <w:webHidden/>
              </w:rPr>
              <w:fldChar w:fldCharType="separate"/>
            </w:r>
            <w:r w:rsidR="00CD3177">
              <w:rPr>
                <w:noProof/>
                <w:webHidden/>
              </w:rPr>
              <w:t>190</w:t>
            </w:r>
            <w:r w:rsidR="00324DFC">
              <w:rPr>
                <w:noProof/>
                <w:webHidden/>
              </w:rPr>
              <w:fldChar w:fldCharType="end"/>
            </w:r>
          </w:hyperlink>
        </w:p>
        <w:p w14:paraId="19D8E781" w14:textId="7167B1EB"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90" w:history="1">
            <w:r w:rsidR="00324DFC" w:rsidRPr="00FF11F1">
              <w:rPr>
                <w:rStyle w:val="Hipervnculo"/>
                <w:noProof/>
              </w:rPr>
              <w:t>7.3.2</w:t>
            </w:r>
            <w:r w:rsidR="00324DFC">
              <w:rPr>
                <w:rFonts w:asciiTheme="minorHAnsi" w:hAnsiTheme="minorHAnsi" w:cstheme="minorBidi"/>
                <w:noProof/>
                <w:kern w:val="2"/>
                <w:szCs w:val="24"/>
                <w14:ligatures w14:val="standardContextual"/>
              </w:rPr>
              <w:tab/>
            </w:r>
            <w:r w:rsidR="00324DFC" w:rsidRPr="00FF11F1">
              <w:rPr>
                <w:rStyle w:val="Hipervnculo"/>
                <w:noProof/>
              </w:rPr>
              <w:t>Resultados problemáticos identificadas</w:t>
            </w:r>
            <w:r w:rsidR="00324DFC">
              <w:rPr>
                <w:noProof/>
                <w:webHidden/>
              </w:rPr>
              <w:tab/>
            </w:r>
            <w:r w:rsidR="00324DFC">
              <w:rPr>
                <w:noProof/>
                <w:webHidden/>
              </w:rPr>
              <w:fldChar w:fldCharType="begin"/>
            </w:r>
            <w:r w:rsidR="00324DFC">
              <w:rPr>
                <w:noProof/>
                <w:webHidden/>
              </w:rPr>
              <w:instrText xml:space="preserve"> PAGEREF _Toc229077690 \h </w:instrText>
            </w:r>
            <w:r w:rsidR="00324DFC">
              <w:rPr>
                <w:noProof/>
                <w:webHidden/>
              </w:rPr>
            </w:r>
            <w:r w:rsidR="00324DFC">
              <w:rPr>
                <w:noProof/>
                <w:webHidden/>
              </w:rPr>
              <w:fldChar w:fldCharType="separate"/>
            </w:r>
            <w:r w:rsidR="00CD3177">
              <w:rPr>
                <w:noProof/>
                <w:webHidden/>
              </w:rPr>
              <w:t>191</w:t>
            </w:r>
            <w:r w:rsidR="00324DFC">
              <w:rPr>
                <w:noProof/>
                <w:webHidden/>
              </w:rPr>
              <w:fldChar w:fldCharType="end"/>
            </w:r>
          </w:hyperlink>
        </w:p>
        <w:p w14:paraId="3136119C" w14:textId="46CE9C6E"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1" w:history="1">
            <w:r w:rsidR="00324DFC" w:rsidRPr="00FF11F1">
              <w:rPr>
                <w:rStyle w:val="Hipervnculo"/>
                <w:noProof/>
              </w:rPr>
              <w:t>7.3.2.1</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Problemática liquidez y cultura tributaria agente retenedor</w:t>
            </w:r>
            <w:r w:rsidR="00324DFC">
              <w:rPr>
                <w:noProof/>
                <w:webHidden/>
              </w:rPr>
              <w:tab/>
            </w:r>
            <w:r w:rsidR="00324DFC">
              <w:rPr>
                <w:noProof/>
                <w:webHidden/>
              </w:rPr>
              <w:fldChar w:fldCharType="begin"/>
            </w:r>
            <w:r w:rsidR="00324DFC">
              <w:rPr>
                <w:noProof/>
                <w:webHidden/>
              </w:rPr>
              <w:instrText xml:space="preserve"> PAGEREF _Toc229077691 \h </w:instrText>
            </w:r>
            <w:r w:rsidR="00324DFC">
              <w:rPr>
                <w:noProof/>
                <w:webHidden/>
              </w:rPr>
            </w:r>
            <w:r w:rsidR="00324DFC">
              <w:rPr>
                <w:noProof/>
                <w:webHidden/>
              </w:rPr>
              <w:fldChar w:fldCharType="separate"/>
            </w:r>
            <w:r w:rsidR="00CD3177">
              <w:rPr>
                <w:noProof/>
                <w:webHidden/>
              </w:rPr>
              <w:t>192</w:t>
            </w:r>
            <w:r w:rsidR="00324DFC">
              <w:rPr>
                <w:noProof/>
                <w:webHidden/>
              </w:rPr>
              <w:fldChar w:fldCharType="end"/>
            </w:r>
          </w:hyperlink>
        </w:p>
        <w:p w14:paraId="024E6E09" w14:textId="524F243E"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2" w:history="1">
            <w:r w:rsidR="00324DFC" w:rsidRPr="00FF11F1">
              <w:rPr>
                <w:rStyle w:val="Hipervnculo"/>
                <w:noProof/>
              </w:rPr>
              <w:t>7.3.2.2</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Problemáticas derivadas de la interpretación de la norma y su aplicación</w:t>
            </w:r>
            <w:r w:rsidR="00324DFC">
              <w:rPr>
                <w:noProof/>
                <w:webHidden/>
              </w:rPr>
              <w:tab/>
            </w:r>
            <w:r w:rsidR="00324DFC">
              <w:rPr>
                <w:noProof/>
                <w:webHidden/>
              </w:rPr>
              <w:fldChar w:fldCharType="begin"/>
            </w:r>
            <w:r w:rsidR="00324DFC">
              <w:rPr>
                <w:noProof/>
                <w:webHidden/>
              </w:rPr>
              <w:instrText xml:space="preserve"> PAGEREF _Toc229077692 \h </w:instrText>
            </w:r>
            <w:r w:rsidR="00324DFC">
              <w:rPr>
                <w:noProof/>
                <w:webHidden/>
              </w:rPr>
            </w:r>
            <w:r w:rsidR="00324DFC">
              <w:rPr>
                <w:noProof/>
                <w:webHidden/>
              </w:rPr>
              <w:fldChar w:fldCharType="separate"/>
            </w:r>
            <w:r w:rsidR="00CD3177">
              <w:rPr>
                <w:noProof/>
                <w:webHidden/>
              </w:rPr>
              <w:t>193</w:t>
            </w:r>
            <w:r w:rsidR="00324DFC">
              <w:rPr>
                <w:noProof/>
                <w:webHidden/>
              </w:rPr>
              <w:fldChar w:fldCharType="end"/>
            </w:r>
          </w:hyperlink>
        </w:p>
        <w:p w14:paraId="15DFF303" w14:textId="2620CEDB"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3" w:history="1">
            <w:r w:rsidR="00324DFC" w:rsidRPr="00FF11F1">
              <w:rPr>
                <w:rStyle w:val="Hipervnculo"/>
                <w:noProof/>
              </w:rPr>
              <w:t>7.3.2.3</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Problemáticas jurídicas y constitucionales</w:t>
            </w:r>
            <w:r w:rsidR="00324DFC">
              <w:rPr>
                <w:noProof/>
                <w:webHidden/>
              </w:rPr>
              <w:tab/>
            </w:r>
            <w:r w:rsidR="00324DFC">
              <w:rPr>
                <w:noProof/>
                <w:webHidden/>
              </w:rPr>
              <w:fldChar w:fldCharType="begin"/>
            </w:r>
            <w:r w:rsidR="00324DFC">
              <w:rPr>
                <w:noProof/>
                <w:webHidden/>
              </w:rPr>
              <w:instrText xml:space="preserve"> PAGEREF _Toc229077693 \h </w:instrText>
            </w:r>
            <w:r w:rsidR="00324DFC">
              <w:rPr>
                <w:noProof/>
                <w:webHidden/>
              </w:rPr>
            </w:r>
            <w:r w:rsidR="00324DFC">
              <w:rPr>
                <w:noProof/>
                <w:webHidden/>
              </w:rPr>
              <w:fldChar w:fldCharType="separate"/>
            </w:r>
            <w:r w:rsidR="00CD3177">
              <w:rPr>
                <w:noProof/>
                <w:webHidden/>
              </w:rPr>
              <w:t>195</w:t>
            </w:r>
            <w:r w:rsidR="00324DFC">
              <w:rPr>
                <w:noProof/>
                <w:webHidden/>
              </w:rPr>
              <w:fldChar w:fldCharType="end"/>
            </w:r>
          </w:hyperlink>
        </w:p>
        <w:p w14:paraId="4B7A8638" w14:textId="1735AE0C" w:rsidR="00324DFC" w:rsidRDefault="00674D57" w:rsidP="00263B16">
          <w:pPr>
            <w:pStyle w:val="TDC4"/>
            <w:tabs>
              <w:tab w:val="left" w:pos="1680"/>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4" w:history="1">
            <w:r w:rsidR="00324DFC" w:rsidRPr="00FF11F1">
              <w:rPr>
                <w:rStyle w:val="Hipervnculo"/>
                <w:noProof/>
                <w:lang w:eastAsia="es-CO"/>
              </w:rPr>
              <w:t>7.3.2.4</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lang w:eastAsia="es-CO"/>
              </w:rPr>
              <w:t>Problemáticas en la gestión administrativa, operativa y de Recaudo DIAN</w:t>
            </w:r>
            <w:r w:rsidR="00324DFC">
              <w:rPr>
                <w:noProof/>
                <w:webHidden/>
              </w:rPr>
              <w:tab/>
            </w:r>
            <w:r w:rsidR="00324DFC">
              <w:rPr>
                <w:noProof/>
                <w:webHidden/>
              </w:rPr>
              <w:fldChar w:fldCharType="begin"/>
            </w:r>
            <w:r w:rsidR="00324DFC">
              <w:rPr>
                <w:noProof/>
                <w:webHidden/>
              </w:rPr>
              <w:instrText xml:space="preserve"> PAGEREF _Toc229077694 \h </w:instrText>
            </w:r>
            <w:r w:rsidR="00324DFC">
              <w:rPr>
                <w:noProof/>
                <w:webHidden/>
              </w:rPr>
            </w:r>
            <w:r w:rsidR="00324DFC">
              <w:rPr>
                <w:noProof/>
                <w:webHidden/>
              </w:rPr>
              <w:fldChar w:fldCharType="separate"/>
            </w:r>
            <w:r w:rsidR="00CD3177">
              <w:rPr>
                <w:noProof/>
                <w:webHidden/>
              </w:rPr>
              <w:t>196</w:t>
            </w:r>
            <w:r w:rsidR="00324DFC">
              <w:rPr>
                <w:noProof/>
                <w:webHidden/>
              </w:rPr>
              <w:fldChar w:fldCharType="end"/>
            </w:r>
          </w:hyperlink>
        </w:p>
        <w:p w14:paraId="367BF1CE" w14:textId="4381DD6E" w:rsidR="00324DFC" w:rsidRDefault="00674D57" w:rsidP="00263B16">
          <w:pPr>
            <w:pStyle w:val="TDC3"/>
            <w:tabs>
              <w:tab w:val="left" w:pos="1200"/>
              <w:tab w:val="right" w:leader="dot" w:pos="9350"/>
            </w:tabs>
            <w:spacing w:before="0" w:after="0" w:line="480" w:lineRule="auto"/>
            <w:rPr>
              <w:rFonts w:asciiTheme="minorHAnsi" w:hAnsiTheme="minorHAnsi" w:cstheme="minorBidi"/>
              <w:noProof/>
              <w:kern w:val="2"/>
              <w:szCs w:val="24"/>
              <w14:ligatures w14:val="standardContextual"/>
            </w:rPr>
          </w:pPr>
          <w:hyperlink w:anchor="_Toc229077695" w:history="1">
            <w:r w:rsidR="00324DFC" w:rsidRPr="00FF11F1">
              <w:rPr>
                <w:rStyle w:val="Hipervnculo"/>
                <w:noProof/>
              </w:rPr>
              <w:t>7.3.3</w:t>
            </w:r>
            <w:r w:rsidR="00324DFC">
              <w:rPr>
                <w:rFonts w:asciiTheme="minorHAnsi" w:hAnsiTheme="minorHAnsi" w:cstheme="minorBidi"/>
                <w:noProof/>
                <w:kern w:val="2"/>
                <w:szCs w:val="24"/>
                <w14:ligatures w14:val="standardContextual"/>
              </w:rPr>
              <w:tab/>
            </w:r>
            <w:r w:rsidR="00324DFC" w:rsidRPr="00FF11F1">
              <w:rPr>
                <w:rStyle w:val="Hipervnculo"/>
                <w:noProof/>
              </w:rPr>
              <w:t>Conclusiones del objetivo C</w:t>
            </w:r>
            <w:r w:rsidR="00324DFC">
              <w:rPr>
                <w:noProof/>
                <w:webHidden/>
              </w:rPr>
              <w:tab/>
            </w:r>
            <w:r w:rsidR="00324DFC">
              <w:rPr>
                <w:noProof/>
                <w:webHidden/>
              </w:rPr>
              <w:fldChar w:fldCharType="begin"/>
            </w:r>
            <w:r w:rsidR="00324DFC">
              <w:rPr>
                <w:noProof/>
                <w:webHidden/>
              </w:rPr>
              <w:instrText xml:space="preserve"> PAGEREF _Toc229077695 \h </w:instrText>
            </w:r>
            <w:r w:rsidR="00324DFC">
              <w:rPr>
                <w:noProof/>
                <w:webHidden/>
              </w:rPr>
            </w:r>
            <w:r w:rsidR="00324DFC">
              <w:rPr>
                <w:noProof/>
                <w:webHidden/>
              </w:rPr>
              <w:fldChar w:fldCharType="separate"/>
            </w:r>
            <w:r w:rsidR="00CD3177">
              <w:rPr>
                <w:noProof/>
                <w:webHidden/>
              </w:rPr>
              <w:t>199</w:t>
            </w:r>
            <w:r w:rsidR="00324DFC">
              <w:rPr>
                <w:noProof/>
                <w:webHidden/>
              </w:rPr>
              <w:fldChar w:fldCharType="end"/>
            </w:r>
          </w:hyperlink>
        </w:p>
        <w:p w14:paraId="4BF82F0C" w14:textId="14A4EF32"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6" w:history="1">
            <w:r w:rsidR="00324DFC" w:rsidRPr="00FF11F1">
              <w:rPr>
                <w:rStyle w:val="Hipervnculo"/>
                <w:rFonts w:cs="Times New Roman"/>
                <w:noProof/>
              </w:rPr>
              <w:t>8</w:t>
            </w:r>
            <w:r w:rsidR="00324DFC">
              <w:rPr>
                <w:rFonts w:asciiTheme="minorHAnsi" w:eastAsiaTheme="minorEastAsia" w:hAnsiTheme="minorHAnsi"/>
                <w:noProof/>
                <w:kern w:val="2"/>
                <w:szCs w:val="24"/>
                <w:lang w:eastAsia="es-CO"/>
                <w14:ligatures w14:val="standardContextual"/>
              </w:rPr>
              <w:tab/>
            </w:r>
            <w:r w:rsidR="00324DFC" w:rsidRPr="00FF11F1">
              <w:rPr>
                <w:rStyle w:val="Hipervnculo"/>
                <w:rFonts w:cs="Times New Roman"/>
                <w:noProof/>
              </w:rPr>
              <w:t>Recomendaciones</w:t>
            </w:r>
            <w:r w:rsidR="00324DFC">
              <w:rPr>
                <w:noProof/>
                <w:webHidden/>
              </w:rPr>
              <w:tab/>
            </w:r>
            <w:r w:rsidR="00324DFC">
              <w:rPr>
                <w:noProof/>
                <w:webHidden/>
              </w:rPr>
              <w:fldChar w:fldCharType="begin"/>
            </w:r>
            <w:r w:rsidR="00324DFC">
              <w:rPr>
                <w:noProof/>
                <w:webHidden/>
              </w:rPr>
              <w:instrText xml:space="preserve"> PAGEREF _Toc229077696 \h </w:instrText>
            </w:r>
            <w:r w:rsidR="00324DFC">
              <w:rPr>
                <w:noProof/>
                <w:webHidden/>
              </w:rPr>
            </w:r>
            <w:r w:rsidR="00324DFC">
              <w:rPr>
                <w:noProof/>
                <w:webHidden/>
              </w:rPr>
              <w:fldChar w:fldCharType="separate"/>
            </w:r>
            <w:r w:rsidR="00CD3177">
              <w:rPr>
                <w:noProof/>
                <w:webHidden/>
              </w:rPr>
              <w:t>202</w:t>
            </w:r>
            <w:r w:rsidR="00324DFC">
              <w:rPr>
                <w:noProof/>
                <w:webHidden/>
              </w:rPr>
              <w:fldChar w:fldCharType="end"/>
            </w:r>
          </w:hyperlink>
        </w:p>
        <w:p w14:paraId="0B31B694" w14:textId="3E62DA57" w:rsidR="00324DFC" w:rsidRDefault="00674D57" w:rsidP="00263B16">
          <w:pPr>
            <w:pStyle w:val="TDC1"/>
            <w:tabs>
              <w:tab w:val="left" w:pos="442"/>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7" w:history="1">
            <w:r w:rsidR="00324DFC" w:rsidRPr="00FF11F1">
              <w:rPr>
                <w:rStyle w:val="Hipervnculo"/>
                <w:noProof/>
              </w:rPr>
              <w:t>9</w:t>
            </w:r>
            <w:r w:rsidR="00324DFC">
              <w:rPr>
                <w:rFonts w:asciiTheme="minorHAnsi" w:eastAsiaTheme="minorEastAsia" w:hAnsiTheme="minorHAnsi"/>
                <w:noProof/>
                <w:kern w:val="2"/>
                <w:szCs w:val="24"/>
                <w:lang w:eastAsia="es-CO"/>
                <w14:ligatures w14:val="standardContextual"/>
              </w:rPr>
              <w:tab/>
            </w:r>
            <w:r w:rsidR="00324DFC" w:rsidRPr="00FF11F1">
              <w:rPr>
                <w:rStyle w:val="Hipervnculo"/>
                <w:noProof/>
              </w:rPr>
              <w:t>Referencias</w:t>
            </w:r>
            <w:r w:rsidR="00324DFC">
              <w:rPr>
                <w:noProof/>
                <w:webHidden/>
              </w:rPr>
              <w:tab/>
            </w:r>
            <w:r w:rsidR="00324DFC">
              <w:rPr>
                <w:noProof/>
                <w:webHidden/>
              </w:rPr>
              <w:fldChar w:fldCharType="begin"/>
            </w:r>
            <w:r w:rsidR="00324DFC">
              <w:rPr>
                <w:noProof/>
                <w:webHidden/>
              </w:rPr>
              <w:instrText xml:space="preserve"> PAGEREF _Toc229077697 \h </w:instrText>
            </w:r>
            <w:r w:rsidR="00324DFC">
              <w:rPr>
                <w:noProof/>
                <w:webHidden/>
              </w:rPr>
            </w:r>
            <w:r w:rsidR="00324DFC">
              <w:rPr>
                <w:noProof/>
                <w:webHidden/>
              </w:rPr>
              <w:fldChar w:fldCharType="separate"/>
            </w:r>
            <w:r w:rsidR="00CD3177">
              <w:rPr>
                <w:noProof/>
                <w:webHidden/>
              </w:rPr>
              <w:t>205</w:t>
            </w:r>
            <w:r w:rsidR="00324DFC">
              <w:rPr>
                <w:noProof/>
                <w:webHidden/>
              </w:rPr>
              <w:fldChar w:fldCharType="end"/>
            </w:r>
          </w:hyperlink>
        </w:p>
        <w:p w14:paraId="0D360FBB" w14:textId="69955343" w:rsidR="00324DFC" w:rsidRDefault="00674D57" w:rsidP="00263B16">
          <w:pPr>
            <w:pStyle w:val="TDC1"/>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698" w:history="1">
            <w:r w:rsidR="00324DFC" w:rsidRPr="00FF11F1">
              <w:rPr>
                <w:rStyle w:val="Hipervnculo"/>
                <w:rFonts w:cs="Times New Roman"/>
                <w:noProof/>
              </w:rPr>
              <w:t>Anexos</w:t>
            </w:r>
            <w:r w:rsidR="00324DFC">
              <w:rPr>
                <w:noProof/>
                <w:webHidden/>
              </w:rPr>
              <w:tab/>
            </w:r>
            <w:r w:rsidR="00324DFC">
              <w:rPr>
                <w:noProof/>
                <w:webHidden/>
              </w:rPr>
              <w:fldChar w:fldCharType="begin"/>
            </w:r>
            <w:r w:rsidR="00324DFC">
              <w:rPr>
                <w:noProof/>
                <w:webHidden/>
              </w:rPr>
              <w:instrText xml:space="preserve"> PAGEREF _Toc229077698 \h </w:instrText>
            </w:r>
            <w:r w:rsidR="00324DFC">
              <w:rPr>
                <w:noProof/>
                <w:webHidden/>
              </w:rPr>
            </w:r>
            <w:r w:rsidR="00324DFC">
              <w:rPr>
                <w:noProof/>
                <w:webHidden/>
              </w:rPr>
              <w:fldChar w:fldCharType="separate"/>
            </w:r>
            <w:r w:rsidR="00CD3177">
              <w:rPr>
                <w:noProof/>
                <w:webHidden/>
              </w:rPr>
              <w:t>213</w:t>
            </w:r>
            <w:r w:rsidR="00324DFC">
              <w:rPr>
                <w:noProof/>
                <w:webHidden/>
              </w:rPr>
              <w:fldChar w:fldCharType="end"/>
            </w:r>
          </w:hyperlink>
        </w:p>
        <w:p w14:paraId="217D81C6" w14:textId="6E0622BE" w:rsidR="006D4587" w:rsidRDefault="00023831" w:rsidP="00263B16">
          <w:pPr>
            <w:spacing w:line="480" w:lineRule="auto"/>
          </w:pPr>
          <w:r>
            <w:fldChar w:fldCharType="end"/>
          </w:r>
        </w:p>
      </w:sdtContent>
    </w:sdt>
    <w:p w14:paraId="70414855" w14:textId="0C471B2F" w:rsidR="00942AFF" w:rsidRPr="006177E4" w:rsidRDefault="00942AFF" w:rsidP="00263B16">
      <w:pPr>
        <w:spacing w:line="480" w:lineRule="auto"/>
        <w:rPr>
          <w:rFonts w:cs="Times New Roman"/>
          <w:szCs w:val="24"/>
        </w:rPr>
      </w:pPr>
      <w:r>
        <w:rPr>
          <w:rFonts w:cs="Times New Roman"/>
          <w:szCs w:val="24"/>
        </w:rPr>
        <w:t xml:space="preserve"> </w:t>
      </w:r>
    </w:p>
    <w:p w14:paraId="13E11880" w14:textId="1ECE6217" w:rsidR="006B13CA" w:rsidRPr="006177E4" w:rsidRDefault="00CC076C" w:rsidP="00263B16">
      <w:pPr>
        <w:spacing w:line="480" w:lineRule="auto"/>
        <w:jc w:val="center"/>
        <w:rPr>
          <w:rFonts w:cs="Times New Roman"/>
          <w:b/>
          <w:szCs w:val="24"/>
        </w:rPr>
      </w:pPr>
      <w:r w:rsidRPr="006177E4">
        <w:rPr>
          <w:rFonts w:cs="Times New Roman"/>
          <w:b/>
          <w:szCs w:val="24"/>
        </w:rPr>
        <w:t xml:space="preserve">Lista de </w:t>
      </w:r>
      <w:r w:rsidR="001619F7" w:rsidRPr="006177E4">
        <w:rPr>
          <w:rFonts w:cs="Times New Roman"/>
          <w:b/>
          <w:szCs w:val="24"/>
        </w:rPr>
        <w:t>t</w:t>
      </w:r>
      <w:r w:rsidRPr="006177E4">
        <w:rPr>
          <w:rFonts w:cs="Times New Roman"/>
          <w:b/>
          <w:szCs w:val="24"/>
        </w:rPr>
        <w:t>ablas</w:t>
      </w:r>
    </w:p>
    <w:p w14:paraId="1393D5DF" w14:textId="6DC10757" w:rsidR="00704435" w:rsidRDefault="006D458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"Tabla" </w:instrText>
      </w:r>
      <w:r>
        <w:rPr>
          <w:rFonts w:cs="Times New Roman"/>
          <w:szCs w:val="24"/>
        </w:rPr>
        <w:fldChar w:fldCharType="separate"/>
      </w:r>
      <w:hyperlink w:anchor="_Toc229077700" w:history="1">
        <w:r w:rsidR="00704435" w:rsidRPr="002B644D">
          <w:rPr>
            <w:rStyle w:val="Hipervnculo"/>
            <w:b/>
            <w:bCs/>
            <w:noProof/>
          </w:rPr>
          <w:t>Tabla 1</w:t>
        </w:r>
        <w:r w:rsidR="00704435" w:rsidRPr="002B644D">
          <w:rPr>
            <w:rStyle w:val="Hipervnculo"/>
            <w:noProof/>
          </w:rPr>
          <w:t xml:space="preserve"> </w:t>
        </w:r>
        <w:r w:rsidR="00704435" w:rsidRPr="002B644D">
          <w:rPr>
            <w:rStyle w:val="Hipervnculo"/>
            <w:rFonts w:cs="Times New Roman"/>
            <w:noProof/>
          </w:rPr>
          <w:t>Antecedentes Académicos Locales</w:t>
        </w:r>
        <w:r w:rsidR="00704435">
          <w:rPr>
            <w:noProof/>
            <w:webHidden/>
          </w:rPr>
          <w:tab/>
        </w:r>
        <w:r w:rsidR="00704435">
          <w:rPr>
            <w:noProof/>
            <w:webHidden/>
          </w:rPr>
          <w:fldChar w:fldCharType="begin"/>
        </w:r>
        <w:r w:rsidR="00704435">
          <w:rPr>
            <w:noProof/>
            <w:webHidden/>
          </w:rPr>
          <w:instrText xml:space="preserve"> PAGEREF _Toc229077700 \h </w:instrText>
        </w:r>
        <w:r w:rsidR="00704435">
          <w:rPr>
            <w:noProof/>
            <w:webHidden/>
          </w:rPr>
        </w:r>
        <w:r w:rsidR="00704435">
          <w:rPr>
            <w:noProof/>
            <w:webHidden/>
          </w:rPr>
          <w:fldChar w:fldCharType="separate"/>
        </w:r>
        <w:r w:rsidR="00CD3177">
          <w:rPr>
            <w:noProof/>
            <w:webHidden/>
          </w:rPr>
          <w:t>38</w:t>
        </w:r>
        <w:r w:rsidR="00704435">
          <w:rPr>
            <w:noProof/>
            <w:webHidden/>
          </w:rPr>
          <w:fldChar w:fldCharType="end"/>
        </w:r>
      </w:hyperlink>
    </w:p>
    <w:p w14:paraId="29808B07" w14:textId="373AEBC2"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1" w:history="1">
        <w:r w:rsidR="00704435" w:rsidRPr="002B644D">
          <w:rPr>
            <w:rStyle w:val="Hipervnculo"/>
            <w:rFonts w:cs="Times New Roman"/>
            <w:b/>
            <w:bCs/>
            <w:noProof/>
          </w:rPr>
          <w:t xml:space="preserve">Tabla 2 </w:t>
        </w:r>
        <w:r w:rsidR="00704435" w:rsidRPr="002B644D">
          <w:rPr>
            <w:rStyle w:val="Hipervnculo"/>
            <w:rFonts w:cs="Times New Roman"/>
            <w:noProof/>
          </w:rPr>
          <w:t>Antecedentes académicos nacionales</w:t>
        </w:r>
        <w:r w:rsidR="00704435">
          <w:rPr>
            <w:noProof/>
            <w:webHidden/>
          </w:rPr>
          <w:tab/>
        </w:r>
        <w:r w:rsidR="00704435">
          <w:rPr>
            <w:noProof/>
            <w:webHidden/>
          </w:rPr>
          <w:fldChar w:fldCharType="begin"/>
        </w:r>
        <w:r w:rsidR="00704435">
          <w:rPr>
            <w:noProof/>
            <w:webHidden/>
          </w:rPr>
          <w:instrText xml:space="preserve"> PAGEREF _Toc229077701 \h </w:instrText>
        </w:r>
        <w:r w:rsidR="00704435">
          <w:rPr>
            <w:noProof/>
            <w:webHidden/>
          </w:rPr>
        </w:r>
        <w:r w:rsidR="00704435">
          <w:rPr>
            <w:noProof/>
            <w:webHidden/>
          </w:rPr>
          <w:fldChar w:fldCharType="separate"/>
        </w:r>
        <w:r w:rsidR="00CD3177">
          <w:rPr>
            <w:noProof/>
            <w:webHidden/>
          </w:rPr>
          <w:t>45</w:t>
        </w:r>
        <w:r w:rsidR="00704435">
          <w:rPr>
            <w:noProof/>
            <w:webHidden/>
          </w:rPr>
          <w:fldChar w:fldCharType="end"/>
        </w:r>
      </w:hyperlink>
    </w:p>
    <w:p w14:paraId="43625C2A" w14:textId="64E38B2C"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2" w:history="1">
        <w:r w:rsidR="00704435" w:rsidRPr="002B644D">
          <w:rPr>
            <w:rStyle w:val="Hipervnculo"/>
            <w:rFonts w:cs="Times New Roman"/>
            <w:b/>
            <w:bCs/>
            <w:noProof/>
          </w:rPr>
          <w:t xml:space="preserve">Tabla 3 </w:t>
        </w:r>
        <w:r w:rsidR="00704435" w:rsidRPr="002B644D">
          <w:rPr>
            <w:rStyle w:val="Hipervnculo"/>
            <w:rFonts w:cs="Times New Roman"/>
            <w:noProof/>
          </w:rPr>
          <w:t>Antecedentes académicos Internacionales</w:t>
        </w:r>
        <w:r w:rsidR="00704435">
          <w:rPr>
            <w:noProof/>
            <w:webHidden/>
          </w:rPr>
          <w:tab/>
        </w:r>
        <w:r w:rsidR="00704435">
          <w:rPr>
            <w:noProof/>
            <w:webHidden/>
          </w:rPr>
          <w:fldChar w:fldCharType="begin"/>
        </w:r>
        <w:r w:rsidR="00704435">
          <w:rPr>
            <w:noProof/>
            <w:webHidden/>
          </w:rPr>
          <w:instrText xml:space="preserve"> PAGEREF _Toc229077702 \h </w:instrText>
        </w:r>
        <w:r w:rsidR="00704435">
          <w:rPr>
            <w:noProof/>
            <w:webHidden/>
          </w:rPr>
        </w:r>
        <w:r w:rsidR="00704435">
          <w:rPr>
            <w:noProof/>
            <w:webHidden/>
          </w:rPr>
          <w:fldChar w:fldCharType="separate"/>
        </w:r>
        <w:r w:rsidR="00CD3177">
          <w:rPr>
            <w:noProof/>
            <w:webHidden/>
          </w:rPr>
          <w:t>52</w:t>
        </w:r>
        <w:r w:rsidR="00704435">
          <w:rPr>
            <w:noProof/>
            <w:webHidden/>
          </w:rPr>
          <w:fldChar w:fldCharType="end"/>
        </w:r>
      </w:hyperlink>
    </w:p>
    <w:p w14:paraId="2F76A22F" w14:textId="40999A2C"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3" w:history="1">
        <w:r w:rsidR="00704435" w:rsidRPr="002B644D">
          <w:rPr>
            <w:rStyle w:val="Hipervnculo"/>
            <w:b/>
            <w:bCs/>
            <w:noProof/>
          </w:rPr>
          <w:t xml:space="preserve">Tabla 4 </w:t>
        </w:r>
        <w:r w:rsidR="00704435" w:rsidRPr="002B644D">
          <w:rPr>
            <w:rStyle w:val="Hipervnculo"/>
            <w:rFonts w:eastAsia="Calibri" w:cs="Times New Roman"/>
            <w:noProof/>
          </w:rPr>
          <w:t>Matriz de impacto legal.</w:t>
        </w:r>
        <w:r w:rsidR="00704435">
          <w:rPr>
            <w:noProof/>
            <w:webHidden/>
          </w:rPr>
          <w:tab/>
        </w:r>
        <w:r w:rsidR="00704435">
          <w:rPr>
            <w:noProof/>
            <w:webHidden/>
          </w:rPr>
          <w:fldChar w:fldCharType="begin"/>
        </w:r>
        <w:r w:rsidR="00704435">
          <w:rPr>
            <w:noProof/>
            <w:webHidden/>
          </w:rPr>
          <w:instrText xml:space="preserve"> PAGEREF _Toc229077703 \h </w:instrText>
        </w:r>
        <w:r w:rsidR="00704435">
          <w:rPr>
            <w:noProof/>
            <w:webHidden/>
          </w:rPr>
        </w:r>
        <w:r w:rsidR="00704435">
          <w:rPr>
            <w:noProof/>
            <w:webHidden/>
          </w:rPr>
          <w:fldChar w:fldCharType="separate"/>
        </w:r>
        <w:r w:rsidR="00CD3177">
          <w:rPr>
            <w:noProof/>
            <w:webHidden/>
          </w:rPr>
          <w:t>72</w:t>
        </w:r>
        <w:r w:rsidR="00704435">
          <w:rPr>
            <w:noProof/>
            <w:webHidden/>
          </w:rPr>
          <w:fldChar w:fldCharType="end"/>
        </w:r>
      </w:hyperlink>
    </w:p>
    <w:p w14:paraId="7538A044" w14:textId="5B063389"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4" w:history="1">
        <w:r w:rsidR="00704435" w:rsidRPr="002B644D">
          <w:rPr>
            <w:rStyle w:val="Hipervnculo"/>
            <w:b/>
            <w:bCs/>
            <w:noProof/>
          </w:rPr>
          <w:t xml:space="preserve">Tabla 5 </w:t>
        </w:r>
        <w:r w:rsidR="00704435" w:rsidRPr="002B644D">
          <w:rPr>
            <w:rStyle w:val="Hipervnculo"/>
            <w:rFonts w:eastAsia="Times New Roman" w:cs="Times New Roman"/>
            <w:noProof/>
          </w:rPr>
          <w:t>Matriz de revisión documental</w:t>
        </w:r>
        <w:r w:rsidR="00704435">
          <w:rPr>
            <w:noProof/>
            <w:webHidden/>
          </w:rPr>
          <w:tab/>
        </w:r>
        <w:r w:rsidR="00704435">
          <w:rPr>
            <w:noProof/>
            <w:webHidden/>
          </w:rPr>
          <w:fldChar w:fldCharType="begin"/>
        </w:r>
        <w:r w:rsidR="00704435">
          <w:rPr>
            <w:noProof/>
            <w:webHidden/>
          </w:rPr>
          <w:instrText xml:space="preserve"> PAGEREF _Toc229077704 \h </w:instrText>
        </w:r>
        <w:r w:rsidR="00704435">
          <w:rPr>
            <w:noProof/>
            <w:webHidden/>
          </w:rPr>
        </w:r>
        <w:r w:rsidR="00704435">
          <w:rPr>
            <w:noProof/>
            <w:webHidden/>
          </w:rPr>
          <w:fldChar w:fldCharType="separate"/>
        </w:r>
        <w:r w:rsidR="00CD3177">
          <w:rPr>
            <w:noProof/>
            <w:webHidden/>
          </w:rPr>
          <w:t>87</w:t>
        </w:r>
        <w:r w:rsidR="00704435">
          <w:rPr>
            <w:noProof/>
            <w:webHidden/>
          </w:rPr>
          <w:fldChar w:fldCharType="end"/>
        </w:r>
      </w:hyperlink>
    </w:p>
    <w:p w14:paraId="18693D94" w14:textId="065CF5C0"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5" w:history="1">
        <w:r w:rsidR="00704435" w:rsidRPr="002B644D">
          <w:rPr>
            <w:rStyle w:val="Hipervnculo"/>
            <w:b/>
            <w:bCs/>
            <w:noProof/>
          </w:rPr>
          <w:t>Tabla 6</w:t>
        </w:r>
        <w:r w:rsidR="00704435" w:rsidRPr="002B644D">
          <w:rPr>
            <w:rStyle w:val="Hipervnculo"/>
            <w:noProof/>
          </w:rPr>
          <w:t xml:space="preserve"> </w:t>
        </w:r>
        <w:r w:rsidR="00704435" w:rsidRPr="002B644D">
          <w:rPr>
            <w:rStyle w:val="Hipervnculo"/>
            <w:rFonts w:eastAsia="Times New Roman" w:cs="Times New Roman"/>
            <w:noProof/>
          </w:rPr>
          <w:t>Ficha técnica del instrumento de entrevista</w:t>
        </w:r>
        <w:r w:rsidR="00704435">
          <w:rPr>
            <w:noProof/>
            <w:webHidden/>
          </w:rPr>
          <w:tab/>
        </w:r>
        <w:r w:rsidR="00704435">
          <w:rPr>
            <w:noProof/>
            <w:webHidden/>
          </w:rPr>
          <w:fldChar w:fldCharType="begin"/>
        </w:r>
        <w:r w:rsidR="00704435">
          <w:rPr>
            <w:noProof/>
            <w:webHidden/>
          </w:rPr>
          <w:instrText xml:space="preserve"> PAGEREF _Toc229077705 \h </w:instrText>
        </w:r>
        <w:r w:rsidR="00704435">
          <w:rPr>
            <w:noProof/>
            <w:webHidden/>
          </w:rPr>
        </w:r>
        <w:r w:rsidR="00704435">
          <w:rPr>
            <w:noProof/>
            <w:webHidden/>
          </w:rPr>
          <w:fldChar w:fldCharType="separate"/>
        </w:r>
        <w:r w:rsidR="00CD3177">
          <w:rPr>
            <w:noProof/>
            <w:webHidden/>
          </w:rPr>
          <w:t>121</w:t>
        </w:r>
        <w:r w:rsidR="00704435">
          <w:rPr>
            <w:noProof/>
            <w:webHidden/>
          </w:rPr>
          <w:fldChar w:fldCharType="end"/>
        </w:r>
      </w:hyperlink>
    </w:p>
    <w:p w14:paraId="186C0766" w14:textId="099B5009"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6" w:history="1">
        <w:r w:rsidR="00704435" w:rsidRPr="002B644D">
          <w:rPr>
            <w:rStyle w:val="Hipervnculo"/>
            <w:b/>
            <w:bCs/>
            <w:noProof/>
          </w:rPr>
          <w:t>Tabla 7</w:t>
        </w:r>
        <w:r w:rsidR="00704435" w:rsidRPr="002B644D">
          <w:rPr>
            <w:rStyle w:val="Hipervnculo"/>
            <w:noProof/>
          </w:rPr>
          <w:t xml:space="preserve"> </w:t>
        </w:r>
        <w:r w:rsidR="00704435" w:rsidRPr="002B644D">
          <w:rPr>
            <w:rStyle w:val="Hipervnculo"/>
            <w:rFonts w:eastAsia="Times New Roman" w:cs="Times New Roman"/>
            <w:noProof/>
          </w:rPr>
          <w:t>Ficha técnica de la entrevista</w:t>
        </w:r>
        <w:r w:rsidR="00704435">
          <w:rPr>
            <w:noProof/>
            <w:webHidden/>
          </w:rPr>
          <w:tab/>
        </w:r>
        <w:r w:rsidR="00704435">
          <w:rPr>
            <w:noProof/>
            <w:webHidden/>
          </w:rPr>
          <w:fldChar w:fldCharType="begin"/>
        </w:r>
        <w:r w:rsidR="00704435">
          <w:rPr>
            <w:noProof/>
            <w:webHidden/>
          </w:rPr>
          <w:instrText xml:space="preserve"> PAGEREF _Toc229077706 \h </w:instrText>
        </w:r>
        <w:r w:rsidR="00704435">
          <w:rPr>
            <w:noProof/>
            <w:webHidden/>
          </w:rPr>
        </w:r>
        <w:r w:rsidR="00704435">
          <w:rPr>
            <w:noProof/>
            <w:webHidden/>
          </w:rPr>
          <w:fldChar w:fldCharType="separate"/>
        </w:r>
        <w:r w:rsidR="00CD3177">
          <w:rPr>
            <w:noProof/>
            <w:webHidden/>
          </w:rPr>
          <w:t>122</w:t>
        </w:r>
        <w:r w:rsidR="00704435">
          <w:rPr>
            <w:noProof/>
            <w:webHidden/>
          </w:rPr>
          <w:fldChar w:fldCharType="end"/>
        </w:r>
      </w:hyperlink>
    </w:p>
    <w:p w14:paraId="0364831D" w14:textId="6810D3F2"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7" w:history="1">
        <w:r w:rsidR="00704435" w:rsidRPr="002B644D">
          <w:rPr>
            <w:rStyle w:val="Hipervnculo"/>
            <w:b/>
            <w:bCs/>
            <w:noProof/>
          </w:rPr>
          <w:t>Tabla 8</w:t>
        </w:r>
        <w:r w:rsidR="00704435" w:rsidRPr="002B644D">
          <w:rPr>
            <w:rStyle w:val="Hipervnculo"/>
            <w:noProof/>
          </w:rPr>
          <w:t xml:space="preserve"> </w:t>
        </w:r>
        <w:r w:rsidR="00704435" w:rsidRPr="002B644D">
          <w:rPr>
            <w:rStyle w:val="Hipervnculo"/>
            <w:rFonts w:cs="Times New Roman"/>
            <w:bCs/>
            <w:noProof/>
          </w:rPr>
          <w:t>Matriz resumen del marco metodológico</w:t>
        </w:r>
        <w:r w:rsidR="00704435">
          <w:rPr>
            <w:noProof/>
            <w:webHidden/>
          </w:rPr>
          <w:tab/>
        </w:r>
        <w:r w:rsidR="00704435">
          <w:rPr>
            <w:noProof/>
            <w:webHidden/>
          </w:rPr>
          <w:fldChar w:fldCharType="begin"/>
        </w:r>
        <w:r w:rsidR="00704435">
          <w:rPr>
            <w:noProof/>
            <w:webHidden/>
          </w:rPr>
          <w:instrText xml:space="preserve"> PAGEREF _Toc229077707 \h </w:instrText>
        </w:r>
        <w:r w:rsidR="00704435">
          <w:rPr>
            <w:noProof/>
            <w:webHidden/>
          </w:rPr>
        </w:r>
        <w:r w:rsidR="00704435">
          <w:rPr>
            <w:noProof/>
            <w:webHidden/>
          </w:rPr>
          <w:fldChar w:fldCharType="separate"/>
        </w:r>
        <w:r w:rsidR="00CD3177">
          <w:rPr>
            <w:noProof/>
            <w:webHidden/>
          </w:rPr>
          <w:t>128</w:t>
        </w:r>
        <w:r w:rsidR="00704435">
          <w:rPr>
            <w:noProof/>
            <w:webHidden/>
          </w:rPr>
          <w:fldChar w:fldCharType="end"/>
        </w:r>
      </w:hyperlink>
    </w:p>
    <w:p w14:paraId="4206A5B5" w14:textId="5A0E8F71"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8" w:history="1">
        <w:r w:rsidR="00704435" w:rsidRPr="002B644D">
          <w:rPr>
            <w:rStyle w:val="Hipervnculo"/>
            <w:b/>
            <w:bCs/>
            <w:noProof/>
          </w:rPr>
          <w:t>Tabla 9</w:t>
        </w:r>
        <w:r w:rsidR="00704435" w:rsidRPr="002B644D">
          <w:rPr>
            <w:rStyle w:val="Hipervnculo"/>
            <w:rFonts w:cs="Times New Roman"/>
            <w:b/>
            <w:bCs/>
            <w:noProof/>
          </w:rPr>
          <w:t xml:space="preserve"> </w:t>
        </w:r>
        <w:r w:rsidR="00704435" w:rsidRPr="002B644D">
          <w:rPr>
            <w:rStyle w:val="Hipervnculo"/>
            <w:rFonts w:cs="Times New Roman"/>
            <w:bCs/>
            <w:noProof/>
          </w:rPr>
          <w:t>Matriz que resume las discusiones de las fuentes consultadas</w:t>
        </w:r>
        <w:r w:rsidR="00704435">
          <w:rPr>
            <w:noProof/>
            <w:webHidden/>
          </w:rPr>
          <w:tab/>
        </w:r>
        <w:r w:rsidR="00704435">
          <w:rPr>
            <w:noProof/>
            <w:webHidden/>
          </w:rPr>
          <w:fldChar w:fldCharType="begin"/>
        </w:r>
        <w:r w:rsidR="00704435">
          <w:rPr>
            <w:noProof/>
            <w:webHidden/>
          </w:rPr>
          <w:instrText xml:space="preserve"> PAGEREF _Toc229077708 \h </w:instrText>
        </w:r>
        <w:r w:rsidR="00704435">
          <w:rPr>
            <w:noProof/>
            <w:webHidden/>
          </w:rPr>
        </w:r>
        <w:r w:rsidR="00704435">
          <w:rPr>
            <w:noProof/>
            <w:webHidden/>
          </w:rPr>
          <w:fldChar w:fldCharType="separate"/>
        </w:r>
        <w:r w:rsidR="00CD3177">
          <w:rPr>
            <w:noProof/>
            <w:webHidden/>
          </w:rPr>
          <w:t>134</w:t>
        </w:r>
        <w:r w:rsidR="00704435">
          <w:rPr>
            <w:noProof/>
            <w:webHidden/>
          </w:rPr>
          <w:fldChar w:fldCharType="end"/>
        </w:r>
      </w:hyperlink>
    </w:p>
    <w:p w14:paraId="140FF71C" w14:textId="06029365"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09" w:history="1">
        <w:r w:rsidR="00704435" w:rsidRPr="002B644D">
          <w:rPr>
            <w:rStyle w:val="Hipervnculo"/>
            <w:rFonts w:cs="Times New Roman"/>
            <w:b/>
            <w:bCs/>
            <w:noProof/>
          </w:rPr>
          <w:t xml:space="preserve">Tabla 10 </w:t>
        </w:r>
        <w:r w:rsidR="00704435" w:rsidRPr="002B644D">
          <w:rPr>
            <w:rStyle w:val="Hipervnculo"/>
            <w:rFonts w:eastAsia="Times New Roman" w:cs="Times New Roman"/>
            <w:noProof/>
            <w:kern w:val="36"/>
            <w:lang w:eastAsia="es-CO"/>
          </w:rPr>
          <w:t>Caracterización de los expertos entrevistados.</w:t>
        </w:r>
        <w:r w:rsidR="00704435">
          <w:rPr>
            <w:noProof/>
            <w:webHidden/>
          </w:rPr>
          <w:tab/>
        </w:r>
        <w:r w:rsidR="00704435">
          <w:rPr>
            <w:noProof/>
            <w:webHidden/>
          </w:rPr>
          <w:fldChar w:fldCharType="begin"/>
        </w:r>
        <w:r w:rsidR="00704435">
          <w:rPr>
            <w:noProof/>
            <w:webHidden/>
          </w:rPr>
          <w:instrText xml:space="preserve"> PAGEREF _Toc229077709 \h </w:instrText>
        </w:r>
        <w:r w:rsidR="00704435">
          <w:rPr>
            <w:noProof/>
            <w:webHidden/>
          </w:rPr>
        </w:r>
        <w:r w:rsidR="00704435">
          <w:rPr>
            <w:noProof/>
            <w:webHidden/>
          </w:rPr>
          <w:fldChar w:fldCharType="separate"/>
        </w:r>
        <w:r w:rsidR="00CD3177">
          <w:rPr>
            <w:noProof/>
            <w:webHidden/>
          </w:rPr>
          <w:t>213</w:t>
        </w:r>
        <w:r w:rsidR="00704435">
          <w:rPr>
            <w:noProof/>
            <w:webHidden/>
          </w:rPr>
          <w:fldChar w:fldCharType="end"/>
        </w:r>
      </w:hyperlink>
    </w:p>
    <w:p w14:paraId="0BEA2D54" w14:textId="4387A54B" w:rsidR="00CC076C" w:rsidRDefault="006D4587" w:rsidP="00263B16">
      <w:pPr>
        <w:spacing w:line="480" w:lineRule="auto"/>
        <w:rPr>
          <w:rFonts w:cs="Times New Roman"/>
          <w:szCs w:val="24"/>
        </w:rPr>
      </w:pPr>
      <w:r>
        <w:rPr>
          <w:rFonts w:cs="Times New Roman"/>
          <w:szCs w:val="24"/>
        </w:rPr>
        <w:fldChar w:fldCharType="end"/>
      </w:r>
    </w:p>
    <w:p w14:paraId="37B5A029" w14:textId="2EAF0B09" w:rsidR="006D4587" w:rsidRPr="006D4587" w:rsidRDefault="006D4587" w:rsidP="00263B16">
      <w:pPr>
        <w:spacing w:line="480" w:lineRule="auto"/>
        <w:jc w:val="center"/>
        <w:rPr>
          <w:rFonts w:cs="Times New Roman"/>
          <w:b/>
          <w:bCs/>
          <w:szCs w:val="24"/>
        </w:rPr>
      </w:pPr>
      <w:r w:rsidRPr="006D4587">
        <w:rPr>
          <w:rFonts w:cs="Times New Roman"/>
          <w:b/>
          <w:bCs/>
          <w:szCs w:val="24"/>
        </w:rPr>
        <w:t>Lista de figuras</w:t>
      </w:r>
    </w:p>
    <w:p w14:paraId="0DB7737A" w14:textId="5EDFCA8E" w:rsidR="00704435" w:rsidRDefault="006D458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"Figura " </w:instrText>
      </w:r>
      <w:r>
        <w:rPr>
          <w:rFonts w:cs="Times New Roman"/>
          <w:szCs w:val="24"/>
        </w:rPr>
        <w:fldChar w:fldCharType="separate"/>
      </w:r>
      <w:hyperlink w:anchor="_Toc229077710" w:history="1">
        <w:r w:rsidR="00704435" w:rsidRPr="00453430">
          <w:rPr>
            <w:rStyle w:val="Hipervnculo"/>
            <w:b/>
            <w:bCs/>
            <w:noProof/>
          </w:rPr>
          <w:t>Figura  1</w:t>
        </w:r>
        <w:r w:rsidR="00704435" w:rsidRPr="00453430">
          <w:rPr>
            <w:rStyle w:val="Hipervnculo"/>
            <w:rFonts w:cs="Times New Roman"/>
            <w:b/>
            <w:bCs/>
            <w:noProof/>
          </w:rPr>
          <w:t xml:space="preserve">  </w:t>
        </w:r>
        <w:r w:rsidR="00704435" w:rsidRPr="00453430">
          <w:rPr>
            <w:rStyle w:val="Hipervnculo"/>
            <w:rFonts w:cs="Times New Roman"/>
            <w:noProof/>
          </w:rPr>
          <w:t>Análisis de las causas y consecuencias del problema.</w:t>
        </w:r>
        <w:r w:rsidR="00704435">
          <w:rPr>
            <w:noProof/>
            <w:webHidden/>
          </w:rPr>
          <w:tab/>
        </w:r>
        <w:r w:rsidR="00704435">
          <w:rPr>
            <w:noProof/>
            <w:webHidden/>
          </w:rPr>
          <w:fldChar w:fldCharType="begin"/>
        </w:r>
        <w:r w:rsidR="00704435">
          <w:rPr>
            <w:noProof/>
            <w:webHidden/>
          </w:rPr>
          <w:instrText xml:space="preserve"> PAGEREF _Toc229077710 \h </w:instrText>
        </w:r>
        <w:r w:rsidR="00704435">
          <w:rPr>
            <w:noProof/>
            <w:webHidden/>
          </w:rPr>
        </w:r>
        <w:r w:rsidR="00704435">
          <w:rPr>
            <w:noProof/>
            <w:webHidden/>
          </w:rPr>
          <w:fldChar w:fldCharType="separate"/>
        </w:r>
        <w:r w:rsidR="00CD3177">
          <w:rPr>
            <w:noProof/>
            <w:webHidden/>
          </w:rPr>
          <w:t>24</w:t>
        </w:r>
        <w:r w:rsidR="00704435">
          <w:rPr>
            <w:noProof/>
            <w:webHidden/>
          </w:rPr>
          <w:fldChar w:fldCharType="end"/>
        </w:r>
      </w:hyperlink>
    </w:p>
    <w:p w14:paraId="51D5BB74" w14:textId="73F8B5FD"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1" w:history="1">
        <w:r w:rsidR="00704435" w:rsidRPr="00453430">
          <w:rPr>
            <w:rStyle w:val="Hipervnculo"/>
            <w:b/>
            <w:bCs/>
            <w:noProof/>
          </w:rPr>
          <w:t xml:space="preserve">Figura  2 </w:t>
        </w:r>
        <w:r w:rsidR="00704435" w:rsidRPr="00453430">
          <w:rPr>
            <w:rStyle w:val="Hipervnculo"/>
            <w:rFonts w:cs="Times New Roman"/>
            <w:noProof/>
          </w:rPr>
          <w:t>Evolución de la Retención en la Fuente en Colombia.</w:t>
        </w:r>
        <w:r w:rsidR="00704435">
          <w:rPr>
            <w:noProof/>
            <w:webHidden/>
          </w:rPr>
          <w:tab/>
        </w:r>
        <w:r w:rsidR="00704435">
          <w:rPr>
            <w:noProof/>
            <w:webHidden/>
          </w:rPr>
          <w:fldChar w:fldCharType="begin"/>
        </w:r>
        <w:r w:rsidR="00704435">
          <w:rPr>
            <w:noProof/>
            <w:webHidden/>
          </w:rPr>
          <w:instrText xml:space="preserve"> PAGEREF _Toc229077711 \h </w:instrText>
        </w:r>
        <w:r w:rsidR="00704435">
          <w:rPr>
            <w:noProof/>
            <w:webHidden/>
          </w:rPr>
        </w:r>
        <w:r w:rsidR="00704435">
          <w:rPr>
            <w:noProof/>
            <w:webHidden/>
          </w:rPr>
          <w:fldChar w:fldCharType="separate"/>
        </w:r>
        <w:r w:rsidR="00CD3177">
          <w:rPr>
            <w:noProof/>
            <w:webHidden/>
          </w:rPr>
          <w:t>36</w:t>
        </w:r>
        <w:r w:rsidR="00704435">
          <w:rPr>
            <w:noProof/>
            <w:webHidden/>
          </w:rPr>
          <w:fldChar w:fldCharType="end"/>
        </w:r>
      </w:hyperlink>
    </w:p>
    <w:p w14:paraId="0F852A75" w14:textId="42DA01C8"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2" w:history="1">
        <w:r w:rsidR="00704435" w:rsidRPr="00453430">
          <w:rPr>
            <w:rStyle w:val="Hipervnculo"/>
            <w:b/>
            <w:bCs/>
            <w:noProof/>
          </w:rPr>
          <w:t xml:space="preserve">Figura  3 </w:t>
        </w:r>
        <w:r w:rsidR="00704435" w:rsidRPr="00453430">
          <w:rPr>
            <w:rStyle w:val="Hipervnculo"/>
            <w:rFonts w:cs="Times New Roman"/>
            <w:noProof/>
          </w:rPr>
          <w:t>Ubicación geográfica del municipio de Ibagué departamento del Tolima.</w:t>
        </w:r>
        <w:r w:rsidR="00704435">
          <w:rPr>
            <w:noProof/>
            <w:webHidden/>
          </w:rPr>
          <w:tab/>
        </w:r>
        <w:r w:rsidR="00704435">
          <w:rPr>
            <w:noProof/>
            <w:webHidden/>
          </w:rPr>
          <w:fldChar w:fldCharType="begin"/>
        </w:r>
        <w:r w:rsidR="00704435">
          <w:rPr>
            <w:noProof/>
            <w:webHidden/>
          </w:rPr>
          <w:instrText xml:space="preserve"> PAGEREF _Toc229077712 \h </w:instrText>
        </w:r>
        <w:r w:rsidR="00704435">
          <w:rPr>
            <w:noProof/>
            <w:webHidden/>
          </w:rPr>
        </w:r>
        <w:r w:rsidR="00704435">
          <w:rPr>
            <w:noProof/>
            <w:webHidden/>
          </w:rPr>
          <w:fldChar w:fldCharType="separate"/>
        </w:r>
        <w:r w:rsidR="00CD3177">
          <w:rPr>
            <w:noProof/>
            <w:webHidden/>
          </w:rPr>
          <w:t>69</w:t>
        </w:r>
        <w:r w:rsidR="00704435">
          <w:rPr>
            <w:noProof/>
            <w:webHidden/>
          </w:rPr>
          <w:fldChar w:fldCharType="end"/>
        </w:r>
      </w:hyperlink>
    </w:p>
    <w:p w14:paraId="02BA91C4" w14:textId="0368D0D2"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3" w:history="1">
        <w:r w:rsidR="00704435" w:rsidRPr="00453430">
          <w:rPr>
            <w:rStyle w:val="Hipervnculo"/>
            <w:b/>
            <w:bCs/>
            <w:noProof/>
          </w:rPr>
          <w:t>Figura  4</w:t>
        </w:r>
        <w:r w:rsidR="00704435" w:rsidRPr="00453430">
          <w:rPr>
            <w:rStyle w:val="Hipervnculo"/>
            <w:noProof/>
          </w:rPr>
          <w:t xml:space="preserve"> </w:t>
        </w:r>
        <w:r w:rsidR="00704435" w:rsidRPr="00453430">
          <w:rPr>
            <w:rStyle w:val="Hipervnculo"/>
            <w:rFonts w:cs="Times New Roman"/>
            <w:noProof/>
          </w:rPr>
          <w:t>Fotos de capacitaciones y acercamiento DAIN Ibagué con los contribuyentes.</w:t>
        </w:r>
        <w:r w:rsidR="00704435">
          <w:rPr>
            <w:noProof/>
            <w:webHidden/>
          </w:rPr>
          <w:tab/>
        </w:r>
        <w:r w:rsidR="00704435">
          <w:rPr>
            <w:noProof/>
            <w:webHidden/>
          </w:rPr>
          <w:fldChar w:fldCharType="begin"/>
        </w:r>
        <w:r w:rsidR="00704435">
          <w:rPr>
            <w:noProof/>
            <w:webHidden/>
          </w:rPr>
          <w:instrText xml:space="preserve"> PAGEREF _Toc229077713 \h </w:instrText>
        </w:r>
        <w:r w:rsidR="00704435">
          <w:rPr>
            <w:noProof/>
            <w:webHidden/>
          </w:rPr>
        </w:r>
        <w:r w:rsidR="00704435">
          <w:rPr>
            <w:noProof/>
            <w:webHidden/>
          </w:rPr>
          <w:fldChar w:fldCharType="separate"/>
        </w:r>
        <w:r w:rsidR="00CD3177">
          <w:rPr>
            <w:noProof/>
            <w:webHidden/>
          </w:rPr>
          <w:t>71</w:t>
        </w:r>
        <w:r w:rsidR="00704435">
          <w:rPr>
            <w:noProof/>
            <w:webHidden/>
          </w:rPr>
          <w:fldChar w:fldCharType="end"/>
        </w:r>
      </w:hyperlink>
    </w:p>
    <w:p w14:paraId="4A76B5B7" w14:textId="4947AACB"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4" w:history="1">
        <w:r w:rsidR="00704435" w:rsidRPr="00453430">
          <w:rPr>
            <w:rStyle w:val="Hipervnculo"/>
            <w:b/>
            <w:bCs/>
            <w:noProof/>
          </w:rPr>
          <w:t>Figura  5</w:t>
        </w:r>
        <w:r w:rsidR="00704435" w:rsidRPr="00453430">
          <w:rPr>
            <w:rStyle w:val="Hipervnculo"/>
            <w:rFonts w:cs="Times New Roman"/>
            <w:b/>
            <w:bCs/>
            <w:noProof/>
          </w:rPr>
          <w:t xml:space="preserve"> </w:t>
        </w:r>
        <w:r w:rsidR="00704435" w:rsidRPr="00453430">
          <w:rPr>
            <w:rStyle w:val="Hipervnculo"/>
            <w:rFonts w:cs="Times New Roman"/>
            <w:noProof/>
          </w:rPr>
          <w:t>Complemento matriz con normatividad.</w:t>
        </w:r>
        <w:r w:rsidR="00704435">
          <w:rPr>
            <w:noProof/>
            <w:webHidden/>
          </w:rPr>
          <w:tab/>
        </w:r>
        <w:r w:rsidR="00704435">
          <w:rPr>
            <w:noProof/>
            <w:webHidden/>
          </w:rPr>
          <w:fldChar w:fldCharType="begin"/>
        </w:r>
        <w:r w:rsidR="00704435">
          <w:rPr>
            <w:noProof/>
            <w:webHidden/>
          </w:rPr>
          <w:instrText xml:space="preserve"> PAGEREF _Toc229077714 \h </w:instrText>
        </w:r>
        <w:r w:rsidR="00704435">
          <w:rPr>
            <w:noProof/>
            <w:webHidden/>
          </w:rPr>
        </w:r>
        <w:r w:rsidR="00704435">
          <w:rPr>
            <w:noProof/>
            <w:webHidden/>
          </w:rPr>
          <w:fldChar w:fldCharType="separate"/>
        </w:r>
        <w:r w:rsidR="00CD3177">
          <w:rPr>
            <w:noProof/>
            <w:webHidden/>
          </w:rPr>
          <w:t>86</w:t>
        </w:r>
        <w:r w:rsidR="00704435">
          <w:rPr>
            <w:noProof/>
            <w:webHidden/>
          </w:rPr>
          <w:fldChar w:fldCharType="end"/>
        </w:r>
      </w:hyperlink>
    </w:p>
    <w:p w14:paraId="4725F916" w14:textId="30A0177B"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5" w:history="1">
        <w:r w:rsidR="00704435" w:rsidRPr="00453430">
          <w:rPr>
            <w:rStyle w:val="Hipervnculo"/>
            <w:b/>
            <w:bCs/>
            <w:noProof/>
          </w:rPr>
          <w:t>Figura  6</w:t>
        </w:r>
        <w:r w:rsidR="00704435" w:rsidRPr="00453430">
          <w:rPr>
            <w:rStyle w:val="Hipervnculo"/>
            <w:noProof/>
          </w:rPr>
          <w:t xml:space="preserve"> </w:t>
        </w:r>
        <w:r w:rsidR="00704435" w:rsidRPr="00453430">
          <w:rPr>
            <w:rStyle w:val="Hipervnculo"/>
            <w:rFonts w:cs="Times New Roman"/>
            <w:noProof/>
          </w:rPr>
          <w:t>Fuentes de investigación análisis documental.</w:t>
        </w:r>
        <w:r w:rsidR="00704435">
          <w:rPr>
            <w:noProof/>
            <w:webHidden/>
          </w:rPr>
          <w:tab/>
        </w:r>
        <w:r w:rsidR="00704435">
          <w:rPr>
            <w:noProof/>
            <w:webHidden/>
          </w:rPr>
          <w:fldChar w:fldCharType="begin"/>
        </w:r>
        <w:r w:rsidR="00704435">
          <w:rPr>
            <w:noProof/>
            <w:webHidden/>
          </w:rPr>
          <w:instrText xml:space="preserve"> PAGEREF _Toc229077715 \h </w:instrText>
        </w:r>
        <w:r w:rsidR="00704435">
          <w:rPr>
            <w:noProof/>
            <w:webHidden/>
          </w:rPr>
        </w:r>
        <w:r w:rsidR="00704435">
          <w:rPr>
            <w:noProof/>
            <w:webHidden/>
          </w:rPr>
          <w:fldChar w:fldCharType="separate"/>
        </w:r>
        <w:r w:rsidR="00CD3177">
          <w:rPr>
            <w:noProof/>
            <w:webHidden/>
          </w:rPr>
          <w:t>123</w:t>
        </w:r>
        <w:r w:rsidR="00704435">
          <w:rPr>
            <w:noProof/>
            <w:webHidden/>
          </w:rPr>
          <w:fldChar w:fldCharType="end"/>
        </w:r>
      </w:hyperlink>
    </w:p>
    <w:p w14:paraId="16D1960A" w14:textId="1FF55336"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6" w:history="1">
        <w:r w:rsidR="00704435" w:rsidRPr="00453430">
          <w:rPr>
            <w:rStyle w:val="Hipervnculo"/>
            <w:b/>
            <w:bCs/>
            <w:noProof/>
          </w:rPr>
          <w:t xml:space="preserve">Figura 7 </w:t>
        </w:r>
        <w:r w:rsidR="00704435" w:rsidRPr="00453430">
          <w:rPr>
            <w:rStyle w:val="Hipervnculo"/>
            <w:rFonts w:cs="Times New Roman"/>
            <w:bCs/>
            <w:noProof/>
          </w:rPr>
          <w:t>Causas de la ineficacia.</w:t>
        </w:r>
        <w:r w:rsidR="00704435">
          <w:rPr>
            <w:noProof/>
            <w:webHidden/>
          </w:rPr>
          <w:tab/>
        </w:r>
        <w:r w:rsidR="00704435">
          <w:rPr>
            <w:noProof/>
            <w:webHidden/>
          </w:rPr>
          <w:fldChar w:fldCharType="begin"/>
        </w:r>
        <w:r w:rsidR="00704435">
          <w:rPr>
            <w:noProof/>
            <w:webHidden/>
          </w:rPr>
          <w:instrText xml:space="preserve"> PAGEREF _Toc229077716 \h </w:instrText>
        </w:r>
        <w:r w:rsidR="00704435">
          <w:rPr>
            <w:noProof/>
            <w:webHidden/>
          </w:rPr>
        </w:r>
        <w:r w:rsidR="00704435">
          <w:rPr>
            <w:noProof/>
            <w:webHidden/>
          </w:rPr>
          <w:fldChar w:fldCharType="separate"/>
        </w:r>
        <w:r w:rsidR="00CD3177">
          <w:rPr>
            <w:noProof/>
            <w:webHidden/>
          </w:rPr>
          <w:t>147</w:t>
        </w:r>
        <w:r w:rsidR="00704435">
          <w:rPr>
            <w:noProof/>
            <w:webHidden/>
          </w:rPr>
          <w:fldChar w:fldCharType="end"/>
        </w:r>
      </w:hyperlink>
    </w:p>
    <w:p w14:paraId="0175B755" w14:textId="2B772AF4"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7" w:history="1">
        <w:r w:rsidR="00704435" w:rsidRPr="00453430">
          <w:rPr>
            <w:rStyle w:val="Hipervnculo"/>
            <w:b/>
            <w:bCs/>
            <w:noProof/>
          </w:rPr>
          <w:t>Figura  8</w:t>
        </w:r>
        <w:r w:rsidR="00704435" w:rsidRPr="00453430">
          <w:rPr>
            <w:rStyle w:val="Hipervnculo"/>
            <w:rFonts w:cs="Times New Roman"/>
            <w:b/>
            <w:bCs/>
            <w:noProof/>
          </w:rPr>
          <w:t xml:space="preserve"> </w:t>
        </w:r>
        <w:r w:rsidR="00704435" w:rsidRPr="00453430">
          <w:rPr>
            <w:rStyle w:val="Hipervnculo"/>
            <w:rFonts w:cs="Times New Roman"/>
            <w:bCs/>
            <w:noProof/>
          </w:rPr>
          <w:t>Relación causas análisis documental versus entrevista a expertos.</w:t>
        </w:r>
        <w:r w:rsidR="00704435">
          <w:rPr>
            <w:noProof/>
            <w:webHidden/>
          </w:rPr>
          <w:tab/>
        </w:r>
        <w:r w:rsidR="00704435">
          <w:rPr>
            <w:noProof/>
            <w:webHidden/>
          </w:rPr>
          <w:fldChar w:fldCharType="begin"/>
        </w:r>
        <w:r w:rsidR="00704435">
          <w:rPr>
            <w:noProof/>
            <w:webHidden/>
          </w:rPr>
          <w:instrText xml:space="preserve"> PAGEREF _Toc229077717 \h </w:instrText>
        </w:r>
        <w:r w:rsidR="00704435">
          <w:rPr>
            <w:noProof/>
            <w:webHidden/>
          </w:rPr>
        </w:r>
        <w:r w:rsidR="00704435">
          <w:rPr>
            <w:noProof/>
            <w:webHidden/>
          </w:rPr>
          <w:fldChar w:fldCharType="separate"/>
        </w:r>
        <w:r w:rsidR="00CD3177">
          <w:rPr>
            <w:noProof/>
            <w:webHidden/>
          </w:rPr>
          <w:t>152</w:t>
        </w:r>
        <w:r w:rsidR="00704435">
          <w:rPr>
            <w:noProof/>
            <w:webHidden/>
          </w:rPr>
          <w:fldChar w:fldCharType="end"/>
        </w:r>
      </w:hyperlink>
    </w:p>
    <w:p w14:paraId="1C06E61D" w14:textId="3D7894DF"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8" w:history="1">
        <w:r w:rsidR="00704435" w:rsidRPr="00453430">
          <w:rPr>
            <w:rStyle w:val="Hipervnculo"/>
            <w:b/>
            <w:bCs/>
            <w:noProof/>
          </w:rPr>
          <w:t xml:space="preserve">Figura  9 </w:t>
        </w:r>
        <w:r w:rsidR="00704435" w:rsidRPr="00453430">
          <w:rPr>
            <w:rStyle w:val="Hipervnculo"/>
            <w:rFonts w:cs="Times New Roman"/>
            <w:bCs/>
            <w:noProof/>
          </w:rPr>
          <w:t>Consecuencias legales.</w:t>
        </w:r>
        <w:r w:rsidR="00704435">
          <w:rPr>
            <w:noProof/>
            <w:webHidden/>
          </w:rPr>
          <w:tab/>
        </w:r>
        <w:r w:rsidR="00704435">
          <w:rPr>
            <w:noProof/>
            <w:webHidden/>
          </w:rPr>
          <w:fldChar w:fldCharType="begin"/>
        </w:r>
        <w:r w:rsidR="00704435">
          <w:rPr>
            <w:noProof/>
            <w:webHidden/>
          </w:rPr>
          <w:instrText xml:space="preserve"> PAGEREF _Toc229077718 \h </w:instrText>
        </w:r>
        <w:r w:rsidR="00704435">
          <w:rPr>
            <w:noProof/>
            <w:webHidden/>
          </w:rPr>
        </w:r>
        <w:r w:rsidR="00704435">
          <w:rPr>
            <w:noProof/>
            <w:webHidden/>
          </w:rPr>
          <w:fldChar w:fldCharType="separate"/>
        </w:r>
        <w:r w:rsidR="00CD3177">
          <w:rPr>
            <w:noProof/>
            <w:webHidden/>
          </w:rPr>
          <w:t>161</w:t>
        </w:r>
        <w:r w:rsidR="00704435">
          <w:rPr>
            <w:noProof/>
            <w:webHidden/>
          </w:rPr>
          <w:fldChar w:fldCharType="end"/>
        </w:r>
      </w:hyperlink>
    </w:p>
    <w:p w14:paraId="4FB69CC9" w14:textId="0D9FC966" w:rsidR="00704435" w:rsidRP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19" w:history="1">
        <w:r w:rsidR="00704435" w:rsidRPr="00704435">
          <w:rPr>
            <w:rStyle w:val="Hipervnculo"/>
            <w:b/>
            <w:noProof/>
          </w:rPr>
          <w:t xml:space="preserve">Figura  10 </w:t>
        </w:r>
        <w:r w:rsidR="00704435" w:rsidRPr="00704435">
          <w:rPr>
            <w:rStyle w:val="Hipervnculo"/>
            <w:noProof/>
          </w:rPr>
          <w:t xml:space="preserve">Consecuencias Fiscales. </w:t>
        </w:r>
        <w:r w:rsidR="00704435" w:rsidRPr="00704435">
          <w:rPr>
            <w:noProof/>
            <w:webHidden/>
          </w:rPr>
          <w:tab/>
        </w:r>
        <w:r w:rsidR="00704435" w:rsidRPr="00704435">
          <w:rPr>
            <w:noProof/>
            <w:webHidden/>
          </w:rPr>
          <w:fldChar w:fldCharType="begin"/>
        </w:r>
        <w:r w:rsidR="00704435" w:rsidRPr="00704435">
          <w:rPr>
            <w:noProof/>
            <w:webHidden/>
          </w:rPr>
          <w:instrText xml:space="preserve"> PAGEREF _Toc229077719 \h </w:instrText>
        </w:r>
        <w:r w:rsidR="00704435" w:rsidRPr="00704435">
          <w:rPr>
            <w:noProof/>
            <w:webHidden/>
          </w:rPr>
        </w:r>
        <w:r w:rsidR="00704435" w:rsidRPr="00704435">
          <w:rPr>
            <w:noProof/>
            <w:webHidden/>
          </w:rPr>
          <w:fldChar w:fldCharType="separate"/>
        </w:r>
        <w:r w:rsidR="00CD3177">
          <w:rPr>
            <w:noProof/>
            <w:webHidden/>
          </w:rPr>
          <w:t>166</w:t>
        </w:r>
        <w:r w:rsidR="00704435" w:rsidRPr="00704435">
          <w:rPr>
            <w:noProof/>
            <w:webHidden/>
          </w:rPr>
          <w:fldChar w:fldCharType="end"/>
        </w:r>
      </w:hyperlink>
    </w:p>
    <w:p w14:paraId="2BA99D7B" w14:textId="3B1AC0C3"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0" w:history="1">
        <w:r w:rsidR="00704435" w:rsidRPr="00704435">
          <w:rPr>
            <w:rStyle w:val="Hipervnculo"/>
            <w:b/>
            <w:bCs/>
            <w:noProof/>
          </w:rPr>
          <w:t xml:space="preserve">Figura  11 </w:t>
        </w:r>
        <w:r w:rsidR="00704435" w:rsidRPr="00704435">
          <w:rPr>
            <w:rStyle w:val="Hipervnculo"/>
            <w:bCs/>
            <w:noProof/>
          </w:rPr>
          <w:t>Consecuencias procedimentales.</w:t>
        </w:r>
        <w:r w:rsidR="00704435" w:rsidRPr="00704435">
          <w:rPr>
            <w:noProof/>
            <w:webHidden/>
          </w:rPr>
          <w:tab/>
        </w:r>
        <w:r w:rsidR="00704435" w:rsidRPr="00704435">
          <w:rPr>
            <w:noProof/>
            <w:webHidden/>
          </w:rPr>
          <w:fldChar w:fldCharType="begin"/>
        </w:r>
        <w:r w:rsidR="00704435" w:rsidRPr="00704435">
          <w:rPr>
            <w:noProof/>
            <w:webHidden/>
          </w:rPr>
          <w:instrText xml:space="preserve"> PAGEREF _Toc229077720 \h </w:instrText>
        </w:r>
        <w:r w:rsidR="00704435" w:rsidRPr="00704435">
          <w:rPr>
            <w:noProof/>
            <w:webHidden/>
          </w:rPr>
        </w:r>
        <w:r w:rsidR="00704435" w:rsidRPr="00704435">
          <w:rPr>
            <w:noProof/>
            <w:webHidden/>
          </w:rPr>
          <w:fldChar w:fldCharType="separate"/>
        </w:r>
        <w:r w:rsidR="00CD3177">
          <w:rPr>
            <w:noProof/>
            <w:webHidden/>
          </w:rPr>
          <w:t>171</w:t>
        </w:r>
        <w:r w:rsidR="00704435" w:rsidRPr="00704435">
          <w:rPr>
            <w:noProof/>
            <w:webHidden/>
          </w:rPr>
          <w:fldChar w:fldCharType="end"/>
        </w:r>
      </w:hyperlink>
    </w:p>
    <w:p w14:paraId="250B3A5F" w14:textId="1EF9191A"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1" w:history="1">
        <w:r w:rsidR="00704435" w:rsidRPr="00453430">
          <w:rPr>
            <w:rStyle w:val="Hipervnculo"/>
            <w:b/>
            <w:bCs/>
            <w:noProof/>
          </w:rPr>
          <w:t>Figura  12</w:t>
        </w:r>
        <w:r w:rsidR="00704435" w:rsidRPr="00453430">
          <w:rPr>
            <w:rStyle w:val="Hipervnculo"/>
            <w:noProof/>
          </w:rPr>
          <w:t xml:space="preserve"> </w:t>
        </w:r>
        <w:r w:rsidR="00704435" w:rsidRPr="00453430">
          <w:rPr>
            <w:rStyle w:val="Hipervnculo"/>
            <w:rFonts w:cs="Times New Roman"/>
            <w:noProof/>
          </w:rPr>
          <w:t>Análisis descriptivo de la evolución temporal de las denuncias.</w:t>
        </w:r>
        <w:r w:rsidR="00704435">
          <w:rPr>
            <w:noProof/>
            <w:webHidden/>
          </w:rPr>
          <w:tab/>
        </w:r>
        <w:r w:rsidR="00704435">
          <w:rPr>
            <w:noProof/>
            <w:webHidden/>
          </w:rPr>
          <w:fldChar w:fldCharType="begin"/>
        </w:r>
        <w:r w:rsidR="00704435">
          <w:rPr>
            <w:noProof/>
            <w:webHidden/>
          </w:rPr>
          <w:instrText xml:space="preserve"> PAGEREF _Toc229077721 \h </w:instrText>
        </w:r>
        <w:r w:rsidR="00704435">
          <w:rPr>
            <w:noProof/>
            <w:webHidden/>
          </w:rPr>
        </w:r>
        <w:r w:rsidR="00704435">
          <w:rPr>
            <w:noProof/>
            <w:webHidden/>
          </w:rPr>
          <w:fldChar w:fldCharType="separate"/>
        </w:r>
        <w:r w:rsidR="00CD3177">
          <w:rPr>
            <w:noProof/>
            <w:webHidden/>
          </w:rPr>
          <w:t>177</w:t>
        </w:r>
        <w:r w:rsidR="00704435">
          <w:rPr>
            <w:noProof/>
            <w:webHidden/>
          </w:rPr>
          <w:fldChar w:fldCharType="end"/>
        </w:r>
      </w:hyperlink>
    </w:p>
    <w:p w14:paraId="3ACB1B50" w14:textId="498B88FB"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2" w:history="1">
        <w:r w:rsidR="00704435" w:rsidRPr="00453430">
          <w:rPr>
            <w:rStyle w:val="Hipervnculo"/>
            <w:b/>
            <w:bCs/>
            <w:noProof/>
          </w:rPr>
          <w:t xml:space="preserve">Figura  13 </w:t>
        </w:r>
        <w:r w:rsidR="00704435" w:rsidRPr="00453430">
          <w:rPr>
            <w:rStyle w:val="Hipervnculo"/>
            <w:rFonts w:cs="Times New Roman"/>
            <w:noProof/>
          </w:rPr>
          <w:t>Porcentaje de retenciones denunciadas versus total presentadas DIAN Ibagué.</w:t>
        </w:r>
        <w:r w:rsidR="00704435">
          <w:rPr>
            <w:noProof/>
            <w:webHidden/>
          </w:rPr>
          <w:tab/>
        </w:r>
        <w:r w:rsidR="00704435">
          <w:rPr>
            <w:noProof/>
            <w:webHidden/>
          </w:rPr>
          <w:fldChar w:fldCharType="begin"/>
        </w:r>
        <w:r w:rsidR="00704435">
          <w:rPr>
            <w:noProof/>
            <w:webHidden/>
          </w:rPr>
          <w:instrText xml:space="preserve"> PAGEREF _Toc229077722 \h </w:instrText>
        </w:r>
        <w:r w:rsidR="00704435">
          <w:rPr>
            <w:noProof/>
            <w:webHidden/>
          </w:rPr>
        </w:r>
        <w:r w:rsidR="00704435">
          <w:rPr>
            <w:noProof/>
            <w:webHidden/>
          </w:rPr>
          <w:fldChar w:fldCharType="separate"/>
        </w:r>
        <w:r w:rsidR="00CD3177">
          <w:rPr>
            <w:noProof/>
            <w:webHidden/>
          </w:rPr>
          <w:t>179</w:t>
        </w:r>
        <w:r w:rsidR="00704435">
          <w:rPr>
            <w:noProof/>
            <w:webHidden/>
          </w:rPr>
          <w:fldChar w:fldCharType="end"/>
        </w:r>
      </w:hyperlink>
    </w:p>
    <w:p w14:paraId="1CE3ACDF" w14:textId="3359227C"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3" w:history="1">
        <w:r w:rsidR="00704435" w:rsidRPr="00453430">
          <w:rPr>
            <w:rStyle w:val="Hipervnculo"/>
            <w:b/>
            <w:bCs/>
            <w:noProof/>
          </w:rPr>
          <w:t xml:space="preserve">Figura  14 </w:t>
        </w:r>
        <w:r w:rsidR="00704435" w:rsidRPr="00453430">
          <w:rPr>
            <w:rStyle w:val="Hipervnculo"/>
            <w:rFonts w:cs="Times New Roman"/>
            <w:noProof/>
          </w:rPr>
          <w:t>Afectación Recaudo DIAN</w:t>
        </w:r>
        <w:r w:rsidR="00704435" w:rsidRPr="00453430">
          <w:rPr>
            <w:rStyle w:val="Hipervnculo"/>
            <w:rFonts w:cs="Times New Roman"/>
            <w:b/>
            <w:bCs/>
            <w:noProof/>
          </w:rPr>
          <w:t>.</w:t>
        </w:r>
        <w:r w:rsidR="00704435">
          <w:rPr>
            <w:noProof/>
            <w:webHidden/>
          </w:rPr>
          <w:tab/>
        </w:r>
        <w:r w:rsidR="00704435">
          <w:rPr>
            <w:noProof/>
            <w:webHidden/>
          </w:rPr>
          <w:fldChar w:fldCharType="begin"/>
        </w:r>
        <w:r w:rsidR="00704435">
          <w:rPr>
            <w:noProof/>
            <w:webHidden/>
          </w:rPr>
          <w:instrText xml:space="preserve"> PAGEREF _Toc229077723 \h </w:instrText>
        </w:r>
        <w:r w:rsidR="00704435">
          <w:rPr>
            <w:noProof/>
            <w:webHidden/>
          </w:rPr>
        </w:r>
        <w:r w:rsidR="00704435">
          <w:rPr>
            <w:noProof/>
            <w:webHidden/>
          </w:rPr>
          <w:fldChar w:fldCharType="separate"/>
        </w:r>
        <w:r w:rsidR="00CD3177">
          <w:rPr>
            <w:noProof/>
            <w:webHidden/>
          </w:rPr>
          <w:t>180</w:t>
        </w:r>
        <w:r w:rsidR="00704435">
          <w:rPr>
            <w:noProof/>
            <w:webHidden/>
          </w:rPr>
          <w:fldChar w:fldCharType="end"/>
        </w:r>
      </w:hyperlink>
    </w:p>
    <w:p w14:paraId="656BB48F" w14:textId="1923CAC2"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4" w:history="1">
        <w:r w:rsidR="00704435" w:rsidRPr="00453430">
          <w:rPr>
            <w:rStyle w:val="Hipervnculo"/>
            <w:b/>
            <w:bCs/>
            <w:noProof/>
          </w:rPr>
          <w:t xml:space="preserve">Figura  15 </w:t>
        </w:r>
        <w:r w:rsidR="00704435" w:rsidRPr="00453430">
          <w:rPr>
            <w:rStyle w:val="Hipervnculo"/>
            <w:rFonts w:cs="Times New Roman"/>
            <w:noProof/>
          </w:rPr>
          <w:t>Participación de las retenciones en el recaudo total de Ibagué.</w:t>
        </w:r>
        <w:r w:rsidR="00704435">
          <w:rPr>
            <w:noProof/>
            <w:webHidden/>
          </w:rPr>
          <w:tab/>
        </w:r>
        <w:r w:rsidR="00704435">
          <w:rPr>
            <w:noProof/>
            <w:webHidden/>
          </w:rPr>
          <w:fldChar w:fldCharType="begin"/>
        </w:r>
        <w:r w:rsidR="00704435">
          <w:rPr>
            <w:noProof/>
            <w:webHidden/>
          </w:rPr>
          <w:instrText xml:space="preserve"> PAGEREF _Toc229077724 \h </w:instrText>
        </w:r>
        <w:r w:rsidR="00704435">
          <w:rPr>
            <w:noProof/>
            <w:webHidden/>
          </w:rPr>
        </w:r>
        <w:r w:rsidR="00704435">
          <w:rPr>
            <w:noProof/>
            <w:webHidden/>
          </w:rPr>
          <w:fldChar w:fldCharType="separate"/>
        </w:r>
        <w:r w:rsidR="00CD3177">
          <w:rPr>
            <w:noProof/>
            <w:webHidden/>
          </w:rPr>
          <w:t>182</w:t>
        </w:r>
        <w:r w:rsidR="00704435">
          <w:rPr>
            <w:noProof/>
            <w:webHidden/>
          </w:rPr>
          <w:fldChar w:fldCharType="end"/>
        </w:r>
      </w:hyperlink>
    </w:p>
    <w:p w14:paraId="6FFAD213" w14:textId="0C2249F4"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5" w:history="1">
        <w:r w:rsidR="00704435" w:rsidRPr="00453430">
          <w:rPr>
            <w:rStyle w:val="Hipervnculo"/>
            <w:b/>
            <w:bCs/>
            <w:noProof/>
          </w:rPr>
          <w:t xml:space="preserve">Figura  16 </w:t>
        </w:r>
        <w:r w:rsidR="00704435" w:rsidRPr="00453430">
          <w:rPr>
            <w:rStyle w:val="Hipervnculo"/>
            <w:rFonts w:cs="Times New Roman"/>
            <w:noProof/>
          </w:rPr>
          <w:t>Cifras de recaudo por concepto de retenciones DIAN Ibagué.</w:t>
        </w:r>
        <w:r w:rsidR="00704435">
          <w:rPr>
            <w:noProof/>
            <w:webHidden/>
          </w:rPr>
          <w:tab/>
        </w:r>
        <w:r w:rsidR="00704435">
          <w:rPr>
            <w:noProof/>
            <w:webHidden/>
          </w:rPr>
          <w:fldChar w:fldCharType="begin"/>
        </w:r>
        <w:r w:rsidR="00704435">
          <w:rPr>
            <w:noProof/>
            <w:webHidden/>
          </w:rPr>
          <w:instrText xml:space="preserve"> PAGEREF _Toc229077725 \h </w:instrText>
        </w:r>
        <w:r w:rsidR="00704435">
          <w:rPr>
            <w:noProof/>
            <w:webHidden/>
          </w:rPr>
        </w:r>
        <w:r w:rsidR="00704435">
          <w:rPr>
            <w:noProof/>
            <w:webHidden/>
          </w:rPr>
          <w:fldChar w:fldCharType="separate"/>
        </w:r>
        <w:r w:rsidR="00CD3177">
          <w:rPr>
            <w:noProof/>
            <w:webHidden/>
          </w:rPr>
          <w:t>183</w:t>
        </w:r>
        <w:r w:rsidR="00704435">
          <w:rPr>
            <w:noProof/>
            <w:webHidden/>
          </w:rPr>
          <w:fldChar w:fldCharType="end"/>
        </w:r>
      </w:hyperlink>
    </w:p>
    <w:p w14:paraId="045A13F9" w14:textId="1AFEC8A4"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6" w:history="1">
        <w:r w:rsidR="00704435" w:rsidRPr="00453430">
          <w:rPr>
            <w:rStyle w:val="Hipervnculo"/>
            <w:b/>
            <w:bCs/>
            <w:noProof/>
          </w:rPr>
          <w:t xml:space="preserve">Figura  17 </w:t>
        </w:r>
        <w:r w:rsidR="00704435" w:rsidRPr="00453430">
          <w:rPr>
            <w:rStyle w:val="Hipervnculo"/>
            <w:rFonts w:cs="Times New Roman"/>
            <w:noProof/>
          </w:rPr>
          <w:t>Valor de retenciones denunciadas versus total recaudo DIAN Ibagué.</w:t>
        </w:r>
        <w:r w:rsidR="00704435">
          <w:rPr>
            <w:noProof/>
            <w:webHidden/>
          </w:rPr>
          <w:tab/>
        </w:r>
        <w:r w:rsidR="00704435">
          <w:rPr>
            <w:noProof/>
            <w:webHidden/>
          </w:rPr>
          <w:fldChar w:fldCharType="begin"/>
        </w:r>
        <w:r w:rsidR="00704435">
          <w:rPr>
            <w:noProof/>
            <w:webHidden/>
          </w:rPr>
          <w:instrText xml:space="preserve"> PAGEREF _Toc229077726 \h </w:instrText>
        </w:r>
        <w:r w:rsidR="00704435">
          <w:rPr>
            <w:noProof/>
            <w:webHidden/>
          </w:rPr>
        </w:r>
        <w:r w:rsidR="00704435">
          <w:rPr>
            <w:noProof/>
            <w:webHidden/>
          </w:rPr>
          <w:fldChar w:fldCharType="separate"/>
        </w:r>
        <w:r w:rsidR="00CD3177">
          <w:rPr>
            <w:noProof/>
            <w:webHidden/>
          </w:rPr>
          <w:t>184</w:t>
        </w:r>
        <w:r w:rsidR="00704435">
          <w:rPr>
            <w:noProof/>
            <w:webHidden/>
          </w:rPr>
          <w:fldChar w:fldCharType="end"/>
        </w:r>
      </w:hyperlink>
    </w:p>
    <w:p w14:paraId="0EBCEEAF" w14:textId="0540ED77" w:rsidR="00704435" w:rsidRDefault="00674D57" w:rsidP="00263B16">
      <w:pPr>
        <w:pStyle w:val="Tabladeilustraciones"/>
        <w:tabs>
          <w:tab w:val="right" w:leader="dot" w:pos="9350"/>
        </w:tabs>
        <w:spacing w:before="0" w:after="0" w:line="480" w:lineRule="auto"/>
        <w:rPr>
          <w:rFonts w:asciiTheme="minorHAnsi" w:eastAsiaTheme="minorEastAsia" w:hAnsiTheme="minorHAnsi"/>
          <w:noProof/>
          <w:kern w:val="2"/>
          <w:szCs w:val="24"/>
          <w:lang w:eastAsia="es-CO"/>
          <w14:ligatures w14:val="standardContextual"/>
        </w:rPr>
      </w:pPr>
      <w:hyperlink w:anchor="_Toc229077727" w:history="1">
        <w:r w:rsidR="00704435" w:rsidRPr="00453430">
          <w:rPr>
            <w:rStyle w:val="Hipervnculo"/>
            <w:b/>
            <w:bCs/>
            <w:noProof/>
          </w:rPr>
          <w:t>Figura  18</w:t>
        </w:r>
        <w:r w:rsidR="00704435" w:rsidRPr="00453430">
          <w:rPr>
            <w:rStyle w:val="Hipervnculo"/>
            <w:rFonts w:cs="Times New Roman"/>
            <w:b/>
            <w:bCs/>
            <w:noProof/>
          </w:rPr>
          <w:t xml:space="preserve"> </w:t>
        </w:r>
        <w:r w:rsidR="00704435" w:rsidRPr="00453430">
          <w:rPr>
            <w:rStyle w:val="Hipervnculo"/>
            <w:rFonts w:eastAsia="Times New Roman" w:cs="Times New Roman"/>
            <w:noProof/>
            <w:lang w:eastAsia="es-CO"/>
          </w:rPr>
          <w:t>Problemáticas asociadas a la ineficacia.</w:t>
        </w:r>
        <w:r w:rsidR="00704435">
          <w:rPr>
            <w:noProof/>
            <w:webHidden/>
          </w:rPr>
          <w:tab/>
        </w:r>
        <w:r w:rsidR="00704435">
          <w:rPr>
            <w:noProof/>
            <w:webHidden/>
          </w:rPr>
          <w:fldChar w:fldCharType="begin"/>
        </w:r>
        <w:r w:rsidR="00704435">
          <w:rPr>
            <w:noProof/>
            <w:webHidden/>
          </w:rPr>
          <w:instrText xml:space="preserve"> PAGEREF _Toc229077727 \h </w:instrText>
        </w:r>
        <w:r w:rsidR="00704435">
          <w:rPr>
            <w:noProof/>
            <w:webHidden/>
          </w:rPr>
        </w:r>
        <w:r w:rsidR="00704435">
          <w:rPr>
            <w:noProof/>
            <w:webHidden/>
          </w:rPr>
          <w:fldChar w:fldCharType="separate"/>
        </w:r>
        <w:r w:rsidR="00CD3177">
          <w:rPr>
            <w:noProof/>
            <w:webHidden/>
          </w:rPr>
          <w:t>191</w:t>
        </w:r>
        <w:r w:rsidR="00704435">
          <w:rPr>
            <w:noProof/>
            <w:webHidden/>
          </w:rPr>
          <w:fldChar w:fldCharType="end"/>
        </w:r>
      </w:hyperlink>
    </w:p>
    <w:p w14:paraId="7F328755" w14:textId="011D5E09" w:rsidR="006D4587" w:rsidRPr="006177E4" w:rsidRDefault="006D4587" w:rsidP="00263B16">
      <w:pPr>
        <w:spacing w:line="480" w:lineRule="auto"/>
        <w:rPr>
          <w:rFonts w:cs="Times New Roman"/>
          <w:szCs w:val="24"/>
        </w:rPr>
      </w:pPr>
      <w:r>
        <w:rPr>
          <w:rFonts w:cs="Times New Roman"/>
          <w:szCs w:val="24"/>
        </w:rPr>
        <w:fldChar w:fldCharType="end"/>
      </w:r>
    </w:p>
    <w:p w14:paraId="07591624" w14:textId="77777777" w:rsidR="006B13CA" w:rsidRPr="006177E4" w:rsidRDefault="006B13CA" w:rsidP="00263B16">
      <w:pPr>
        <w:spacing w:line="480" w:lineRule="auto"/>
        <w:rPr>
          <w:rFonts w:cs="Times New Roman"/>
          <w:szCs w:val="24"/>
        </w:rPr>
      </w:pPr>
    </w:p>
    <w:p w14:paraId="7FB3094A" w14:textId="77777777" w:rsidR="006B13CA" w:rsidRPr="006177E4" w:rsidRDefault="006B13CA" w:rsidP="00263B16">
      <w:pPr>
        <w:spacing w:line="480" w:lineRule="auto"/>
        <w:rPr>
          <w:rFonts w:cs="Times New Roman"/>
          <w:szCs w:val="24"/>
        </w:rPr>
      </w:pPr>
    </w:p>
    <w:p w14:paraId="37A36CA9" w14:textId="77777777" w:rsidR="001F3D50" w:rsidRPr="006177E4" w:rsidRDefault="001F3D50" w:rsidP="00263B16">
      <w:pPr>
        <w:spacing w:line="480" w:lineRule="auto"/>
        <w:jc w:val="left"/>
        <w:rPr>
          <w:rFonts w:cs="Times New Roman"/>
          <w:szCs w:val="24"/>
        </w:rPr>
      </w:pPr>
      <w:r w:rsidRPr="006177E4">
        <w:rPr>
          <w:rFonts w:cs="Times New Roman"/>
          <w:szCs w:val="24"/>
        </w:rPr>
        <w:br w:type="page"/>
      </w:r>
    </w:p>
    <w:p w14:paraId="12784E27" w14:textId="36CB9D00" w:rsidR="006B13CA" w:rsidRPr="006177E4" w:rsidRDefault="001F3D50" w:rsidP="00263B16">
      <w:pPr>
        <w:spacing w:line="480" w:lineRule="auto"/>
        <w:jc w:val="center"/>
        <w:rPr>
          <w:rFonts w:cs="Times New Roman"/>
          <w:b/>
          <w:bCs/>
          <w:szCs w:val="24"/>
        </w:rPr>
      </w:pPr>
      <w:bookmarkStart w:id="24" w:name="_Hlk65433249"/>
      <w:r w:rsidRPr="006177E4">
        <w:rPr>
          <w:rFonts w:cs="Times New Roman"/>
          <w:b/>
          <w:bCs/>
          <w:szCs w:val="24"/>
        </w:rPr>
        <w:lastRenderedPageBreak/>
        <w:t>Siglas</w:t>
      </w:r>
      <w:r w:rsidR="00435836" w:rsidRPr="006177E4">
        <w:rPr>
          <w:rFonts w:cs="Times New Roman"/>
          <w:b/>
          <w:bCs/>
          <w:szCs w:val="24"/>
        </w:rPr>
        <w:t>, acrónimos</w:t>
      </w:r>
      <w:r w:rsidRPr="006177E4">
        <w:rPr>
          <w:rFonts w:cs="Times New Roman"/>
          <w:b/>
          <w:bCs/>
          <w:szCs w:val="24"/>
        </w:rPr>
        <w:t xml:space="preserve"> y abreviaturas</w:t>
      </w:r>
    </w:p>
    <w:p w14:paraId="1F73A21A" w14:textId="77777777" w:rsidR="001F3D50" w:rsidRPr="006177E4" w:rsidRDefault="001F3D50" w:rsidP="00263B16">
      <w:pPr>
        <w:spacing w:line="480" w:lineRule="auto"/>
        <w:rPr>
          <w:rFonts w:cs="Times New Roman"/>
          <w:szCs w:val="24"/>
        </w:rPr>
      </w:pPr>
    </w:p>
    <w:p w14:paraId="432EE304" w14:textId="4176E4CE" w:rsidR="00CC0AE5" w:rsidRPr="006177E4" w:rsidRDefault="00CC0AE5" w:rsidP="00263B16">
      <w:pPr>
        <w:spacing w:line="480" w:lineRule="auto"/>
        <w:rPr>
          <w:rFonts w:cs="Times New Roman"/>
          <w:szCs w:val="24"/>
        </w:rPr>
      </w:pPr>
      <w:r w:rsidRPr="006177E4">
        <w:rPr>
          <w:rFonts w:cs="Times New Roman"/>
          <w:b/>
          <w:bCs/>
          <w:szCs w:val="24"/>
        </w:rPr>
        <w:t>APA</w:t>
      </w:r>
      <w:r w:rsidRPr="006177E4">
        <w:rPr>
          <w:rFonts w:cs="Times New Roman"/>
          <w:szCs w:val="24"/>
        </w:rPr>
        <w:tab/>
      </w:r>
      <w:r w:rsidRPr="006177E4">
        <w:rPr>
          <w:rFonts w:cs="Times New Roman"/>
          <w:szCs w:val="24"/>
        </w:rPr>
        <w:tab/>
      </w:r>
      <w:r w:rsidRPr="006177E4">
        <w:rPr>
          <w:rFonts w:cs="Times New Roman"/>
          <w:szCs w:val="24"/>
        </w:rPr>
        <w:tab/>
        <w:t xml:space="preserve">American </w:t>
      </w:r>
      <w:proofErr w:type="spellStart"/>
      <w:r w:rsidRPr="006177E4">
        <w:rPr>
          <w:rFonts w:cs="Times New Roman"/>
          <w:szCs w:val="24"/>
        </w:rPr>
        <w:t>Psychological</w:t>
      </w:r>
      <w:proofErr w:type="spellEnd"/>
      <w:r w:rsidRPr="006177E4">
        <w:rPr>
          <w:rFonts w:cs="Times New Roman"/>
          <w:szCs w:val="24"/>
        </w:rPr>
        <w:t xml:space="preserve"> </w:t>
      </w:r>
      <w:proofErr w:type="spellStart"/>
      <w:r w:rsidRPr="006177E4">
        <w:rPr>
          <w:rFonts w:cs="Times New Roman"/>
          <w:szCs w:val="24"/>
        </w:rPr>
        <w:t>Association</w:t>
      </w:r>
      <w:proofErr w:type="spellEnd"/>
    </w:p>
    <w:p w14:paraId="3776A142" w14:textId="09349825" w:rsidR="00CC0AE5" w:rsidRPr="006177E4" w:rsidRDefault="00CC0AE5" w:rsidP="00263B16">
      <w:pPr>
        <w:spacing w:line="480" w:lineRule="auto"/>
        <w:rPr>
          <w:rFonts w:cs="Times New Roman"/>
          <w:szCs w:val="24"/>
          <w:lang w:val="en-US"/>
        </w:rPr>
      </w:pPr>
      <w:proofErr w:type="spellStart"/>
      <w:r w:rsidRPr="006177E4">
        <w:rPr>
          <w:rFonts w:cs="Times New Roman"/>
          <w:b/>
          <w:szCs w:val="24"/>
          <w:lang w:val="en-US"/>
        </w:rPr>
        <w:t>Cms</w:t>
      </w:r>
      <w:proofErr w:type="spellEnd"/>
      <w:r w:rsidRPr="006177E4">
        <w:rPr>
          <w:rFonts w:cs="Times New Roman"/>
          <w:b/>
          <w:szCs w:val="24"/>
          <w:lang w:val="en-US"/>
        </w:rPr>
        <w:t>.</w:t>
      </w:r>
      <w:r w:rsidRPr="006177E4">
        <w:rPr>
          <w:rFonts w:cs="Times New Roman"/>
          <w:szCs w:val="24"/>
          <w:lang w:val="en-US"/>
        </w:rPr>
        <w:tab/>
      </w:r>
      <w:r w:rsidRPr="006177E4">
        <w:rPr>
          <w:rFonts w:cs="Times New Roman"/>
          <w:szCs w:val="24"/>
          <w:lang w:val="en-US"/>
        </w:rPr>
        <w:tab/>
      </w:r>
      <w:r w:rsidRPr="006177E4">
        <w:rPr>
          <w:rFonts w:cs="Times New Roman"/>
          <w:szCs w:val="24"/>
          <w:lang w:val="en-US"/>
        </w:rPr>
        <w:tab/>
      </w:r>
      <w:proofErr w:type="spellStart"/>
      <w:r w:rsidRPr="006177E4">
        <w:rPr>
          <w:rFonts w:cs="Times New Roman"/>
          <w:szCs w:val="24"/>
          <w:lang w:val="en-US"/>
        </w:rPr>
        <w:t>Centímetros</w:t>
      </w:r>
      <w:proofErr w:type="spellEnd"/>
    </w:p>
    <w:p w14:paraId="176B84CB" w14:textId="41BD66BC" w:rsidR="00CC0AE5" w:rsidRPr="006177E4" w:rsidRDefault="00CC0AE5" w:rsidP="00263B16">
      <w:pPr>
        <w:spacing w:line="480" w:lineRule="auto"/>
        <w:rPr>
          <w:rFonts w:cs="Times New Roman"/>
          <w:szCs w:val="24"/>
          <w:lang w:val="en-US"/>
        </w:rPr>
      </w:pPr>
      <w:r w:rsidRPr="006177E4">
        <w:rPr>
          <w:rFonts w:cs="Times New Roman"/>
          <w:b/>
          <w:szCs w:val="24"/>
          <w:lang w:val="en-US"/>
        </w:rPr>
        <w:t>ERIC</w:t>
      </w:r>
      <w:r w:rsidRPr="006177E4">
        <w:rPr>
          <w:rFonts w:cs="Times New Roman"/>
          <w:szCs w:val="24"/>
          <w:lang w:val="en-US"/>
        </w:rPr>
        <w:tab/>
      </w:r>
      <w:r w:rsidRPr="006177E4">
        <w:rPr>
          <w:rFonts w:cs="Times New Roman"/>
          <w:szCs w:val="24"/>
          <w:lang w:val="en-US"/>
        </w:rPr>
        <w:tab/>
      </w:r>
      <w:r w:rsidRPr="006177E4">
        <w:rPr>
          <w:rFonts w:cs="Times New Roman"/>
          <w:szCs w:val="24"/>
          <w:lang w:val="en-US"/>
        </w:rPr>
        <w:tab/>
        <w:t>Education Resources Information Center</w:t>
      </w:r>
    </w:p>
    <w:p w14:paraId="7781F862" w14:textId="1A1B02FB" w:rsidR="00CC0AE5" w:rsidRPr="006177E4" w:rsidRDefault="00CC0AE5" w:rsidP="00263B16">
      <w:pPr>
        <w:spacing w:line="480" w:lineRule="auto"/>
        <w:rPr>
          <w:rFonts w:cs="Times New Roman"/>
          <w:szCs w:val="24"/>
          <w:lang w:val="en-US"/>
        </w:rPr>
      </w:pPr>
      <w:r w:rsidRPr="006177E4">
        <w:rPr>
          <w:rFonts w:cs="Times New Roman"/>
          <w:b/>
          <w:szCs w:val="24"/>
          <w:lang w:val="en-US"/>
        </w:rPr>
        <w:t>Esp.</w:t>
      </w:r>
      <w:r w:rsidRPr="006177E4">
        <w:rPr>
          <w:rFonts w:cs="Times New Roman"/>
          <w:szCs w:val="24"/>
          <w:lang w:val="en-US"/>
        </w:rPr>
        <w:tab/>
      </w:r>
      <w:r w:rsidRPr="006177E4">
        <w:rPr>
          <w:rFonts w:cs="Times New Roman"/>
          <w:szCs w:val="24"/>
          <w:lang w:val="en-US"/>
        </w:rPr>
        <w:tab/>
      </w:r>
      <w:r w:rsidRPr="006177E4">
        <w:rPr>
          <w:rFonts w:cs="Times New Roman"/>
          <w:szCs w:val="24"/>
          <w:lang w:val="en-US"/>
        </w:rPr>
        <w:tab/>
      </w:r>
      <w:proofErr w:type="spellStart"/>
      <w:r w:rsidRPr="006177E4">
        <w:rPr>
          <w:rFonts w:cs="Times New Roman"/>
          <w:szCs w:val="24"/>
          <w:lang w:val="en-US"/>
        </w:rPr>
        <w:t>Especialista</w:t>
      </w:r>
      <w:proofErr w:type="spellEnd"/>
    </w:p>
    <w:p w14:paraId="437BA86E" w14:textId="194E1201" w:rsidR="00CC0AE5" w:rsidRPr="006177E4" w:rsidRDefault="00CC0AE5" w:rsidP="00263B16">
      <w:pPr>
        <w:spacing w:line="480" w:lineRule="auto"/>
        <w:rPr>
          <w:rFonts w:cs="Times New Roman"/>
          <w:szCs w:val="24"/>
          <w:lang w:val="en-US"/>
        </w:rPr>
      </w:pPr>
      <w:r w:rsidRPr="006177E4">
        <w:rPr>
          <w:rFonts w:cs="Times New Roman"/>
          <w:b/>
          <w:szCs w:val="24"/>
          <w:lang w:val="en-US"/>
        </w:rPr>
        <w:t>MP</w:t>
      </w:r>
      <w:r w:rsidRPr="006177E4">
        <w:rPr>
          <w:rFonts w:cs="Times New Roman"/>
          <w:szCs w:val="24"/>
          <w:lang w:val="en-US"/>
        </w:rPr>
        <w:tab/>
      </w:r>
      <w:r w:rsidRPr="006177E4">
        <w:rPr>
          <w:rFonts w:cs="Times New Roman"/>
          <w:szCs w:val="24"/>
          <w:lang w:val="en-US"/>
        </w:rPr>
        <w:tab/>
      </w:r>
      <w:r w:rsidRPr="006177E4">
        <w:rPr>
          <w:rFonts w:cs="Times New Roman"/>
          <w:szCs w:val="24"/>
          <w:lang w:val="en-US"/>
        </w:rPr>
        <w:tab/>
      </w:r>
      <w:proofErr w:type="spellStart"/>
      <w:r w:rsidRPr="006177E4">
        <w:rPr>
          <w:rFonts w:cs="Times New Roman"/>
          <w:szCs w:val="24"/>
          <w:lang w:val="en-US"/>
        </w:rPr>
        <w:t>Magistrado</w:t>
      </w:r>
      <w:proofErr w:type="spellEnd"/>
      <w:r w:rsidRPr="006177E4">
        <w:rPr>
          <w:rFonts w:cs="Times New Roman"/>
          <w:szCs w:val="24"/>
          <w:lang w:val="en-US"/>
        </w:rPr>
        <w:t xml:space="preserve"> Ponente</w:t>
      </w:r>
    </w:p>
    <w:p w14:paraId="6B557FBF" w14:textId="63157A64" w:rsidR="00CC0AE5" w:rsidRPr="006177E4" w:rsidRDefault="00CC0AE5" w:rsidP="00263B16">
      <w:pPr>
        <w:spacing w:line="480" w:lineRule="auto"/>
        <w:rPr>
          <w:rFonts w:cs="Times New Roman"/>
          <w:szCs w:val="24"/>
          <w:lang w:val="en-US"/>
        </w:rPr>
      </w:pPr>
      <w:r w:rsidRPr="006177E4">
        <w:rPr>
          <w:rFonts w:cs="Times New Roman"/>
          <w:b/>
          <w:szCs w:val="24"/>
          <w:lang w:val="en-US"/>
        </w:rPr>
        <w:t>MSc</w:t>
      </w:r>
      <w:r w:rsidRPr="006177E4">
        <w:rPr>
          <w:rFonts w:cs="Times New Roman"/>
          <w:szCs w:val="24"/>
          <w:lang w:val="en-US"/>
        </w:rPr>
        <w:tab/>
      </w:r>
      <w:r w:rsidRPr="006177E4">
        <w:rPr>
          <w:rFonts w:cs="Times New Roman"/>
          <w:szCs w:val="24"/>
          <w:lang w:val="en-US"/>
        </w:rPr>
        <w:tab/>
      </w:r>
      <w:r w:rsidRPr="006177E4">
        <w:rPr>
          <w:rFonts w:cs="Times New Roman"/>
          <w:szCs w:val="24"/>
          <w:lang w:val="en-US"/>
        </w:rPr>
        <w:tab/>
        <w:t>Magister Scientiae</w:t>
      </w:r>
    </w:p>
    <w:p w14:paraId="65440511" w14:textId="77777777" w:rsidR="00263DD2" w:rsidRPr="006177E4" w:rsidRDefault="00263DD2" w:rsidP="00263B16">
      <w:pPr>
        <w:spacing w:line="480" w:lineRule="auto"/>
        <w:rPr>
          <w:rFonts w:cs="Times New Roman"/>
          <w:szCs w:val="24"/>
          <w:lang w:val="en-US"/>
        </w:rPr>
      </w:pPr>
      <w:proofErr w:type="spellStart"/>
      <w:r w:rsidRPr="006177E4">
        <w:rPr>
          <w:rFonts w:cs="Times New Roman"/>
          <w:b/>
          <w:szCs w:val="24"/>
          <w:lang w:val="en-US"/>
        </w:rPr>
        <w:t>Párr</w:t>
      </w:r>
      <w:proofErr w:type="spellEnd"/>
      <w:r w:rsidRPr="006177E4">
        <w:rPr>
          <w:rFonts w:cs="Times New Roman"/>
          <w:b/>
          <w:szCs w:val="24"/>
          <w:lang w:val="en-US"/>
        </w:rPr>
        <w:t>.</w:t>
      </w:r>
      <w:r w:rsidRPr="006177E4">
        <w:rPr>
          <w:rFonts w:cs="Times New Roman"/>
          <w:szCs w:val="24"/>
          <w:lang w:val="en-US"/>
        </w:rPr>
        <w:tab/>
      </w:r>
      <w:r w:rsidRPr="006177E4">
        <w:rPr>
          <w:rFonts w:cs="Times New Roman"/>
          <w:szCs w:val="24"/>
          <w:lang w:val="en-US"/>
        </w:rPr>
        <w:tab/>
      </w:r>
      <w:r w:rsidRPr="006177E4">
        <w:rPr>
          <w:rFonts w:cs="Times New Roman"/>
          <w:szCs w:val="24"/>
          <w:lang w:val="en-US"/>
        </w:rPr>
        <w:tab/>
      </w:r>
      <w:proofErr w:type="spellStart"/>
      <w:r w:rsidRPr="006177E4">
        <w:rPr>
          <w:rFonts w:cs="Times New Roman"/>
          <w:szCs w:val="24"/>
          <w:lang w:val="en-US"/>
        </w:rPr>
        <w:t>Párrafo</w:t>
      </w:r>
      <w:proofErr w:type="spellEnd"/>
    </w:p>
    <w:p w14:paraId="28845BEF" w14:textId="4A0539DA" w:rsidR="001F3D50" w:rsidRPr="006177E4" w:rsidRDefault="001F3D50" w:rsidP="00263B16">
      <w:pPr>
        <w:spacing w:line="480" w:lineRule="auto"/>
        <w:rPr>
          <w:rFonts w:cs="Times New Roman"/>
          <w:szCs w:val="24"/>
          <w:lang w:val="en-US"/>
        </w:rPr>
      </w:pPr>
      <w:r w:rsidRPr="006177E4">
        <w:rPr>
          <w:rFonts w:cs="Times New Roman"/>
          <w:b/>
          <w:szCs w:val="24"/>
          <w:lang w:val="en-US"/>
        </w:rPr>
        <w:t>PhD</w:t>
      </w:r>
      <w:r w:rsidRPr="006177E4">
        <w:rPr>
          <w:rFonts w:cs="Times New Roman"/>
          <w:szCs w:val="24"/>
          <w:lang w:val="en-US"/>
        </w:rPr>
        <w:tab/>
      </w:r>
      <w:r w:rsidRPr="006177E4">
        <w:rPr>
          <w:rFonts w:cs="Times New Roman"/>
          <w:szCs w:val="24"/>
          <w:lang w:val="en-US"/>
        </w:rPr>
        <w:tab/>
      </w:r>
      <w:r w:rsidR="00CC0AE5" w:rsidRPr="006177E4">
        <w:rPr>
          <w:rFonts w:cs="Times New Roman"/>
          <w:szCs w:val="24"/>
          <w:lang w:val="en-US"/>
        </w:rPr>
        <w:tab/>
      </w:r>
      <w:proofErr w:type="spellStart"/>
      <w:r w:rsidRPr="006177E4">
        <w:rPr>
          <w:rFonts w:cs="Times New Roman"/>
          <w:szCs w:val="24"/>
          <w:lang w:val="en-US"/>
        </w:rPr>
        <w:t>Philosophiae</w:t>
      </w:r>
      <w:proofErr w:type="spellEnd"/>
      <w:r w:rsidRPr="006177E4">
        <w:rPr>
          <w:rFonts w:cs="Times New Roman"/>
          <w:szCs w:val="24"/>
          <w:lang w:val="en-US"/>
        </w:rPr>
        <w:t xml:space="preserve"> Doctor</w:t>
      </w:r>
    </w:p>
    <w:p w14:paraId="49E4EE91" w14:textId="3A8773D5" w:rsidR="00CC0AE5" w:rsidRPr="006177E4" w:rsidRDefault="00CC0AE5" w:rsidP="00263B16">
      <w:pPr>
        <w:spacing w:line="480" w:lineRule="auto"/>
        <w:rPr>
          <w:rFonts w:cs="Times New Roman"/>
          <w:szCs w:val="24"/>
          <w:lang w:val="en-US"/>
        </w:rPr>
      </w:pPr>
      <w:r w:rsidRPr="006177E4">
        <w:rPr>
          <w:rFonts w:cs="Times New Roman"/>
          <w:b/>
          <w:szCs w:val="24"/>
          <w:lang w:val="en-US"/>
        </w:rPr>
        <w:t>PBQ-SF</w:t>
      </w:r>
      <w:r w:rsidRPr="006177E4">
        <w:rPr>
          <w:rFonts w:cs="Times New Roman"/>
          <w:szCs w:val="24"/>
          <w:lang w:val="en-US"/>
        </w:rPr>
        <w:t xml:space="preserve"> </w:t>
      </w:r>
      <w:r w:rsidRPr="006177E4">
        <w:rPr>
          <w:rFonts w:cs="Times New Roman"/>
          <w:szCs w:val="24"/>
          <w:lang w:val="en-US"/>
        </w:rPr>
        <w:tab/>
      </w:r>
      <w:r w:rsidRPr="006177E4">
        <w:rPr>
          <w:rFonts w:cs="Times New Roman"/>
          <w:szCs w:val="24"/>
          <w:lang w:val="en-US"/>
        </w:rPr>
        <w:tab/>
        <w:t>Personality Belief Questionnaire Short Form</w:t>
      </w:r>
    </w:p>
    <w:p w14:paraId="71FF313C" w14:textId="79738C4A" w:rsidR="001F3D50" w:rsidRPr="006177E4" w:rsidRDefault="001F3D50" w:rsidP="00263B16">
      <w:pPr>
        <w:spacing w:line="480" w:lineRule="auto"/>
        <w:rPr>
          <w:rFonts w:cs="Times New Roman"/>
          <w:szCs w:val="24"/>
        </w:rPr>
      </w:pPr>
      <w:proofErr w:type="spellStart"/>
      <w:r w:rsidRPr="006177E4">
        <w:rPr>
          <w:rFonts w:cs="Times New Roman"/>
          <w:b/>
          <w:bCs/>
          <w:szCs w:val="24"/>
        </w:rPr>
        <w:t>PostDoc</w:t>
      </w:r>
      <w:proofErr w:type="spellEnd"/>
      <w:r w:rsidRPr="006177E4">
        <w:rPr>
          <w:rFonts w:cs="Times New Roman"/>
          <w:szCs w:val="24"/>
        </w:rPr>
        <w:tab/>
      </w:r>
      <w:r w:rsidR="00CC0AE5" w:rsidRPr="006177E4">
        <w:rPr>
          <w:rFonts w:cs="Times New Roman"/>
          <w:szCs w:val="24"/>
        </w:rPr>
        <w:tab/>
      </w:r>
      <w:proofErr w:type="spellStart"/>
      <w:r w:rsidRPr="006177E4">
        <w:rPr>
          <w:rFonts w:cs="Times New Roman"/>
          <w:szCs w:val="24"/>
        </w:rPr>
        <w:t>PostDoctor</w:t>
      </w:r>
      <w:proofErr w:type="spellEnd"/>
    </w:p>
    <w:p w14:paraId="40D0ED6B" w14:textId="4092F530" w:rsidR="002F2F1F" w:rsidRPr="006177E4" w:rsidRDefault="00945F91" w:rsidP="00263B16">
      <w:pPr>
        <w:spacing w:line="480" w:lineRule="auto"/>
        <w:rPr>
          <w:rFonts w:cs="Times New Roman"/>
          <w:szCs w:val="24"/>
        </w:rPr>
      </w:pPr>
      <w:proofErr w:type="spellStart"/>
      <w:r w:rsidRPr="006177E4">
        <w:rPr>
          <w:rFonts w:cs="Times New Roman"/>
          <w:b/>
          <w:bCs/>
          <w:szCs w:val="24"/>
        </w:rPr>
        <w:t>UManizales</w:t>
      </w:r>
      <w:proofErr w:type="spellEnd"/>
      <w:r w:rsidRPr="006177E4">
        <w:rPr>
          <w:rFonts w:cs="Times New Roman"/>
          <w:szCs w:val="24"/>
        </w:rPr>
        <w:tab/>
      </w:r>
      <w:r w:rsidRPr="006177E4">
        <w:rPr>
          <w:rFonts w:cs="Times New Roman"/>
          <w:szCs w:val="24"/>
        </w:rPr>
        <w:tab/>
        <w:t>Universidad de Manizales</w:t>
      </w:r>
    </w:p>
    <w:bookmarkEnd w:id="24"/>
    <w:p w14:paraId="03D3EF5C" w14:textId="77777777" w:rsidR="00CC0AE5" w:rsidRPr="006177E4" w:rsidRDefault="00CC0AE5" w:rsidP="00263B16">
      <w:pPr>
        <w:spacing w:line="480" w:lineRule="auto"/>
        <w:rPr>
          <w:rFonts w:cs="Times New Roman"/>
          <w:szCs w:val="24"/>
        </w:rPr>
      </w:pPr>
    </w:p>
    <w:p w14:paraId="4EFD454A" w14:textId="77777777" w:rsidR="00CC0AE5" w:rsidRPr="006177E4" w:rsidRDefault="00CC0AE5" w:rsidP="00263B16">
      <w:pPr>
        <w:spacing w:line="480" w:lineRule="auto"/>
        <w:rPr>
          <w:rFonts w:cs="Times New Roman"/>
          <w:szCs w:val="24"/>
        </w:rPr>
      </w:pPr>
    </w:p>
    <w:p w14:paraId="14A34255" w14:textId="0D52EF92" w:rsidR="00892860" w:rsidRPr="006177E4" w:rsidRDefault="00892860" w:rsidP="00263B16">
      <w:pPr>
        <w:spacing w:line="480" w:lineRule="auto"/>
        <w:rPr>
          <w:rFonts w:cs="Times New Roman"/>
          <w:szCs w:val="24"/>
        </w:rPr>
      </w:pPr>
    </w:p>
    <w:p w14:paraId="41BD76BA" w14:textId="1C808A60" w:rsidR="00892860" w:rsidRPr="006177E4" w:rsidRDefault="00892860" w:rsidP="00263B16">
      <w:pPr>
        <w:spacing w:line="480" w:lineRule="auto"/>
        <w:rPr>
          <w:rFonts w:cs="Times New Roman"/>
          <w:szCs w:val="24"/>
        </w:rPr>
      </w:pPr>
    </w:p>
    <w:p w14:paraId="0A493F53" w14:textId="370EFA57" w:rsidR="00892860" w:rsidRPr="006177E4" w:rsidRDefault="00892860" w:rsidP="00263B16">
      <w:pPr>
        <w:spacing w:line="480" w:lineRule="auto"/>
        <w:rPr>
          <w:rFonts w:cs="Times New Roman"/>
          <w:szCs w:val="24"/>
        </w:rPr>
      </w:pPr>
    </w:p>
    <w:p w14:paraId="54A6B55E" w14:textId="1A88C838" w:rsidR="00892860" w:rsidRPr="006177E4" w:rsidRDefault="00892860" w:rsidP="00263B16">
      <w:pPr>
        <w:spacing w:line="480" w:lineRule="auto"/>
        <w:rPr>
          <w:rFonts w:cs="Times New Roman"/>
          <w:szCs w:val="24"/>
        </w:rPr>
      </w:pPr>
    </w:p>
    <w:p w14:paraId="0C75C37F" w14:textId="1CD986A0" w:rsidR="00892860" w:rsidRPr="006177E4" w:rsidRDefault="00892860" w:rsidP="00263B16">
      <w:pPr>
        <w:spacing w:line="480" w:lineRule="auto"/>
        <w:rPr>
          <w:rFonts w:cs="Times New Roman"/>
          <w:szCs w:val="24"/>
        </w:rPr>
      </w:pPr>
    </w:p>
    <w:p w14:paraId="600E7766" w14:textId="260764A4" w:rsidR="00892860" w:rsidRPr="006177E4" w:rsidRDefault="00892860" w:rsidP="00263B16">
      <w:pPr>
        <w:spacing w:line="480" w:lineRule="auto"/>
        <w:rPr>
          <w:rFonts w:cs="Times New Roman"/>
          <w:szCs w:val="24"/>
        </w:rPr>
      </w:pPr>
    </w:p>
    <w:p w14:paraId="04ACA03A" w14:textId="6D8B90D5" w:rsidR="00892860" w:rsidRPr="006177E4" w:rsidRDefault="00892860" w:rsidP="00263B16">
      <w:pPr>
        <w:spacing w:line="480" w:lineRule="auto"/>
        <w:rPr>
          <w:rFonts w:cs="Times New Roman"/>
          <w:szCs w:val="24"/>
        </w:rPr>
      </w:pPr>
    </w:p>
    <w:p w14:paraId="1E402B53" w14:textId="57186A6A" w:rsidR="00892860" w:rsidRPr="006177E4" w:rsidRDefault="00892860" w:rsidP="00263B16">
      <w:pPr>
        <w:spacing w:line="480" w:lineRule="auto"/>
        <w:rPr>
          <w:rFonts w:cs="Times New Roman"/>
          <w:szCs w:val="24"/>
        </w:rPr>
      </w:pPr>
    </w:p>
    <w:p w14:paraId="7F268CA5" w14:textId="40F71B01" w:rsidR="006B13CA" w:rsidRPr="00942AFF" w:rsidRDefault="006B13CA" w:rsidP="00263B16">
      <w:pPr>
        <w:pStyle w:val="PrrAPA"/>
        <w:rPr>
          <w:b/>
          <w:bCs/>
        </w:rPr>
      </w:pPr>
      <w:bookmarkStart w:id="25" w:name="_Toc228250764"/>
      <w:r w:rsidRPr="00942AFF">
        <w:rPr>
          <w:b/>
          <w:bCs/>
        </w:rPr>
        <w:lastRenderedPageBreak/>
        <w:t>Resumen</w:t>
      </w:r>
      <w:bookmarkEnd w:id="25"/>
    </w:p>
    <w:p w14:paraId="15216F15" w14:textId="77777777" w:rsidR="00CD6537" w:rsidRPr="006177E4" w:rsidRDefault="00936236" w:rsidP="00263B16">
      <w:pPr>
        <w:pStyle w:val="PrrAPA"/>
      </w:pPr>
      <w:r w:rsidRPr="006177E4">
        <w:t xml:space="preserve">La presente investigación </w:t>
      </w:r>
      <w:r w:rsidR="00BD293E" w:rsidRPr="006177E4">
        <w:t>re</w:t>
      </w:r>
      <w:r w:rsidR="002E60E8" w:rsidRPr="006177E4">
        <w:t>a</w:t>
      </w:r>
      <w:r w:rsidR="00BD293E" w:rsidRPr="006177E4">
        <w:t>lizó</w:t>
      </w:r>
      <w:r w:rsidRPr="006177E4">
        <w:t xml:space="preserve"> un análisis tributario en las ineficacias de las declaraciones de retención en la fuente en renta en los contribuyentes de la Administración de Impuestos de Ibagué en el período 2014 al 2024</w:t>
      </w:r>
      <w:r w:rsidR="00BD293E" w:rsidRPr="006177E4">
        <w:t xml:space="preserve">, así mismo, </w:t>
      </w:r>
      <w:r w:rsidR="00060EA5" w:rsidRPr="006177E4">
        <w:t>analizó las problemáticas asociadas a la ineficacia de las declaraciones de retención en la fuente</w:t>
      </w:r>
      <w:r w:rsidR="00BD293E" w:rsidRPr="006177E4">
        <w:t>.</w:t>
      </w:r>
    </w:p>
    <w:p w14:paraId="068650CF" w14:textId="417A8A89" w:rsidR="00060EA5" w:rsidRPr="006177E4" w:rsidRDefault="00060EA5" w:rsidP="00263B16">
      <w:pPr>
        <w:pStyle w:val="PrrAPA"/>
      </w:pPr>
      <w:r w:rsidRPr="006177E4">
        <w:t>El estudio se desarrolló a partir de una revisión documental</w:t>
      </w:r>
      <w:r w:rsidR="00667FC8" w:rsidRPr="006177E4">
        <w:t xml:space="preserve"> y </w:t>
      </w:r>
      <w:r w:rsidRPr="006177E4">
        <w:t xml:space="preserve">entrevistas estructuradas a expertos en derecho tributario, procedimiento tributario, fiscalización, recaudo, contaduría y revisoría fiscal. </w:t>
      </w:r>
      <w:r w:rsidR="00667FC8" w:rsidRPr="006177E4">
        <w:t xml:space="preserve">En este se identificaron </w:t>
      </w:r>
      <w:r w:rsidRPr="006177E4">
        <w:t xml:space="preserve">las principales causas de la </w:t>
      </w:r>
      <w:r w:rsidR="00667FC8" w:rsidRPr="006177E4">
        <w:t>ineficacia, sus</w:t>
      </w:r>
      <w:r w:rsidRPr="006177E4">
        <w:t xml:space="preserve"> consecuencias legales, fiscales y operativas, </w:t>
      </w:r>
      <w:r w:rsidR="00667FC8" w:rsidRPr="006177E4">
        <w:t>y las</w:t>
      </w:r>
      <w:r w:rsidRPr="006177E4">
        <w:t xml:space="preserve"> problemáticas asociadas</w:t>
      </w:r>
      <w:r w:rsidR="00667FC8" w:rsidRPr="006177E4">
        <w:t>.</w:t>
      </w:r>
    </w:p>
    <w:p w14:paraId="614ED37F" w14:textId="417E6EEF" w:rsidR="00942AFF" w:rsidRDefault="00060EA5" w:rsidP="00263B16">
      <w:pPr>
        <w:pStyle w:val="PrrAPA"/>
      </w:pPr>
      <w:r w:rsidRPr="006177E4">
        <w:t xml:space="preserve"> Los hallazgos permitieron establecer que la ineficacia de las declaraciones de retención en la fuente no obedece a una causa única, sino a la convergencia de factores normativos,</w:t>
      </w:r>
      <w:r w:rsidR="00667FC8" w:rsidRPr="006177E4">
        <w:t xml:space="preserve"> </w:t>
      </w:r>
      <w:r w:rsidRPr="006177E4">
        <w:t xml:space="preserve">administrativos, interpretativos y procedimentales. Entre los elementos más relevantes se identificaron la ausencia de pago total como </w:t>
      </w:r>
      <w:r w:rsidR="00667FC8" w:rsidRPr="006177E4">
        <w:t xml:space="preserve">causa principal </w:t>
      </w:r>
      <w:r w:rsidRPr="006177E4">
        <w:t xml:space="preserve">de </w:t>
      </w:r>
      <w:r w:rsidR="00667FC8" w:rsidRPr="006177E4">
        <w:t>in</w:t>
      </w:r>
      <w:r w:rsidRPr="006177E4">
        <w:t xml:space="preserve">eficacia, la inadecuada gestión de liquidez del agente retenedor, la complejidad interpretativa </w:t>
      </w:r>
      <w:r w:rsidR="00667FC8" w:rsidRPr="006177E4">
        <w:t>de la norma</w:t>
      </w:r>
      <w:r w:rsidRPr="006177E4">
        <w:t xml:space="preserve">, la </w:t>
      </w:r>
      <w:r w:rsidR="00667FC8" w:rsidRPr="006177E4">
        <w:t xml:space="preserve">discusión en si se considera sanción o no, </w:t>
      </w:r>
      <w:r w:rsidRPr="006177E4">
        <w:t xml:space="preserve">así como las </w:t>
      </w:r>
      <w:r w:rsidR="00667FC8" w:rsidRPr="006177E4">
        <w:t xml:space="preserve">discusiones relacionadas con la </w:t>
      </w:r>
      <w:r w:rsidRPr="006177E4">
        <w:t>ineficacia de la declaración para el contribuyente y su utilidad como título ejecutivo para la administración tributaria. Del mismo modo, se evidenció que la evolución normativa del artículo 580-1</w:t>
      </w:r>
      <w:r w:rsidR="00DC3219">
        <w:t>del Estatuto Tributario, en adelante</w:t>
      </w:r>
      <w:r w:rsidRPr="006177E4">
        <w:t xml:space="preserve"> </w:t>
      </w:r>
      <w:sdt>
        <w:sdtPr>
          <w:rPr>
            <w:color w:val="000000"/>
          </w:rPr>
          <w:tag w:val="MENDELEY_CITATION_v3_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"/>
          <w:id w:val="1816295815"/>
          <w:placeholder>
            <w:docPart w:val="DefaultPlaceholder_-1854013440"/>
          </w:placeholder>
        </w:sdtPr>
        <w:sdtEndPr/>
        <w:sdtContent>
          <w:r w:rsidR="009A1775" w:rsidRPr="006177E4">
            <w:rPr>
              <w:color w:val="000000"/>
            </w:rPr>
            <w:t xml:space="preserve">Decreto 624 de </w:t>
          </w:r>
          <w:r w:rsidR="0096180D">
            <w:rPr>
              <w:color w:val="000000"/>
            </w:rPr>
            <w:t>(</w:t>
          </w:r>
          <w:r w:rsidR="009A1775" w:rsidRPr="006177E4">
            <w:rPr>
              <w:color w:val="000000"/>
            </w:rPr>
            <w:t>1989</w:t>
          </w:r>
          <w:r w:rsidR="0096180D">
            <w:rPr>
              <w:color w:val="000000"/>
            </w:rPr>
            <w:t>)</w:t>
          </w:r>
          <w:r w:rsidR="009A1775" w:rsidRPr="006177E4">
            <w:rPr>
              <w:color w:val="000000"/>
            </w:rPr>
            <w:t xml:space="preserve"> </w:t>
          </w:r>
        </w:sdtContent>
      </w:sdt>
      <w:r w:rsidR="00DC3219">
        <w:rPr>
          <w:color w:val="000000"/>
        </w:rPr>
        <w:t xml:space="preserve">, </w:t>
      </w:r>
      <w:r w:rsidR="00667FC8" w:rsidRPr="006177E4">
        <w:t>ha</w:t>
      </w:r>
      <w:r w:rsidR="00DC3219">
        <w:t xml:space="preserve"> </w:t>
      </w:r>
      <w:r w:rsidR="00667FC8" w:rsidRPr="006177E4">
        <w:t>impactado la gestión de la administración tributaria, especialmente las áreas de cobranzas y fiscalización.</w:t>
      </w:r>
    </w:p>
    <w:p w14:paraId="55379173" w14:textId="2569A795" w:rsidR="00060EA5" w:rsidRPr="006177E4" w:rsidRDefault="00060EA5" w:rsidP="00263B16">
      <w:pPr>
        <w:pStyle w:val="PrrAPA"/>
      </w:pPr>
      <w:r w:rsidRPr="006177E4">
        <w:t>En conclusión, la investigación permitió comprender que la figura de la ineficacia,</w:t>
      </w:r>
      <w:r w:rsidR="00667FC8" w:rsidRPr="006177E4">
        <w:t xml:space="preserve"> ideada para lograr de manera efectiva el </w:t>
      </w:r>
      <w:r w:rsidRPr="006177E4">
        <w:t>recaudo</w:t>
      </w:r>
      <w:r w:rsidR="00667FC8" w:rsidRPr="006177E4">
        <w:t xml:space="preserve">, </w:t>
      </w:r>
      <w:r w:rsidRPr="006177E4">
        <w:t xml:space="preserve">presenta </w:t>
      </w:r>
      <w:r w:rsidR="00D210DE" w:rsidRPr="006177E4">
        <w:t>discrepancia</w:t>
      </w:r>
      <w:r w:rsidRPr="006177E4">
        <w:t xml:space="preserve"> </w:t>
      </w:r>
      <w:r w:rsidR="00667FC8" w:rsidRPr="006177E4">
        <w:t xml:space="preserve">interpretativa y </w:t>
      </w:r>
      <w:r w:rsidR="00D210DE" w:rsidRPr="006177E4">
        <w:t xml:space="preserve">ausencia </w:t>
      </w:r>
      <w:r w:rsidR="00667FC8" w:rsidRPr="006177E4">
        <w:t>de control</w:t>
      </w:r>
      <w:r w:rsidR="00D210DE" w:rsidRPr="006177E4">
        <w:t xml:space="preserve"> por parte de la administración tributaria</w:t>
      </w:r>
      <w:r w:rsidRPr="006177E4">
        <w:t xml:space="preserve">. En </w:t>
      </w:r>
      <w:r w:rsidR="00D210DE" w:rsidRPr="006177E4">
        <w:t xml:space="preserve">la investigación no solo se realiza el análisis </w:t>
      </w:r>
      <w:r w:rsidR="0005544D" w:rsidRPr="006177E4">
        <w:t>normativo</w:t>
      </w:r>
      <w:r w:rsidR="00D210DE" w:rsidRPr="006177E4">
        <w:t xml:space="preserve">, sino </w:t>
      </w:r>
      <w:r w:rsidRPr="006177E4">
        <w:t xml:space="preserve">de sus efectos </w:t>
      </w:r>
      <w:r w:rsidR="0005544D" w:rsidRPr="006177E4">
        <w:t>y</w:t>
      </w:r>
      <w:r w:rsidRPr="006177E4">
        <w:t xml:space="preserve"> dificultades </w:t>
      </w:r>
      <w:r w:rsidR="0005544D" w:rsidRPr="006177E4">
        <w:t>en su aplicación que afectan</w:t>
      </w:r>
      <w:r w:rsidRPr="006177E4">
        <w:t xml:space="preserve"> la gestión del cumplimiento tributario.</w:t>
      </w:r>
    </w:p>
    <w:p w14:paraId="1F143F05" w14:textId="77777777" w:rsidR="00942AFF" w:rsidRDefault="00942AFF" w:rsidP="00263B16">
      <w:pPr>
        <w:spacing w:line="480" w:lineRule="auto"/>
        <w:rPr>
          <w:rFonts w:cs="Times New Roman"/>
          <w:i/>
          <w:szCs w:val="24"/>
        </w:rPr>
      </w:pPr>
    </w:p>
    <w:p w14:paraId="373AA4A8" w14:textId="4B5DCB6C" w:rsidR="006B13CA" w:rsidRPr="006177E4" w:rsidRDefault="006B13CA" w:rsidP="00263B16">
      <w:pPr>
        <w:spacing w:line="480" w:lineRule="auto"/>
        <w:rPr>
          <w:rFonts w:cs="Times New Roman"/>
          <w:szCs w:val="24"/>
        </w:rPr>
      </w:pPr>
      <w:r w:rsidRPr="00942AFF">
        <w:rPr>
          <w:rFonts w:cs="Times New Roman"/>
          <w:b/>
          <w:bCs/>
          <w:iCs/>
          <w:szCs w:val="24"/>
        </w:rPr>
        <w:t>Palabras clave</w:t>
      </w:r>
      <w:r w:rsidRPr="006177E4">
        <w:rPr>
          <w:rFonts w:cs="Times New Roman"/>
          <w:szCs w:val="24"/>
        </w:rPr>
        <w:t xml:space="preserve">: </w:t>
      </w:r>
      <w:r w:rsidR="00942AFF">
        <w:rPr>
          <w:rFonts w:cs="Times New Roman"/>
          <w:szCs w:val="24"/>
        </w:rPr>
        <w:t>R</w:t>
      </w:r>
      <w:r w:rsidR="00936236" w:rsidRPr="006177E4">
        <w:rPr>
          <w:rFonts w:cs="Times New Roman"/>
          <w:szCs w:val="24"/>
        </w:rPr>
        <w:t xml:space="preserve">etención en la fuente, ineficacia, </w:t>
      </w:r>
      <w:r w:rsidR="006210F5" w:rsidRPr="006177E4">
        <w:rPr>
          <w:rFonts w:cs="Times New Roman"/>
          <w:szCs w:val="24"/>
        </w:rPr>
        <w:t>estatuto tributario, agente retenedor</w:t>
      </w:r>
    </w:p>
    <w:p w14:paraId="5FCB9300" w14:textId="38B4C31F" w:rsidR="006B13CA" w:rsidRPr="006177E4" w:rsidRDefault="008203A8" w:rsidP="00263B16">
      <w:pPr>
        <w:spacing w:line="480" w:lineRule="auto"/>
        <w:rPr>
          <w:rFonts w:cs="Times New Roman"/>
          <w:szCs w:val="24"/>
        </w:rPr>
      </w:pPr>
      <w:r w:rsidRPr="006177E4">
        <w:rPr>
          <w:rFonts w:cs="Times New Roman"/>
          <w:szCs w:val="24"/>
        </w:rPr>
        <w:t xml:space="preserve"> </w:t>
      </w:r>
    </w:p>
    <w:p w14:paraId="4C5B8A96" w14:textId="77777777" w:rsidR="007A1607" w:rsidRPr="006177E4" w:rsidRDefault="007A1607" w:rsidP="00263B16">
      <w:pPr>
        <w:spacing w:line="480" w:lineRule="auto"/>
        <w:jc w:val="left"/>
        <w:rPr>
          <w:rFonts w:cs="Times New Roman"/>
          <w:b/>
          <w:szCs w:val="24"/>
          <w:lang w:val="es-ES"/>
        </w:rPr>
      </w:pPr>
      <w:r w:rsidRPr="006177E4">
        <w:rPr>
          <w:rFonts w:cs="Times New Roman"/>
          <w:b/>
          <w:szCs w:val="24"/>
        </w:rPr>
        <w:br w:type="page"/>
      </w:r>
    </w:p>
    <w:p w14:paraId="0A875A73" w14:textId="00D46DAB" w:rsidR="006B13CA" w:rsidRPr="00942AFF" w:rsidRDefault="006B13CA" w:rsidP="00263B16">
      <w:pPr>
        <w:pStyle w:val="PrrAPA"/>
        <w:rPr>
          <w:b/>
          <w:bCs/>
          <w:lang w:val="en-US"/>
        </w:rPr>
      </w:pPr>
      <w:bookmarkStart w:id="26" w:name="_Toc228250765"/>
      <w:r w:rsidRPr="00942AFF">
        <w:rPr>
          <w:b/>
          <w:bCs/>
          <w:lang w:val="en-US"/>
        </w:rPr>
        <w:lastRenderedPageBreak/>
        <w:t>Abstract</w:t>
      </w:r>
      <w:bookmarkEnd w:id="26"/>
    </w:p>
    <w:p w14:paraId="365972B5" w14:textId="36F5118F" w:rsidR="00401026" w:rsidRPr="006177E4" w:rsidRDefault="00401026" w:rsidP="00263B16">
      <w:pPr>
        <w:pStyle w:val="PrrAPA"/>
        <w:rPr>
          <w:lang w:val="en-US"/>
        </w:rPr>
      </w:pPr>
      <w:r w:rsidRPr="006177E4">
        <w:rPr>
          <w:lang w:val="en-US"/>
        </w:rPr>
        <w:t xml:space="preserve">This research conducted a tax law analysis of the ineffectiveness of withholding tax returns related to income tax filed by taxpayers under the jurisdiction of the </w:t>
      </w:r>
      <w:proofErr w:type="spellStart"/>
      <w:r w:rsidRPr="006177E4">
        <w:rPr>
          <w:lang w:val="en-US"/>
        </w:rPr>
        <w:t>Ibagué</w:t>
      </w:r>
      <w:proofErr w:type="spellEnd"/>
      <w:r w:rsidRPr="006177E4">
        <w:rPr>
          <w:lang w:val="en-US"/>
        </w:rPr>
        <w:t xml:space="preserve"> Tax Administration during the period 2014–2024. It also examined the issues associated with the ineffectiveness of such withholding tax returns.</w:t>
      </w:r>
    </w:p>
    <w:p w14:paraId="20926086" w14:textId="77777777" w:rsidR="00401026" w:rsidRPr="006177E4" w:rsidRDefault="00401026" w:rsidP="00263B16">
      <w:pPr>
        <w:pStyle w:val="PrrAPA"/>
        <w:rPr>
          <w:lang w:val="en-US"/>
        </w:rPr>
      </w:pPr>
      <w:r w:rsidRPr="006177E4">
        <w:rPr>
          <w:lang w:val="en-US"/>
        </w:rPr>
        <w:t>The study was developed through a documentary review and structured interviews with experts in tax law, tax procedure, auditing, collection, accounting, and statutory auditing. It identified the main causes of ineffectiveness, its legal, fiscal, and operational consequences, and the issues associated with its application.</w:t>
      </w:r>
    </w:p>
    <w:p w14:paraId="2A8DB532" w14:textId="0AD44E76" w:rsidR="00401026" w:rsidRPr="006177E4" w:rsidRDefault="00401026" w:rsidP="00263B16">
      <w:pPr>
        <w:pStyle w:val="PrrAPA"/>
        <w:rPr>
          <w:lang w:val="en-US"/>
        </w:rPr>
      </w:pPr>
      <w:r w:rsidRPr="006177E4">
        <w:rPr>
          <w:lang w:val="en-US"/>
        </w:rPr>
        <w:t>The findings showed that the ineffectiveness of withholding tax returns does not stem from a single cause, but rather from the convergence of normative, administrative, interpretative, and procedural factors. Among the most relevant elements identified were the absence of full payment as the main cause of ineffectiveness, the inadequate liquidity management of the withholding agent, the interpretative complexity of the rule, the debate over whether ineffectiveness should be considered a sanction, and the discussions concerning the ineffectiveness of the return for the taxpayer and its usefulness as an enforceable instrument for the tax administration. Likewise, it was found that the regulatory evolution of Article 580-1 (Decree 624 of 1989, Tax Statute, 1989</w:t>
      </w:r>
      <w:r w:rsidR="00B4022B">
        <w:rPr>
          <w:lang w:val="en-US"/>
        </w:rPr>
        <w:t>a</w:t>
      </w:r>
      <w:r w:rsidRPr="006177E4">
        <w:rPr>
          <w:lang w:val="en-US"/>
        </w:rPr>
        <w:t>) has affected the management of the tax administration, especially in the collection and auditing divisions.</w:t>
      </w:r>
    </w:p>
    <w:p w14:paraId="196D01B4" w14:textId="6A76C674" w:rsidR="00401026" w:rsidRDefault="00401026" w:rsidP="00263B16">
      <w:pPr>
        <w:pStyle w:val="PrrAPA"/>
        <w:rPr>
          <w:lang w:val="en-US"/>
        </w:rPr>
      </w:pPr>
      <w:r w:rsidRPr="006177E4">
        <w:rPr>
          <w:lang w:val="en-US"/>
        </w:rPr>
        <w:t>In conclusion, the research made it possible to understand that the concept of ineffectiveness, designed to ensure effective tax collection, presents interpretative discrepancies and a lack of control on the part of the tax administration. The study therefore examined not only the regulatory framework, but also its effects and the difficulties in its application, which affect the management of tax compliance</w:t>
      </w:r>
      <w:r w:rsidR="00942AFF">
        <w:rPr>
          <w:lang w:val="en-US"/>
        </w:rPr>
        <w:t>.</w:t>
      </w:r>
    </w:p>
    <w:p w14:paraId="73E38DE7" w14:textId="77777777" w:rsidR="00942AFF" w:rsidRPr="006177E4" w:rsidRDefault="00942AFF" w:rsidP="00263B16">
      <w:pPr>
        <w:pStyle w:val="PrrAPA"/>
        <w:rPr>
          <w:lang w:val="en-US"/>
        </w:rPr>
      </w:pPr>
    </w:p>
    <w:p w14:paraId="22E287CF" w14:textId="5D323BCA" w:rsidR="006B13CA" w:rsidRPr="006177E4" w:rsidRDefault="006B13CA" w:rsidP="00263B16">
      <w:pPr>
        <w:pStyle w:val="PrrAPA"/>
        <w:rPr>
          <w:lang w:val="en-US"/>
        </w:rPr>
      </w:pPr>
      <w:r w:rsidRPr="00942AFF">
        <w:rPr>
          <w:b/>
          <w:bCs/>
          <w:iCs/>
          <w:lang w:val="en-US"/>
        </w:rPr>
        <w:t>Keywords:</w:t>
      </w:r>
      <w:r w:rsidRPr="006177E4">
        <w:rPr>
          <w:lang w:val="en-US"/>
        </w:rPr>
        <w:t xml:space="preserve"> </w:t>
      </w:r>
      <w:r w:rsidR="006210F5" w:rsidRPr="006177E4">
        <w:rPr>
          <w:lang w:val="en-US"/>
        </w:rPr>
        <w:t>withholding tax, ineffectiveness, tax statute, withholding agent</w:t>
      </w:r>
    </w:p>
    <w:p w14:paraId="67AEC440" w14:textId="59A9F4D8" w:rsidR="002421AA" w:rsidRPr="006177E4" w:rsidRDefault="00F67757" w:rsidP="00263B16">
      <w:pPr>
        <w:pStyle w:val="PrrAPA"/>
        <w:rPr>
          <w:lang w:val="en-US"/>
        </w:rPr>
      </w:pPr>
      <w:r w:rsidRPr="006177E4">
        <w:rPr>
          <w:lang w:val="en-US"/>
        </w:rPr>
        <w:t xml:space="preserve"> </w:t>
      </w:r>
    </w:p>
    <w:p w14:paraId="578B969F" w14:textId="00E4965F" w:rsidR="002421AA" w:rsidRPr="006177E4" w:rsidRDefault="00B261A2" w:rsidP="00263B16">
      <w:pPr>
        <w:tabs>
          <w:tab w:val="left" w:pos="6787"/>
        </w:tabs>
        <w:spacing w:line="480" w:lineRule="auto"/>
        <w:rPr>
          <w:rFonts w:cs="Times New Roman"/>
          <w:szCs w:val="24"/>
          <w:lang w:val="en-US"/>
        </w:rPr>
      </w:pPr>
      <w:r w:rsidRPr="006177E4">
        <w:rPr>
          <w:rFonts w:cs="Times New Roman"/>
          <w:szCs w:val="24"/>
          <w:lang w:val="en-US"/>
        </w:rPr>
        <w:tab/>
      </w:r>
    </w:p>
    <w:p w14:paraId="211E3C89" w14:textId="77777777" w:rsidR="002421AA" w:rsidRPr="006177E4" w:rsidRDefault="002421AA" w:rsidP="00263B16">
      <w:pPr>
        <w:spacing w:line="480" w:lineRule="auto"/>
        <w:rPr>
          <w:rFonts w:cs="Times New Roman"/>
          <w:szCs w:val="24"/>
          <w:lang w:val="en-US"/>
        </w:rPr>
      </w:pPr>
    </w:p>
    <w:p w14:paraId="35FA3F20" w14:textId="6C21DC02" w:rsidR="0042601E" w:rsidRPr="00564A67" w:rsidRDefault="0042601E" w:rsidP="00263B16">
      <w:pPr>
        <w:spacing w:line="480" w:lineRule="auto"/>
        <w:jc w:val="left"/>
        <w:rPr>
          <w:rFonts w:eastAsiaTheme="majorEastAsia" w:cs="Times New Roman"/>
          <w:b/>
          <w:szCs w:val="24"/>
          <w:lang w:val="en-US"/>
        </w:rPr>
      </w:pPr>
      <w:bookmarkStart w:id="27" w:name="_Toc437858002"/>
      <w:bookmarkStart w:id="28" w:name="_Toc437858423"/>
      <w:bookmarkStart w:id="29" w:name="_Toc440985125"/>
      <w:bookmarkStart w:id="30" w:name="_Toc228250766"/>
    </w:p>
    <w:p w14:paraId="6780C5C5" w14:textId="50A3C646" w:rsidR="006B13CA" w:rsidRPr="006177E4" w:rsidRDefault="006B13CA" w:rsidP="00263B16">
      <w:pPr>
        <w:pStyle w:val="Ttulo1"/>
      </w:pPr>
      <w:bookmarkStart w:id="31" w:name="_Toc229077634"/>
      <w:r w:rsidRPr="00263B16">
        <w:lastRenderedPageBreak/>
        <w:t>Introducción</w:t>
      </w:r>
      <w:bookmarkEnd w:id="27"/>
      <w:bookmarkEnd w:id="28"/>
      <w:bookmarkEnd w:id="29"/>
      <w:bookmarkEnd w:id="30"/>
      <w:bookmarkEnd w:id="31"/>
    </w:p>
    <w:p w14:paraId="2688CABF" w14:textId="77777777" w:rsidR="0042601E" w:rsidRDefault="00B44E1E" w:rsidP="008C471E">
      <w:pPr>
        <w:pStyle w:val="PrrAPA"/>
      </w:pPr>
      <w:r w:rsidRPr="006177E4">
        <w:t xml:space="preserve">La retención en la fuente constituye un mecanismo fiscal esencial dentro del sistema tributario colombiano, en la medida en que permite anticipar el recaudo de impuestos y contribuye a fortalecer la eficiencia de la administración tributaria. </w:t>
      </w:r>
      <w:r w:rsidR="004E1EF7" w:rsidRPr="006177E4">
        <w:t xml:space="preserve">El legislador buscó garantizar el pago de los valores </w:t>
      </w:r>
      <w:r w:rsidR="003645CE" w:rsidRPr="006177E4">
        <w:t>retenidos</w:t>
      </w:r>
      <w:r w:rsidR="0055673B" w:rsidRPr="006177E4">
        <w:t>,</w:t>
      </w:r>
      <w:r w:rsidR="003645CE" w:rsidRPr="006177E4">
        <w:t xml:space="preserve"> </w:t>
      </w:r>
      <w:r w:rsidR="0055673B" w:rsidRPr="006177E4">
        <w:t>estableciendo</w:t>
      </w:r>
      <w:r w:rsidR="003645CE" w:rsidRPr="006177E4">
        <w:t xml:space="preserve"> como ineficaces las </w:t>
      </w:r>
      <w:r w:rsidR="0055673B" w:rsidRPr="006177E4">
        <w:t>retenciones p</w:t>
      </w:r>
      <w:r w:rsidR="003645CE" w:rsidRPr="006177E4">
        <w:t>resentadas sin el pago total correspondiente</w:t>
      </w:r>
      <w:r w:rsidR="0055673B" w:rsidRPr="006177E4">
        <w:t xml:space="preserve">. </w:t>
      </w:r>
    </w:p>
    <w:p w14:paraId="08B0A25F" w14:textId="7AC35715" w:rsidR="0055673B" w:rsidRPr="006177E4" w:rsidRDefault="0055673B" w:rsidP="008C471E">
      <w:pPr>
        <w:pStyle w:val="PrrAPA"/>
      </w:pPr>
      <w:r w:rsidRPr="006177E4">
        <w:t>P</w:t>
      </w:r>
      <w:r w:rsidR="00B44E1E" w:rsidRPr="006177E4">
        <w:t xml:space="preserve">ese a su relevancia como instrumento de recaudo y control fiscal, </w:t>
      </w:r>
      <w:r w:rsidRPr="006177E4">
        <w:t>su</w:t>
      </w:r>
      <w:r w:rsidR="00B44E1E" w:rsidRPr="006177E4">
        <w:t xml:space="preserve"> efectividad puede verse limitada </w:t>
      </w:r>
      <w:r w:rsidRPr="006177E4">
        <w:t>cuando no acelera el recaudo sino, al contrario, se convierte en una carga administrativa para el estado, por la complejidad y discusiones entorno a la norma; la administración tributaria debe adelantar procesos de cobro y fiscalización para obtener el pago de dichas declaraciones, es decir, la ineficacia por sí sola no persuade al contribuyente de la consignación de los valores retenidos.</w:t>
      </w:r>
      <w:r w:rsidR="00EA5A29">
        <w:t xml:space="preserve"> </w:t>
      </w:r>
    </w:p>
    <w:p w14:paraId="377C8887" w14:textId="0E033FD8" w:rsidR="009A1775" w:rsidRPr="006177E4" w:rsidRDefault="00B44E1E" w:rsidP="008C471E">
      <w:pPr>
        <w:pStyle w:val="PrrAPA"/>
      </w:pPr>
      <w:r w:rsidRPr="006177E4">
        <w:t xml:space="preserve"> Desde el punto de vista normativo el  </w:t>
      </w:r>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125665221"/>
          <w:placeholder>
            <w:docPart w:val="DefaultPlaceholder_-1854013440"/>
          </w:placeholder>
        </w:sdtPr>
        <w:sdtEndPr/>
        <w:sdtContent>
          <w:r w:rsidR="00465317" w:rsidRPr="00465317">
            <w:t>Decreto 624</w:t>
          </w:r>
          <w:r w:rsidR="0020370C" w:rsidRPr="00465317">
            <w:t xml:space="preserve"> (</w:t>
          </w:r>
          <w:r w:rsidR="009A1775" w:rsidRPr="00465317">
            <w:t>1989</w:t>
          </w:r>
          <w:r w:rsidR="009A1775" w:rsidRPr="006177E4">
            <w:rPr>
              <w:color w:val="000000"/>
            </w:rPr>
            <w:t>)</w:t>
          </w:r>
        </w:sdtContent>
      </w:sdt>
      <w:r w:rsidR="0055673B" w:rsidRPr="006177E4">
        <w:rPr>
          <w:color w:val="000000"/>
        </w:rPr>
        <w:t xml:space="preserve"> </w:t>
      </w:r>
      <w:r w:rsidRPr="006177E4">
        <w:t xml:space="preserve">Artículo 580-1 establece que las declaraciones de retención en la fuente presentadas sin pago total se consideran </w:t>
      </w:r>
      <w:r w:rsidR="0055673B" w:rsidRPr="006177E4">
        <w:t>ineficaces.</w:t>
      </w:r>
      <w:r w:rsidRPr="006177E4">
        <w:t xml:space="preserve"> Este condicionamiento normativo ha generado un problema de doble vía: por un lado, desvirtúa la función de la retención como mecanismo de recaudo anticipado y, por el otro, crea un obstáculo para la DIAN en sus procesos de fiscalización y cobro</w:t>
      </w:r>
      <w:r w:rsidR="009A1775" w:rsidRPr="006177E4">
        <w:t xml:space="preserve">. </w:t>
      </w:r>
    </w:p>
    <w:p w14:paraId="249A34F9" w14:textId="77777777" w:rsidR="00B44E1E" w:rsidRPr="006177E4" w:rsidRDefault="00B44E1E" w:rsidP="008C471E">
      <w:pPr>
        <w:pStyle w:val="PrrAPA"/>
      </w:pPr>
      <w:r w:rsidRPr="006177E4">
        <w:t xml:space="preserve"> En este contexto, la persistencia de declaraciones ineficaces genera consecuencias relevantes tanto para los contribuyente como para el sistema tributario en general : entre estas se destaca la realización de imputación de pagos realizados con posterioridad a la ineficacia , la generación de intereses moratorios, la generación de sanciones y el incremento de las obligaciones fiscales , lo que afecta la liquidez de los contribuyentes y compromete la eficiencia del recaudo, así mismo se produce inseguridad jurídica que debilita la confianza en el sistema tributario. </w:t>
      </w:r>
    </w:p>
    <w:p w14:paraId="4AEF053B" w14:textId="77777777" w:rsidR="00B44E1E" w:rsidRPr="006177E4" w:rsidRDefault="00B44E1E" w:rsidP="008C471E">
      <w:pPr>
        <w:pStyle w:val="PrrAPA"/>
      </w:pPr>
      <w:r w:rsidRPr="006177E4">
        <w:t xml:space="preserve">Esta problemática adquiere especial relevancia en el ámbito local, particularmente en el caso de los contribuyentes del municipio de Ibagué durante el periodo 2014–2024, donde se evidencian patrones recurrentes de ineficacia en las declaraciones de retención en la fuente. A pesar de la importancia del fenómeno, existe una limitada sistematización de sus causas, efectos y dinámicas específicas en contextos territoriales, lo que justifica la necesidad de un análisis más profundo y contextualizado. </w:t>
      </w:r>
    </w:p>
    <w:p w14:paraId="4EA87AEE" w14:textId="77777777" w:rsidR="00B44E1E" w:rsidRPr="006177E4" w:rsidRDefault="00B44E1E" w:rsidP="008C471E">
      <w:pPr>
        <w:pStyle w:val="PrrAPA"/>
      </w:pPr>
      <w:r w:rsidRPr="006177E4">
        <w:t xml:space="preserve">Para el desarrollo de los capítulos de este estudio, los conceptos que orientaron   la investigación y que se amplían en el marco conceptual son: declaraciones tributarias, retención en </w:t>
      </w:r>
      <w:r w:rsidRPr="006177E4">
        <w:lastRenderedPageBreak/>
        <w:t>la fuente, eficacia tributaria, obligaciones tributarias, cultura tributaria, gestión tributaria y agente retenedor.</w:t>
      </w:r>
    </w:p>
    <w:p w14:paraId="3080D5C7" w14:textId="77777777" w:rsidR="00B44E1E" w:rsidRPr="006177E4" w:rsidRDefault="00B44E1E" w:rsidP="008C471E">
      <w:pPr>
        <w:pStyle w:val="PrrAPA"/>
      </w:pPr>
      <w:r w:rsidRPr="006177E4">
        <w:t>Con relación a la normatividad, se estudia principalmente el artículo 580-1 del estatuto tributario, artículos 95 y 363 de la constitución política, las sentencias C-102 de 2015 y C-883 de 2011, así como el Art 402 del código penal.</w:t>
      </w:r>
    </w:p>
    <w:p w14:paraId="317D4244" w14:textId="77777777" w:rsidR="00B44E1E" w:rsidRPr="006177E4" w:rsidRDefault="00B44E1E" w:rsidP="008C471E">
      <w:pPr>
        <w:pStyle w:val="PrrAPA"/>
      </w:pPr>
      <w:r w:rsidRPr="006177E4">
        <w:t>En el marco teórico, se integran enfoques como la eficiencia tributaria, la hacienda pública y la obligación tributaria, los cuales permiten entender que la ineficacia no es únicamente un error formal, sino una manifestación de fallas estructurales en el sistema de recaudo, en la gestión administrativa y en la cultura tributaria, lo que exige un análisis que vaya más allá de lo normativo para comprender sus verdaderas implicaciones.</w:t>
      </w:r>
    </w:p>
    <w:p w14:paraId="71F50FD2" w14:textId="615FD12E" w:rsidR="00B44E1E" w:rsidRPr="006177E4" w:rsidRDefault="00B44E1E" w:rsidP="008C471E">
      <w:pPr>
        <w:pStyle w:val="PrrAPA"/>
      </w:pPr>
      <w:r w:rsidRPr="006177E4">
        <w:t xml:space="preserve">Es posible afirmar que la ineficacia de las declaraciones de retención en la fuente no puede ser entendida únicamente como un incumplimiento formal derivado del no pago total, sino como un fenómeno más amplio que revela tensiones estructurales dentro del sistema tributario colombiano. En este sentido, la teoría de la eficiencia tributaria permite evidenciar que la problemática no se limita a la existencia de normas, sino a la capacidad real del sistema para garantizar su cumplimiento efectivo. Tal como lo plantea  </w:t>
      </w:r>
      <w:sdt>
        <w:sdtPr>
          <w:rPr>
            <w:color w:val="000000"/>
          </w:rPr>
          <w:tag w:val="MENDELEY_CITATION_v3_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"/>
          <w:id w:val="600607133"/>
          <w:placeholder>
            <w:docPart w:val="DefaultPlaceholder_-1854013440"/>
          </w:placeholder>
        </w:sdtPr>
        <w:sdtEndPr/>
        <w:sdtContent>
          <w:r w:rsidR="009A1775" w:rsidRPr="006177E4">
            <w:rPr>
              <w:color w:val="000000"/>
            </w:rPr>
            <w:t>Stiglitz</w:t>
          </w:r>
          <w:r w:rsidR="00FC3A5D">
            <w:rPr>
              <w:color w:val="000000"/>
            </w:rPr>
            <w:t xml:space="preserve"> (</w:t>
          </w:r>
          <w:r w:rsidR="009A1775" w:rsidRPr="006177E4">
            <w:rPr>
              <w:color w:val="000000"/>
            </w:rPr>
            <w:t>2002)</w:t>
          </w:r>
        </w:sdtContent>
      </w:sdt>
      <w:r w:rsidRPr="006177E4">
        <w:t xml:space="preserve">, la eficiencia tributaria depende tanto del diseño normativo como del comportamiento de los contribuyentes; por lo tanto, la recurrencia de declaraciones ineficaces sugiere una brecha entre la norma y su aplicación práctica.  </w:t>
      </w:r>
    </w:p>
    <w:p w14:paraId="2717FA9D" w14:textId="3C2AB579" w:rsidR="00B44E1E" w:rsidRPr="006177E4" w:rsidRDefault="00B44E1E" w:rsidP="008C471E">
      <w:pPr>
        <w:pStyle w:val="PrrAPA"/>
      </w:pPr>
      <w:r w:rsidRPr="006177E4">
        <w:t xml:space="preserve">Por su parte, la teoría de la hacienda pública permite ampliar el análisis al considerar que los tributos no solo cumplen una función recaudatoria, sino también social y económica. En línea con </w:t>
      </w:r>
      <w:sdt>
        <w:sdtPr>
          <w:rPr>
            <w:color w:val="000000"/>
          </w:rPr>
          <w:tag w:val="MENDELEY_CITATION_v3_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"/>
          <w:id w:val="-1011989995"/>
          <w:placeholder>
            <w:docPart w:val="DefaultPlaceholder_-1854013440"/>
          </w:placeholder>
        </w:sdtPr>
        <w:sdtEndPr/>
        <w:sdtContent>
          <w:r w:rsidR="009A1775" w:rsidRPr="006177E4">
            <w:rPr>
              <w:color w:val="000000"/>
            </w:rPr>
            <w:t xml:space="preserve">Musgrave </w:t>
          </w:r>
          <w:r w:rsidR="00FC3A5D">
            <w:rPr>
              <w:color w:val="000000"/>
            </w:rPr>
            <w:t>(</w:t>
          </w:r>
          <w:r w:rsidR="009A1775" w:rsidRPr="006177E4">
            <w:rPr>
              <w:color w:val="000000"/>
            </w:rPr>
            <w:t>1959)</w:t>
          </w:r>
        </w:sdtContent>
      </w:sdt>
      <w:r w:rsidRPr="006177E4">
        <w:t xml:space="preserve">, la eficiencia del sistema fiscal debe evaluarse en función de su capacidad para asignar recursos de manera adecuada y garantizar el cumplimiento de los fines del Estado. Bajo la óptica de </w:t>
      </w:r>
      <w:sdt>
        <w:sdtPr>
          <w:rPr>
            <w:color w:val="000000"/>
          </w:rPr>
          <w:tag w:val="MENDELEY_CITATION_v3_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"/>
          <w:id w:val="1858233890"/>
          <w:placeholder>
            <w:docPart w:val="DefaultPlaceholder_-1854013440"/>
          </w:placeholder>
        </w:sdtPr>
        <w:sdtEndPr/>
        <w:sdtContent>
          <w:r w:rsidR="009A1775" w:rsidRPr="006177E4">
            <w:rPr>
              <w:color w:val="000000"/>
            </w:rPr>
            <w:t>Restrep</w:t>
          </w:r>
          <w:r w:rsidR="00FC3A5D">
            <w:rPr>
              <w:color w:val="000000"/>
            </w:rPr>
            <w:t>o (</w:t>
          </w:r>
          <w:r w:rsidR="009A1775" w:rsidRPr="006177E4">
            <w:rPr>
              <w:color w:val="000000"/>
            </w:rPr>
            <w:t>2024)</w:t>
          </w:r>
        </w:sdtContent>
      </w:sdt>
      <w:r w:rsidRPr="006177E4">
        <w:t xml:space="preserve">, la existencia de declaraciones ineficaces representa una falla en la función asignativa, ya que impide que los recursos retenidos ingresen oportunamente al </w:t>
      </w:r>
      <w:proofErr w:type="gramStart"/>
      <w:r w:rsidRPr="006177E4">
        <w:t>erario público</w:t>
      </w:r>
      <w:proofErr w:type="gramEnd"/>
      <w:r w:rsidRPr="006177E4">
        <w:t xml:space="preserve">, afectando la financiación de bienes y servicios esenciales. </w:t>
      </w:r>
    </w:p>
    <w:p w14:paraId="45FF9018" w14:textId="13DD7B79" w:rsidR="00B44E1E" w:rsidRPr="006177E4" w:rsidRDefault="00B44E1E" w:rsidP="008C471E">
      <w:pPr>
        <w:pStyle w:val="PrrAPA"/>
      </w:pPr>
      <w:r w:rsidRPr="006177E4">
        <w:t>Desde el ámbito jurídico, la teoría de la obligación tributaria aporta un elemento clave para la comprensión del fenómeno. De acuerdo con</w:t>
      </w:r>
      <w:r w:rsidR="009A1775" w:rsidRPr="006177E4">
        <w:t xml:space="preserve"> Plazas (2015) </w:t>
      </w:r>
      <w:r w:rsidRPr="006177E4">
        <w:t xml:space="preserve">la obligación tributaria surge a partir del hecho imponible y se materializa a través del cumplimiento de deberes formales y sustanciales. En este sentido, la ineficacia de una declaración implica una ruptura en la relación jurídico-tributaria, ya que el acto declarativo no produce efectos válidos frente a la administración. No </w:t>
      </w:r>
      <w:r w:rsidRPr="006177E4">
        <w:lastRenderedPageBreak/>
        <w:t xml:space="preserve">obstante, esta interpretación debe complementarse con una visión más amplia, en la que se reconozca que dicha ruptura no siempre obedece a una conducta dolosa, sino que puede derivarse de errores, desconocimiento o limitaciones operativas. </w:t>
      </w:r>
    </w:p>
    <w:p w14:paraId="74925306" w14:textId="4E3859D9" w:rsidR="00B44E1E" w:rsidRPr="006177E4" w:rsidRDefault="00B44E1E" w:rsidP="008C471E">
      <w:pPr>
        <w:pStyle w:val="PrrAPA"/>
      </w:pPr>
      <w:r w:rsidRPr="006177E4">
        <w:t xml:space="preserve">En cuanto a los aspectos metodológicos, la investigación se desarrolló bajo un diseño longitudinal, con enfoque cualitativo, de tipo documental-explicativo y mediante un método deductivo-inductivo, con el propósito de analizar la ineficacia de las declaraciones de retención en la fuente a título de renta en los contribuyentes de la Administración de Impuestos de Ibagué durante el período 2014-2024. El diseño longitudinal permitió examinar el fenómeno en un horizonte temporal amplio, atendiendo a la evolución normativa y doctrinal del artículo 580-1 del </w:t>
      </w:r>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124232717"/>
          <w:placeholder>
            <w:docPart w:val="025F97D9AA9F44EF98B15ECE53C2F9EB"/>
          </w:placeholder>
        </w:sdtPr>
        <w:sdtEndPr/>
        <w:sdtContent>
          <w:r w:rsidR="00EA5A29" w:rsidRPr="00465317">
            <w:t>Decreto 624 (1989</w:t>
          </w:r>
          <w:r w:rsidR="00EA5A29" w:rsidRPr="006177E4">
            <w:rPr>
              <w:color w:val="000000"/>
            </w:rPr>
            <w:t>)</w:t>
          </w:r>
        </w:sdtContent>
      </w:sdt>
      <w:r w:rsidR="00EA5A29" w:rsidRPr="006177E4">
        <w:t xml:space="preserve"> </w:t>
      </w:r>
      <w:r w:rsidRPr="006177E4">
        <w:t xml:space="preserve">y sus desarrollos posteriores. A su vez, el carácter documental-explicativo se justificó en la necesidad de estudiar fuentes normativas, jurisprudenciales, doctrinales y académicas que permitieran comprender las causas, consecuencias legales, fiscales y operativas, así como las problemáticas asociadas a la ineficacia de las declaraciones presentadas sin pago total. </w:t>
      </w:r>
      <w:r w:rsidR="009A1775" w:rsidRPr="006177E4">
        <w:t>L</w:t>
      </w:r>
      <w:r w:rsidRPr="006177E4">
        <w:t>a investigación no se limitó a describir la figura jurídica, sino que buscó explicar su configuración, alcance y efectos en el contexto tributario objeto de estudio</w:t>
      </w:r>
    </w:p>
    <w:p w14:paraId="77A79AAD" w14:textId="7CE9A7C3" w:rsidR="00B44E1E" w:rsidRPr="006177E4" w:rsidRDefault="00B44E1E" w:rsidP="008C471E">
      <w:pPr>
        <w:pStyle w:val="PrrAPA"/>
      </w:pPr>
      <w:r w:rsidRPr="006177E4">
        <w:t xml:space="preserve"> Para la recolección y análisis de la información se empleó principalmente la revisión documental sistemática, apoyada en una matriz de revisión que permitió clasificar las fuentes según autor o entidad, año, tipo de fuente, referencia, repositorio, resultado principal y aporte a la investigación. Asimismo, se incorporó como instrumento complementario una entrevista estructurada a trece expertos, entre ellos funcionarios de la administración tributaria, contadores, revisores fiscales, docentes y profesionales externos, </w:t>
      </w:r>
      <w:r w:rsidR="00DC3219">
        <w:t xml:space="preserve">seleccionados por su conocimiento, experiencia y pertinencia con el objeto de estudio, </w:t>
      </w:r>
      <w:r w:rsidRPr="006177E4">
        <w:t>con el fin de contrastar los hallazgos documentales con percepciones especializadas sobre las causas, efectos operativos y posibles rutas de mejora frente a la ineficacia de las declaraciones de retención en la fuente. De esta manera, la estrategia metodológica articuló el análisis normativo, jurisprudencial, doctrinal y empírico, permitiendo relacionar el problema de investigación con los objetivos específicos orientados a identificar causas, evaluar consecuencias y establecer problemáticas asociadas al fenómeno en la Administración de Impuestos de Ibagué durante el período analizado</w:t>
      </w:r>
    </w:p>
    <w:p w14:paraId="73E5E005" w14:textId="43B66D6E" w:rsidR="00B44E1E" w:rsidRPr="006177E4" w:rsidRDefault="00B44E1E" w:rsidP="008C471E">
      <w:pPr>
        <w:pStyle w:val="PrrAPA"/>
      </w:pPr>
      <w:r w:rsidRPr="006177E4">
        <w:t xml:space="preserve"> En este sentido la presente investigación tiene como objetivo </w:t>
      </w:r>
      <w:r w:rsidR="009A1775" w:rsidRPr="006177E4">
        <w:t>general analizar</w:t>
      </w:r>
      <w:r w:rsidRPr="006177E4">
        <w:t xml:space="preserve"> las problemáticas asociadas a la ineficacia de las declaraciones de retención en la fuente en renta, de los contribuyentes de la administración de impuestos de Ibagué, durante el período 2014 al 2024. </w:t>
      </w:r>
    </w:p>
    <w:p w14:paraId="54D025B6" w14:textId="072C4116" w:rsidR="00B44E1E" w:rsidRPr="006177E4" w:rsidRDefault="00B44E1E" w:rsidP="008C471E">
      <w:pPr>
        <w:pStyle w:val="PrrAPA"/>
      </w:pPr>
      <w:r w:rsidRPr="006177E4">
        <w:lastRenderedPageBreak/>
        <w:t xml:space="preserve">La ineficacia de las declaraciones de retención en la fuente a título de renta plantea un problema que debe analizarse desde diferentes dimensiones. La investigación se desarrolla a partir de tres objetivos específicos: primero, identificar las principales causas de la ineficacia de las declaraciones de retención en la fuente a título de renta presentadas por los contribuyentes objeto de estudio, según los alcances legales y procedimentales aplicables; segundo, evaluar las consecuencias legales, fiscales y operativas de dicha ineficacia para los contribuyentes de la Administración de Impuestos de Ibagué durante el período señalado; y tercero, </w:t>
      </w:r>
      <w:r w:rsidR="000C1085">
        <w:t>d</w:t>
      </w:r>
      <w:r w:rsidR="000C1085" w:rsidRPr="00DC3219">
        <w:rPr>
          <w:u w:color="000000"/>
        </w:rPr>
        <w:t>eterminar las problemáticas asociadas a la ineficacia de las declaraciones de retención en la fuente en renta, a partir de las causas identificadas y las consecuencias evaluadas en los contribuyentes de la Administración de Impuestos de Ibagué,</w:t>
      </w:r>
      <w:r w:rsidR="000C1085">
        <w:rPr>
          <w:u w:color="000000"/>
        </w:rPr>
        <w:t xml:space="preserve"> </w:t>
      </w:r>
      <w:r w:rsidRPr="006177E4">
        <w:t xml:space="preserve">en el mismo espacio de tiempo. </w:t>
      </w:r>
    </w:p>
    <w:p w14:paraId="5043A7BC" w14:textId="7F57D784" w:rsidR="00B44E1E" w:rsidRPr="006177E4" w:rsidRDefault="00B44E1E" w:rsidP="008C471E">
      <w:pPr>
        <w:pStyle w:val="PrrAPA"/>
      </w:pPr>
      <w:r w:rsidRPr="006177E4">
        <w:t xml:space="preserve"> El trabajo se desarrolla en tres objetivos, en donde se consultó la normatividad, jurisprudencia y conceptos DIAN, así como, se realizó una entrevista estructurada a expertos</w:t>
      </w:r>
      <w:r w:rsidR="003E431D">
        <w:t xml:space="preserve">, que cumplían los criterios de idoneidad, estaban disponibles y aceptaron participar, </w:t>
      </w:r>
      <w:r w:rsidRPr="006177E4">
        <w:t>para conocer sus opiniones y valoraciones frente a la ineficacia.</w:t>
      </w:r>
    </w:p>
    <w:p w14:paraId="4E86B15C" w14:textId="77777777" w:rsidR="00B44E1E" w:rsidRPr="006177E4" w:rsidRDefault="00B44E1E" w:rsidP="008C471E">
      <w:pPr>
        <w:pStyle w:val="PrrAPA"/>
      </w:pPr>
      <w:r w:rsidRPr="006177E4">
        <w:t xml:space="preserve">Desde esta perspectiva, el trabajo de investigación busca aportar al análisis de una situación que incide en el cumplimiento de las obligaciones tributarias y en la finalidad misma de la retención en la fuente como instrumento de recaudo anticipado. </w:t>
      </w:r>
    </w:p>
    <w:p w14:paraId="204EFD00" w14:textId="6C2A5668" w:rsidR="00B44E1E" w:rsidRPr="006177E4" w:rsidRDefault="00B44E1E" w:rsidP="008C471E">
      <w:pPr>
        <w:pStyle w:val="PrrAPA"/>
      </w:pPr>
      <w:r w:rsidRPr="006177E4">
        <w:t xml:space="preserve">La identificación de las </w:t>
      </w:r>
      <w:r w:rsidR="0020370C" w:rsidRPr="006177E4">
        <w:t>causas</w:t>
      </w:r>
      <w:r w:rsidRPr="006177E4">
        <w:t xml:space="preserve"> permite comprender los factores que inciden en la presentación de las declaraciones sin pago total, no solamente el incumplimiento del pago en las fechas establecidas, sino entender las causas desde el origen, analizando los elementos que intervienen en el cumplimiento formal y sustancial entorno a la presentación y pago de la declaración, este análisis de abarca en el primer objetivo.</w:t>
      </w:r>
    </w:p>
    <w:p w14:paraId="114CB608" w14:textId="07DC256C" w:rsidR="00B44E1E" w:rsidRPr="006177E4" w:rsidRDefault="00B44E1E" w:rsidP="008C471E">
      <w:pPr>
        <w:pStyle w:val="PrrAPA"/>
      </w:pPr>
      <w:r w:rsidRPr="006177E4">
        <w:t xml:space="preserve">La evaluación de las </w:t>
      </w:r>
      <w:r w:rsidR="0020370C" w:rsidRPr="006177E4">
        <w:t>consecuencias</w:t>
      </w:r>
      <w:r w:rsidRPr="006177E4">
        <w:t xml:space="preserve"> permite entender los efectos de la ineficacia, para los contribuyentes objeto de estudio y para la administración tributaria, teniendo en cuenta los cambios normativos a lo largo del tiempo. Este análisis se desarrolla en el segundo objetivo, desglosando de manera </w:t>
      </w:r>
      <w:r w:rsidR="009A1775" w:rsidRPr="006177E4">
        <w:t>detallada las</w:t>
      </w:r>
      <w:r w:rsidRPr="006177E4">
        <w:t xml:space="preserve"> implicaciones legales, fiscales y operativas derivadas de la presentación de declaraciones de retención en la fuente a título de renta sin pago total.</w:t>
      </w:r>
    </w:p>
    <w:p w14:paraId="46EFF9E4" w14:textId="2830684E" w:rsidR="00B44E1E" w:rsidRPr="006177E4" w:rsidRDefault="00B44E1E" w:rsidP="008C471E">
      <w:pPr>
        <w:pStyle w:val="PrrAPA"/>
      </w:pPr>
      <w:r w:rsidRPr="006177E4">
        <w:t xml:space="preserve">Desde lo legal, se analiza los efectos jurídicos y penales, puntualmente lo relacionado con su efecto legal, la acción de cobro y el delito de omisión de agente retenedor. En cuanto al ámbito fiscal, se identifican las obligaciones derivadas de la ineficacia relacionada con los intereses y sanciones, así mismo, las cifras de la administración tributaria en cuanto al recaudo por el concepto </w:t>
      </w:r>
      <w:r w:rsidRPr="006177E4">
        <w:lastRenderedPageBreak/>
        <w:t xml:space="preserve">de retenciones. Desde lo procedimental, se analiza la gestión de la administración tributaria y su alcance frente al control, fiscalización y </w:t>
      </w:r>
      <w:r w:rsidR="009A1775" w:rsidRPr="006177E4">
        <w:t>el recaudo</w:t>
      </w:r>
      <w:r w:rsidRPr="006177E4">
        <w:t>.</w:t>
      </w:r>
    </w:p>
    <w:p w14:paraId="7F528760" w14:textId="04E762B0" w:rsidR="00B44E1E" w:rsidRPr="006177E4" w:rsidRDefault="00B44E1E" w:rsidP="008C471E">
      <w:pPr>
        <w:pStyle w:val="PrrAPA"/>
      </w:pPr>
      <w:r w:rsidRPr="006177E4">
        <w:t xml:space="preserve">Frente a la </w:t>
      </w:r>
      <w:r w:rsidR="003E431D">
        <w:t xml:space="preserve">determinación </w:t>
      </w:r>
      <w:r w:rsidR="009A1775" w:rsidRPr="006177E4">
        <w:t>de</w:t>
      </w:r>
      <w:r w:rsidRPr="006177E4">
        <w:t xml:space="preserve"> las problemáticas, una vez analizadas las causas y las con</w:t>
      </w:r>
      <w:r w:rsidR="00700B69" w:rsidRPr="006177E4">
        <w:t xml:space="preserve">secuencias; el tercer objetivo </w:t>
      </w:r>
      <w:r w:rsidRPr="006177E4">
        <w:t>buscó integrar los hallazgos para comprender cómo la ineficacia se manifiesta como una problemática; un conjunto de factores que inciden en la efectividad de la norma y van en contravía del fin del legislador, al tratar de persuadir de una manera coercitiva al agente retenedor, con el fin de recibir de manera rápida y eficiente los pagos por este concepto.</w:t>
      </w:r>
    </w:p>
    <w:p w14:paraId="6FF7E348" w14:textId="1C206F21" w:rsidR="004F480A" w:rsidRPr="006177E4" w:rsidRDefault="00B44E1E" w:rsidP="008C471E">
      <w:pPr>
        <w:pStyle w:val="PrrAPA"/>
        <w:rPr>
          <w:rFonts w:eastAsia="Times New Roman"/>
          <w:lang w:eastAsia="es-CO"/>
        </w:rPr>
      </w:pPr>
      <w:r w:rsidRPr="006177E4">
        <w:t>Así, la investigación analiza de manera integral la ineficacia, comprendiendo su figura jurídica e identificando cómo afecta el cumplimiento de las obligaciones tributarias y el financiamiento del estado.</w:t>
      </w:r>
    </w:p>
    <w:p w14:paraId="3168E58F" w14:textId="462DAAC3" w:rsidR="004F480A" w:rsidRPr="006177E4" w:rsidRDefault="004F480A" w:rsidP="00263B16">
      <w:pPr>
        <w:spacing w:line="480" w:lineRule="auto"/>
        <w:ind w:firstLine="680"/>
        <w:jc w:val="left"/>
        <w:rPr>
          <w:rFonts w:eastAsia="Times New Roman" w:cs="Times New Roman"/>
          <w:szCs w:val="24"/>
          <w:lang w:eastAsia="es-CO"/>
        </w:rPr>
      </w:pPr>
    </w:p>
    <w:p w14:paraId="60FCE1DD" w14:textId="6071D21F" w:rsidR="00E31646" w:rsidRPr="006177E4" w:rsidRDefault="00E31646" w:rsidP="00263B16">
      <w:pPr>
        <w:spacing w:line="480" w:lineRule="auto"/>
        <w:ind w:firstLine="680"/>
        <w:jc w:val="left"/>
        <w:rPr>
          <w:rFonts w:eastAsia="Times New Roman" w:cs="Times New Roman"/>
          <w:szCs w:val="24"/>
          <w:lang w:eastAsia="es-CO"/>
        </w:rPr>
      </w:pPr>
    </w:p>
    <w:p w14:paraId="0996CC40" w14:textId="641E4D9A" w:rsidR="00E31646" w:rsidRPr="006177E4" w:rsidRDefault="00E31646" w:rsidP="00263B16">
      <w:pPr>
        <w:spacing w:line="480" w:lineRule="auto"/>
        <w:ind w:firstLine="680"/>
        <w:jc w:val="left"/>
        <w:rPr>
          <w:rFonts w:eastAsia="Times New Roman" w:cs="Times New Roman"/>
          <w:szCs w:val="24"/>
          <w:lang w:eastAsia="es-CO"/>
        </w:rPr>
      </w:pPr>
    </w:p>
    <w:p w14:paraId="799401E8" w14:textId="3E1A0FE0" w:rsidR="009A1775" w:rsidRPr="006177E4" w:rsidRDefault="009A1775" w:rsidP="00263B16">
      <w:pPr>
        <w:spacing w:line="480" w:lineRule="auto"/>
        <w:ind w:firstLine="680"/>
        <w:jc w:val="left"/>
        <w:rPr>
          <w:rFonts w:eastAsia="Times New Roman" w:cs="Times New Roman"/>
          <w:szCs w:val="24"/>
          <w:lang w:eastAsia="es-CO"/>
        </w:rPr>
      </w:pPr>
    </w:p>
    <w:p w14:paraId="0402683E" w14:textId="77777777" w:rsidR="008C471E" w:rsidRDefault="008C471E">
      <w:pPr>
        <w:spacing w:after="160" w:line="259" w:lineRule="auto"/>
        <w:jc w:val="left"/>
        <w:rPr>
          <w:rFonts w:eastAsiaTheme="majorEastAsia" w:cstheme="majorBidi"/>
          <w:b/>
          <w:szCs w:val="32"/>
        </w:rPr>
      </w:pPr>
      <w:bookmarkStart w:id="32" w:name="_Toc440985126"/>
      <w:bookmarkStart w:id="33" w:name="_Toc228250768"/>
      <w:bookmarkStart w:id="34" w:name="_Toc229077635"/>
      <w:r>
        <w:br w:type="page"/>
      </w:r>
    </w:p>
    <w:p w14:paraId="6A13FB2E" w14:textId="6669CDA0" w:rsidR="00540772" w:rsidRPr="0042601E" w:rsidRDefault="00115036" w:rsidP="00263B16">
      <w:pPr>
        <w:pStyle w:val="Ttulo1"/>
      </w:pPr>
      <w:r w:rsidRPr="0042601E">
        <w:lastRenderedPageBreak/>
        <w:t xml:space="preserve">Planteamiento del </w:t>
      </w:r>
      <w:r w:rsidR="0023515A" w:rsidRPr="0042601E">
        <w:t>p</w:t>
      </w:r>
      <w:r w:rsidRPr="0042601E">
        <w:t>roblema</w:t>
      </w:r>
      <w:bookmarkEnd w:id="32"/>
      <w:bookmarkEnd w:id="33"/>
      <w:bookmarkEnd w:id="34"/>
    </w:p>
    <w:p w14:paraId="24EDFC82" w14:textId="78D04C81" w:rsidR="00866655" w:rsidRPr="006177E4" w:rsidRDefault="00866655" w:rsidP="008C471E">
      <w:pPr>
        <w:pStyle w:val="PrrAPA"/>
        <w:rPr>
          <w:u w:color="000000"/>
          <w:lang w:val="es-ES_tradnl"/>
        </w:rPr>
      </w:pPr>
      <w:r w:rsidRPr="006177E4">
        <w:rPr>
          <w:u w:color="000000"/>
          <w:lang w:val="es-ES_tradnl"/>
        </w:rPr>
        <w:t xml:space="preserve">La retención en la fuente es un mecanismo que permite al Estado el recaudo anticipado del impuesto, ya sea del impuesto sobre la renta o el impuesto del valor agregado u otros, en el mismo momento en que se produce el hecho generador del gravamen sobre el cual recae. </w:t>
      </w:r>
    </w:p>
    <w:p w14:paraId="752B5F2F" w14:textId="755E1BA9" w:rsidR="00866655" w:rsidRPr="006177E4" w:rsidRDefault="00866655" w:rsidP="008C471E">
      <w:pPr>
        <w:pStyle w:val="PrrAPA"/>
        <w:rPr>
          <w:u w:color="000000"/>
          <w:lang w:val="es-ES_tradnl"/>
        </w:rPr>
      </w:pPr>
      <w:r w:rsidRPr="006177E4">
        <w:rPr>
          <w:u w:color="000000"/>
          <w:lang w:val="es-ES_tradnl"/>
        </w:rPr>
        <w:t xml:space="preserve">Con este mecanismo la administración tributaria recibe constantemente el anticipo sin necesidad que finalice el periodo gravable de cada impuesto. Según </w:t>
      </w:r>
      <w:sdt>
        <w:sdtPr>
          <w:rPr>
            <w:color w:val="000000"/>
            <w:u w:color="000000"/>
            <w:lang w:val="es-ES_tradnl"/>
          </w:rPr>
          <w:tag w:val="MENDELEY_CITATION_v3_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"/>
          <w:id w:val="-1760747307"/>
          <w:placeholder>
            <w:docPart w:val="DefaultPlaceholder_-1854013440"/>
          </w:placeholder>
        </w:sdtPr>
        <w:sdtEndPr/>
        <w:sdtContent>
          <w:r w:rsidR="009A1775" w:rsidRPr="006177E4">
            <w:rPr>
              <w:color w:val="000000"/>
              <w:u w:color="000000"/>
              <w:lang w:val="es-ES_tradnl"/>
            </w:rPr>
            <w:t>Rincón (2018)</w:t>
          </w:r>
        </w:sdtContent>
      </w:sdt>
      <w:r w:rsidR="0095618A" w:rsidRPr="006177E4">
        <w:rPr>
          <w:color w:val="000000"/>
          <w:u w:color="000000"/>
          <w:lang w:val="es-ES_tradnl"/>
        </w:rPr>
        <w:t xml:space="preserve"> </w:t>
      </w:r>
      <w:r w:rsidRPr="006177E4">
        <w:rPr>
          <w:u w:color="000000"/>
          <w:lang w:val="es-ES_tradnl"/>
        </w:rPr>
        <w:t>“esto se ha considerado como una manifestación del principio de la eficiencia tributaria que busca lograr el mayor nivel de recaudo posible con el menor costo, y que el diseño del sistema tributario impida la evasión”</w:t>
      </w:r>
      <w:r w:rsidR="0020370C">
        <w:rPr>
          <w:u w:color="000000"/>
          <w:lang w:val="es-ES_tradnl"/>
        </w:rPr>
        <w:t xml:space="preserve"> (</w:t>
      </w:r>
      <w:proofErr w:type="spellStart"/>
      <w:r w:rsidR="0020370C">
        <w:rPr>
          <w:u w:color="000000"/>
          <w:lang w:val="es-ES_tradnl"/>
        </w:rPr>
        <w:t>s.p</w:t>
      </w:r>
      <w:proofErr w:type="spellEnd"/>
      <w:r w:rsidR="0020370C">
        <w:rPr>
          <w:u w:color="000000"/>
          <w:lang w:val="es-ES_tradnl"/>
        </w:rPr>
        <w:t xml:space="preserve">). </w:t>
      </w:r>
      <w:r w:rsidRPr="006177E4">
        <w:rPr>
          <w:u w:color="000000"/>
          <w:lang w:val="es-ES_tradnl"/>
        </w:rPr>
        <w:t>Con respecto a lo expuesto anteriormente, la administración tributaria busca que el recaudo del tributo sea sencillo, tanto para la</w:t>
      </w:r>
      <w:r w:rsidR="00540772" w:rsidRPr="006177E4">
        <w:rPr>
          <w:u w:color="000000"/>
          <w:lang w:val="es-ES_tradnl"/>
        </w:rPr>
        <w:t xml:space="preserve"> Dirección de Impuestos y Aduanas Nacionales</w:t>
      </w:r>
      <w:r w:rsidRPr="006177E4">
        <w:rPr>
          <w:u w:color="000000"/>
          <w:lang w:val="es-ES_tradnl"/>
        </w:rPr>
        <w:t xml:space="preserve"> </w:t>
      </w:r>
      <w:r w:rsidR="00540772" w:rsidRPr="006177E4">
        <w:rPr>
          <w:u w:color="000000"/>
          <w:lang w:val="es-ES_tradnl"/>
        </w:rPr>
        <w:t>(</w:t>
      </w:r>
      <w:r w:rsidRPr="006177E4">
        <w:rPr>
          <w:u w:color="000000"/>
          <w:lang w:val="es-ES_tradnl"/>
        </w:rPr>
        <w:t>DIAN</w:t>
      </w:r>
      <w:r w:rsidR="00540772" w:rsidRPr="006177E4">
        <w:rPr>
          <w:u w:color="000000"/>
          <w:lang w:val="es-ES_tradnl"/>
        </w:rPr>
        <w:t>)</w:t>
      </w:r>
      <w:r w:rsidRPr="006177E4">
        <w:rPr>
          <w:rStyle w:val="Refdenotaalpie"/>
          <w:bCs/>
          <w:color w:val="000000" w:themeColor="text1"/>
          <w:u w:color="000000"/>
          <w:lang w:val="es-ES_tradnl"/>
        </w:rPr>
        <w:footnoteReference w:id="2"/>
      </w:r>
      <w:r w:rsidRPr="006177E4">
        <w:rPr>
          <w:u w:color="000000"/>
          <w:lang w:val="es-ES_tradnl"/>
        </w:rPr>
        <w:t xml:space="preserve"> como para los contribuyentes, sin embargo, la consagración de la ineficacia de las declaraciones de retención en la fuente presentadas sin pago total</w:t>
      </w:r>
      <w:r w:rsidR="002F121E" w:rsidRPr="006177E4">
        <w:rPr>
          <w:u w:color="000000"/>
          <w:lang w:val="es-ES_tradnl"/>
        </w:rPr>
        <w:t>,</w:t>
      </w:r>
      <w:r w:rsidRPr="006177E4">
        <w:rPr>
          <w:u w:color="000000"/>
          <w:lang w:val="es-ES_tradnl"/>
        </w:rPr>
        <w:t xml:space="preserve"> se convierte en uno de los grandes problemas para el Ministerio de Hacienda y Crédito Público, así lo ratifica el artículo 580-1 del </w:t>
      </w:r>
      <w:sdt>
        <w:sdtPr>
          <w:rPr>
            <w:color w:val="000000"/>
            <w:u w:color="000000"/>
            <w:lang w:val="es-ES_tradnl"/>
          </w:rPr>
          <w:tag w:val="MENDELEY_CITATION_v3_eyJjaXRhdGlvbklEIjoiTUVOREVMRVlfQ0lUQVRJT05fYzNiZmU0N2YtMDhiNy00NWZlLTlhYTEtYTEyMWYyYjJjZGY5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
          <w:id w:val="-1285041583"/>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59647713"/>
              <w:placeholder>
                <w:docPart w:val="D6EA9A629192448EAE13D6F51E6F6702"/>
              </w:placeholder>
            </w:sdtPr>
            <w:sdtEndPr/>
            <w:sdtContent>
              <w:r w:rsidR="00EA5A29" w:rsidRPr="00465317">
                <w:t>Decreto 624 (1989</w:t>
              </w:r>
              <w:r w:rsidR="00EA5A29" w:rsidRPr="006177E4">
                <w:rPr>
                  <w:color w:val="000000"/>
                </w:rPr>
                <w:t>)</w:t>
              </w:r>
            </w:sdtContent>
          </w:sdt>
        </w:sdtContent>
      </w:sdt>
      <w:r w:rsidR="00540772" w:rsidRPr="006177E4">
        <w:rPr>
          <w:u w:color="000000"/>
          <w:lang w:val="es-ES_tradnl"/>
        </w:rPr>
        <w:t xml:space="preserve"> </w:t>
      </w:r>
      <w:r w:rsidRPr="006177E4">
        <w:rPr>
          <w:u w:color="000000"/>
          <w:lang w:val="es-ES_tradnl"/>
        </w:rPr>
        <w:t>el cual ha desvirtuado la eficiencia del mecanismo de recaudo y el cumplimiento del principio de eficiencia tributaria.</w:t>
      </w:r>
    </w:p>
    <w:p w14:paraId="1BEF94F3" w14:textId="77777777" w:rsidR="00866655" w:rsidRPr="006177E4" w:rsidRDefault="00866655" w:rsidP="008C471E">
      <w:pPr>
        <w:pStyle w:val="PrrAPA"/>
        <w:rPr>
          <w:u w:color="000000"/>
          <w:lang w:val="es-ES_tradnl"/>
        </w:rPr>
      </w:pPr>
      <w:r w:rsidRPr="006177E4">
        <w:rPr>
          <w:u w:color="000000"/>
          <w:lang w:val="es-ES_tradnl"/>
        </w:rPr>
        <w:t>Para poner un poco en contexto y determinar las razones por las cuales la ineficacia de las declaraciones ha conllevado a la inoperancia del mecanismo de recaudo, tanto en la etapa persuasiva como coactiva de cobro, se debe tener en cuenta la evolución de las normas consagradas por el Estado colombiano a través de la historia, para solucionar el incumplimiento en el pago de las retenciones en la fuente.</w:t>
      </w:r>
    </w:p>
    <w:p w14:paraId="5131DFF4" w14:textId="29FA7241" w:rsidR="00866655" w:rsidRPr="006177E4" w:rsidRDefault="00866655" w:rsidP="008C471E">
      <w:pPr>
        <w:pStyle w:val="PrrAPA"/>
        <w:rPr>
          <w:u w:color="000000"/>
        </w:rPr>
      </w:pPr>
      <w:r w:rsidRPr="006177E4">
        <w:rPr>
          <w:u w:color="000000"/>
          <w:lang w:val="es-ES_tradnl"/>
        </w:rPr>
        <w:t xml:space="preserve">En este sentido, </w:t>
      </w:r>
      <w:sdt>
        <w:sdtPr>
          <w:rPr>
            <w:color w:val="000000"/>
            <w:u w:color="000000"/>
            <w:lang w:val="es-ES_tradnl"/>
          </w:rPr>
          <w:tag w:val="MENDELEY_CITATION_v3_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"/>
          <w:id w:val="377440588"/>
          <w:placeholder>
            <w:docPart w:val="702E472E19E24949990AE0805B3DCC5E"/>
          </w:placeholder>
        </w:sdtPr>
        <w:sdtEndPr/>
        <w:sdtContent>
          <w:r w:rsidR="009A1775" w:rsidRPr="00FC3A5D">
            <w:rPr>
              <w:rFonts w:eastAsia="Times New Roman"/>
              <w:color w:val="000000"/>
            </w:rPr>
            <w:t xml:space="preserve">Peña </w:t>
          </w:r>
          <w:r w:rsidR="00FC3A5D" w:rsidRPr="00FC3A5D">
            <w:rPr>
              <w:rFonts w:eastAsia="Times New Roman"/>
              <w:color w:val="000000"/>
            </w:rPr>
            <w:t>(</w:t>
          </w:r>
          <w:r w:rsidR="009A1775" w:rsidRPr="00FC3A5D">
            <w:rPr>
              <w:rFonts w:eastAsia="Times New Roman"/>
              <w:color w:val="000000"/>
            </w:rPr>
            <w:t>2016)</w:t>
          </w:r>
        </w:sdtContent>
      </w:sdt>
      <w:r w:rsidRPr="006177E4">
        <w:rPr>
          <w:u w:color="000000"/>
          <w:lang w:val="es-ES_tradnl"/>
        </w:rPr>
        <w:t xml:space="preserve"> convalida que “</w:t>
      </w:r>
      <w:r w:rsidRPr="006177E4">
        <w:rPr>
          <w:u w:color="000000"/>
        </w:rPr>
        <w:t>es de gran importancia para la hacienda pública de Colombia, el rubro de los impuestos dentro de los ingresos corrientes de la nación…”, porque de lo contrario se materializa una problemática representada en un recaudo menor de ingresos acrecentando los delitos de evasión y elusión.</w:t>
      </w:r>
    </w:p>
    <w:p w14:paraId="470F5D08" w14:textId="4DEB8C13" w:rsidR="00866655" w:rsidRPr="006177E4" w:rsidRDefault="00866655" w:rsidP="008C471E">
      <w:pPr>
        <w:pStyle w:val="PrrAPA"/>
        <w:rPr>
          <w:spacing w:val="2"/>
          <w:shd w:val="clear" w:color="auto" w:fill="FFFFFF"/>
        </w:rPr>
      </w:pPr>
      <w:r w:rsidRPr="006177E4">
        <w:rPr>
          <w:spacing w:val="2"/>
          <w:shd w:val="clear" w:color="auto" w:fill="FFFFFF"/>
        </w:rPr>
        <w:t xml:space="preserve">Ahora bien, del contenido normativo, el legislador condiciona la validez jurídica de las declaraciones de retención en la fuente, toda vez que da vía libre a que la administración de impuestos avance en el cobro de </w:t>
      </w:r>
      <w:r w:rsidR="0020370C" w:rsidRPr="006177E4">
        <w:rPr>
          <w:spacing w:val="2"/>
          <w:shd w:val="clear" w:color="auto" w:fill="FFFFFF"/>
        </w:rPr>
        <w:t>esta</w:t>
      </w:r>
      <w:r w:rsidRPr="006177E4">
        <w:rPr>
          <w:spacing w:val="2"/>
          <w:shd w:val="clear" w:color="auto" w:fill="FFFFFF"/>
        </w:rPr>
        <w:t xml:space="preserve">, generándose un título ejecutivo de cobro, en donde la DIAN puede adelantar procesos persuasivos y coactivos de las obligaciones tributarias mencionadas anteriormente (retención en la fuente). </w:t>
      </w:r>
    </w:p>
    <w:p w14:paraId="1E45E3DC" w14:textId="5EF06804" w:rsidR="009224BF" w:rsidRPr="006177E4" w:rsidRDefault="00866655" w:rsidP="008C471E">
      <w:pPr>
        <w:pStyle w:val="PrrAPA"/>
      </w:pPr>
      <w:r w:rsidRPr="006177E4">
        <w:lastRenderedPageBreak/>
        <w:t xml:space="preserve">Según </w:t>
      </w:r>
      <w:sdt>
        <w:sdtPr>
          <w:rPr>
            <w:color w:val="000000"/>
          </w:rPr>
          <w:tag w:val="MENDELEY_CITATION_v3_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"/>
          <w:id w:val="-1448086284"/>
          <w:placeholder>
            <w:docPart w:val="DefaultPlaceholder_-1854013440"/>
          </w:placeholder>
        </w:sdtPr>
        <w:sdtEndPr/>
        <w:sdtContent>
          <w:r w:rsidR="009A1775" w:rsidRPr="006177E4">
            <w:rPr>
              <w:color w:val="000000"/>
            </w:rPr>
            <w:t xml:space="preserve">Saldarriaga </w:t>
          </w:r>
          <w:r w:rsidR="0020370C">
            <w:rPr>
              <w:color w:val="000000"/>
            </w:rPr>
            <w:t>(</w:t>
          </w:r>
          <w:r w:rsidR="009A1775" w:rsidRPr="006177E4">
            <w:rPr>
              <w:color w:val="000000"/>
            </w:rPr>
            <w:t>2024)</w:t>
          </w:r>
        </w:sdtContent>
      </w:sdt>
      <w:r w:rsidR="00570B93" w:rsidRPr="006177E4">
        <w:rPr>
          <w:color w:val="000000"/>
        </w:rPr>
        <w:t xml:space="preserve"> en su tesis “Ineficacia de las declaraciones de retención en la fuente.</w:t>
      </w:r>
      <w:r w:rsidR="00231295" w:rsidRPr="006177E4">
        <w:rPr>
          <w:color w:val="000000"/>
        </w:rPr>
        <w:t xml:space="preserve"> </w:t>
      </w:r>
      <w:r w:rsidR="00570B93" w:rsidRPr="006177E4">
        <w:rPr>
          <w:color w:val="000000"/>
        </w:rPr>
        <w:t>Un análisis comparativo frente a los cambios normativos de los años 2011 al 2023 y su relación con la debida gestión de cobro por parte de la DIAN seccional Villavicencio</w:t>
      </w:r>
      <w:r w:rsidR="00231295" w:rsidRPr="006177E4">
        <w:rPr>
          <w:color w:val="000000"/>
        </w:rPr>
        <w:t>”</w:t>
      </w:r>
      <w:r w:rsidR="0020370C">
        <w:rPr>
          <w:color w:val="000000"/>
        </w:rPr>
        <w:t xml:space="preserve"> (</w:t>
      </w:r>
      <w:proofErr w:type="spellStart"/>
      <w:r w:rsidR="0020370C">
        <w:rPr>
          <w:color w:val="000000"/>
        </w:rPr>
        <w:t>s.p</w:t>
      </w:r>
      <w:proofErr w:type="spellEnd"/>
      <w:r w:rsidR="0020370C">
        <w:rPr>
          <w:color w:val="000000"/>
        </w:rPr>
        <w:t>)</w:t>
      </w:r>
      <w:r w:rsidR="0020370C">
        <w:t>.</w:t>
      </w:r>
      <w:r w:rsidR="00231295" w:rsidRPr="006177E4">
        <w:t xml:space="preserve"> </w:t>
      </w:r>
      <w:r w:rsidR="0020370C">
        <w:t>R</w:t>
      </w:r>
      <w:r w:rsidR="00231295" w:rsidRPr="006177E4">
        <w:t xml:space="preserve">especto a la </w:t>
      </w:r>
      <w:r w:rsidRPr="006177E4">
        <w:t xml:space="preserve"> </w:t>
      </w:r>
      <w:sdt>
        <w:sdtPr>
          <w:rPr>
            <w:color w:val="000000"/>
          </w:rPr>
          <w:tag w:val="MENDELEY_CITATION_v3_eyJjaXRhdGlvbklEIjoiTUVOREVMRVlfQ0lUQVRJT05fN2YzOGJlYzAtOTdlMS00MGFlLTgwYzUtMDgzNTliNmVkOWZj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
          <w:id w:val="-1947997751"/>
          <w:placeholder>
            <w:docPart w:val="DefaultPlaceholder_-1854013440"/>
          </w:placeholder>
        </w:sdtPr>
        <w:sdtEndPr/>
        <w:sdtContent>
          <w:r w:rsidR="009A1775" w:rsidRPr="006177E4">
            <w:rPr>
              <w:color w:val="000000"/>
            </w:rPr>
            <w:t>Ley 1943</w:t>
          </w:r>
          <w:r w:rsidR="0020370C">
            <w:rPr>
              <w:color w:val="000000"/>
            </w:rPr>
            <w:t xml:space="preserve"> (</w:t>
          </w:r>
          <w:r w:rsidR="009A1775" w:rsidRPr="006177E4">
            <w:rPr>
              <w:color w:val="000000"/>
            </w:rPr>
            <w:t>2018)</w:t>
          </w:r>
        </w:sdtContent>
      </w:sdt>
      <w:r w:rsidRPr="006177E4">
        <w:t xml:space="preserve"> </w:t>
      </w:r>
      <w:r w:rsidR="008F20FD" w:rsidRPr="006177E4">
        <w:t xml:space="preserve"> </w:t>
      </w:r>
      <w:r w:rsidRPr="006177E4">
        <w:t>se puede inferir, que el legislador quiso darle a la administración tributaria las herramientas necesarias para que pudiera iniciar la acción de cobro y así, poder cumplir con la esencia de las retenciones en la fuente como mecanismo de cobro anticipado, que los contribuyentes deben asumir para que el Estado pueda cumplir con las necesidades propias que, como Estado social de derecho, debe cubrir.</w:t>
      </w:r>
    </w:p>
    <w:p w14:paraId="0D6E1EE0" w14:textId="43809FB0" w:rsidR="00866655" w:rsidRPr="006177E4" w:rsidRDefault="00866655" w:rsidP="008C471E">
      <w:pPr>
        <w:pStyle w:val="PrrAPA"/>
        <w:rPr>
          <w:color w:val="FF0000"/>
        </w:rPr>
      </w:pPr>
      <w:r w:rsidRPr="006177E4">
        <w:t xml:space="preserve">Por lo anteriormente expuesto y en pretensión del legislador por percibir el recaudo en las declaraciones de retención en la fuente ineficaces, nace a partir de la </w:t>
      </w:r>
      <w:sdt>
        <w:sdtPr>
          <w:rPr>
            <w:color w:val="000000"/>
          </w:rPr>
          <w:tag w:val="MENDELEY_CITATION_v3_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"/>
          <w:id w:val="-53944062"/>
          <w:placeholder>
            <w:docPart w:val="DefaultPlaceholder_-1854013440"/>
          </w:placeholder>
        </w:sdtPr>
        <w:sdtEndPr/>
        <w:sdtContent>
          <w:r w:rsidR="009A1775" w:rsidRPr="006177E4">
            <w:rPr>
              <w:color w:val="000000"/>
            </w:rPr>
            <w:t>Ley 2155</w:t>
          </w:r>
          <w:r w:rsidR="0020370C">
            <w:rPr>
              <w:color w:val="000000"/>
            </w:rPr>
            <w:t xml:space="preserve"> (</w:t>
          </w:r>
          <w:r w:rsidR="009A1775" w:rsidRPr="006177E4">
            <w:rPr>
              <w:color w:val="000000"/>
            </w:rPr>
            <w:t>2021)</w:t>
          </w:r>
        </w:sdtContent>
      </w:sdt>
      <w:r w:rsidR="00C439BD" w:rsidRPr="006177E4">
        <w:rPr>
          <w:color w:val="000000"/>
        </w:rPr>
        <w:t xml:space="preserve"> </w:t>
      </w:r>
      <w:r w:rsidRPr="006177E4">
        <w:t>el beneficio que trae consigo el artículo 45, en el cual establece: Una reducción temporal en las sanciones e intereses de las obligaciones tributarias que hayan  presentado una mora a 30 de junio del 2021, esto por la afectación de la pandemia COVID 19.</w:t>
      </w:r>
      <w:r w:rsidR="00C439BD" w:rsidRPr="006177E4">
        <w:t xml:space="preserve"> </w:t>
      </w:r>
      <w:r w:rsidRPr="006177E4">
        <w:t>No requiere solicitud formal ante la administración de impuestos, y se puede aplicar automáticamente si se cumple con los requisitos en el artículo anteriormente mencionado, incluyendo si estos incumplimientos se han presentado por la emergencia sanitaria; la finalidad es aliviar la carga financiera de los contribuyentes afectado por la pandemia, permitiendo facilidades de pago hasta el 31 de diciembre del 2021 y estableciendo que en caso de incumplimiento, se sigan los procesos legales correspondientes</w:t>
      </w:r>
      <w:r w:rsidR="0057594C">
        <w:t>.</w:t>
      </w:r>
    </w:p>
    <w:p w14:paraId="54A33723" w14:textId="6AD61C90" w:rsidR="00866655" w:rsidRPr="006177E4" w:rsidRDefault="00866655" w:rsidP="008C471E">
      <w:pPr>
        <w:pStyle w:val="PrrAPA"/>
        <w:rPr>
          <w:color w:val="2F2F2F" w:themeColor="accent5" w:themeShade="80"/>
        </w:rPr>
      </w:pPr>
      <w:r w:rsidRPr="006177E4">
        <w:rPr>
          <w:shd w:val="clear" w:color="auto" w:fill="FFFFFF"/>
        </w:rPr>
        <w:t xml:space="preserve">Esto significa </w:t>
      </w:r>
      <w:r w:rsidRPr="006177E4">
        <w:rPr>
          <w:color w:val="282828"/>
          <w:shd w:val="clear" w:color="auto" w:fill="FFFFFF"/>
        </w:rPr>
        <w:t xml:space="preserve">que, frente a una sanción por extemporaneidad en declaraciones ineficaces de retención en la fuente por falta de pago total, debe, en primer lugar, calcularse la sanción por extemporaneidad y posteriormente, aplicar los demás beneficios </w:t>
      </w:r>
      <w:r w:rsidRPr="006177E4">
        <w:rPr>
          <w:shd w:val="clear" w:color="auto" w:fill="FFFFFF"/>
        </w:rPr>
        <w:t xml:space="preserve">tributarios incluyendo lo </w:t>
      </w:r>
      <w:r w:rsidRPr="006177E4">
        <w:rPr>
          <w:color w:val="282828"/>
          <w:shd w:val="clear" w:color="auto" w:fill="FFFFFF"/>
        </w:rPr>
        <w:t>descrito en el artículo 640</w:t>
      </w:r>
      <w:r w:rsidR="00C439BD" w:rsidRPr="006177E4">
        <w:rPr>
          <w:color w:val="282828"/>
          <w:shd w:val="clear" w:color="auto" w:fill="FFFFFF"/>
        </w:rPr>
        <w:t xml:space="preserve"> del </w:t>
      </w:r>
      <w:sdt>
        <w:sdtPr>
          <w:rPr>
            <w:color w:val="000000"/>
            <w:shd w:val="clear" w:color="auto" w:fill="FFFFFF"/>
          </w:rPr>
          <w:tag w:val="MENDELEY_CITATION_v3_eyJjaXRhdGlvbklEIjoiTUVOREVMRVlfQ0lUQVRJT05fNjQzMzVmMDUtZjMzNC00MWZhLWEzOWEtYmViMWNiYmE1NDgw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
          <w:id w:val="1967927774"/>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413509906"/>
              <w:placeholder>
                <w:docPart w:val="9DE7E69FC61E47BBA466D4276670C166"/>
              </w:placeholder>
            </w:sdtPr>
            <w:sdtEndPr/>
            <w:sdtContent>
              <w:r w:rsidR="00EA5A29" w:rsidRPr="00465317">
                <w:t>Decreto 624 (1989</w:t>
              </w:r>
              <w:r w:rsidR="00EA5A29" w:rsidRPr="006177E4">
                <w:rPr>
                  <w:color w:val="000000"/>
                </w:rPr>
                <w:t>)</w:t>
              </w:r>
            </w:sdtContent>
          </w:sdt>
        </w:sdtContent>
      </w:sdt>
      <w:r w:rsidRPr="006177E4">
        <w:rPr>
          <w:color w:val="282828"/>
          <w:shd w:val="clear" w:color="auto" w:fill="FFFFFF"/>
        </w:rPr>
        <w:t xml:space="preserve"> aplicando los principios de favorabilidad en el régimen sancionatorio. </w:t>
      </w:r>
    </w:p>
    <w:p w14:paraId="148729A9" w14:textId="59521E80" w:rsidR="00866655" w:rsidRPr="006177E4" w:rsidRDefault="00866655" w:rsidP="008C471E">
      <w:pPr>
        <w:pStyle w:val="PrrAPA"/>
        <w:rPr>
          <w:shd w:val="clear" w:color="auto" w:fill="FFFFFF"/>
        </w:rPr>
      </w:pPr>
      <w:r w:rsidRPr="006177E4">
        <w:rPr>
          <w:shd w:val="clear" w:color="auto" w:fill="FFFFFF"/>
        </w:rPr>
        <w:t xml:space="preserve">Por lo anterior, queda evidenciado que la consagración de este beneficio muestra el afán de la administración de impuestos en compañía del legislador por normalizar las ineficacias presentadas en las retenciones en la fuente y así, de esta manera, poder obtener que más contribuyentes cumplan con el deber formal de presentar y pagar estos anticipos de renta. </w:t>
      </w:r>
    </w:p>
    <w:p w14:paraId="16B30611" w14:textId="4A3533D7" w:rsidR="00AC4719" w:rsidRPr="006177E4" w:rsidRDefault="00AC4719" w:rsidP="008C471E">
      <w:pPr>
        <w:pStyle w:val="PrrAPA"/>
        <w:rPr>
          <w:color w:val="000000"/>
          <w:shd w:val="clear" w:color="auto" w:fill="FFFFFF"/>
        </w:rPr>
      </w:pPr>
      <w:r w:rsidRPr="006177E4">
        <w:rPr>
          <w:shd w:val="clear" w:color="auto" w:fill="FFFFFF"/>
        </w:rPr>
        <w:t xml:space="preserve">En la misma línea, la </w:t>
      </w:r>
      <w:sdt>
        <w:sdtPr>
          <w:rPr>
            <w:color w:val="000000"/>
            <w:shd w:val="clear" w:color="auto" w:fill="FFFFFF"/>
          </w:rPr>
          <w:tag w:val="MENDELEY_CITATION_v3_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IyNzdfMjAyMi5odG1sIiwiaXNzdWVkIjp7ImRhdGUtcGFydHMiOltbMjAyMl1dfX0sImlzVGVtcG9yYXJ5IjpmYWxzZX1dfQ=="/>
          <w:id w:val="-864051411"/>
          <w:placeholder>
            <w:docPart w:val="DefaultPlaceholder_-1854013440"/>
          </w:placeholder>
        </w:sdtPr>
        <w:sdtEndPr/>
        <w:sdtContent>
          <w:r w:rsidR="009A1775" w:rsidRPr="006177E4">
            <w:rPr>
              <w:color w:val="000000"/>
              <w:shd w:val="clear" w:color="auto" w:fill="FFFFFF"/>
            </w:rPr>
            <w:t>Ley 2277</w:t>
          </w:r>
          <w:r w:rsidR="0020370C">
            <w:rPr>
              <w:color w:val="000000"/>
              <w:shd w:val="clear" w:color="auto" w:fill="FFFFFF"/>
            </w:rPr>
            <w:t xml:space="preserve"> (</w:t>
          </w:r>
          <w:r w:rsidR="009A1775" w:rsidRPr="006177E4">
            <w:rPr>
              <w:color w:val="000000"/>
              <w:shd w:val="clear" w:color="auto" w:fill="FFFFFF"/>
            </w:rPr>
            <w:t>2022)</w:t>
          </w:r>
        </w:sdtContent>
      </w:sdt>
      <w:r w:rsidRPr="006177E4">
        <w:t xml:space="preserve"> </w:t>
      </w:r>
      <w:r w:rsidRPr="006177E4">
        <w:rPr>
          <w:color w:val="000000"/>
          <w:shd w:val="clear" w:color="auto" w:fill="FFFFFF"/>
        </w:rPr>
        <w:t xml:space="preserve">adicionó el parágrafo 3 al artículo 580-1 </w:t>
      </w:r>
      <w:sdt>
        <w:sdtPr>
          <w:rPr>
            <w:color w:val="000000"/>
            <w:shd w:val="clear" w:color="auto" w:fill="FFFFFF"/>
          </w:rPr>
          <w:tag w:val="MENDELEY_CITATION_v3_eyJjaXRhdGlvbklEIjoiTUVOREVMRVlfQ0lUQVRJT05fMWJmZDdiN2ItZTNkZS00NjZkLWI0NGEtZGNlNWYyMTkzNjAw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117022374"/>
          <w:placeholder>
            <w:docPart w:val="DefaultPlaceholder_-1854013440"/>
          </w:placeholder>
        </w:sdtPr>
        <w:sdtEndPr/>
        <w:sdtContent>
          <w:r w:rsidR="009A1775" w:rsidRPr="006177E4">
            <w:rPr>
              <w:color w:val="000000"/>
              <w:shd w:val="clear" w:color="auto" w:fill="FFFFFF"/>
            </w:rPr>
            <w:t>(Estatuto Tributario, 1989)</w:t>
          </w:r>
        </w:sdtContent>
      </w:sdt>
      <w:r w:rsidRPr="006177E4">
        <w:rPr>
          <w:color w:val="000000"/>
          <w:shd w:val="clear" w:color="auto" w:fill="FFFFFF"/>
        </w:rPr>
        <w:t xml:space="preserve"> y alivió de fondo la figura al disponer que la declaración de retención presentada sin pago total sí produce efectos legales cuando el valor dejado de pagar no supera 10 UVT y ese </w:t>
      </w:r>
      <w:r w:rsidRPr="006177E4">
        <w:rPr>
          <w:color w:val="000000"/>
          <w:shd w:val="clear" w:color="auto" w:fill="FFFFFF"/>
        </w:rPr>
        <w:lastRenderedPageBreak/>
        <w:t>saldo se cancela dentro del año siguiente al vencimiento. Además, incorporó un parágrafo transitorio 2 para subsanar ciertas ineficacias ya configuradas.</w:t>
      </w:r>
    </w:p>
    <w:p w14:paraId="43DEB962" w14:textId="537CDD2B" w:rsidR="00F53398" w:rsidRDefault="00866655" w:rsidP="008C471E">
      <w:pPr>
        <w:pStyle w:val="PrrAPA"/>
        <w:rPr>
          <w:shd w:val="clear" w:color="auto" w:fill="FFFFFF"/>
          <w:lang w:val="es-ES"/>
        </w:rPr>
      </w:pPr>
      <w:bookmarkStart w:id="35" w:name="_Hlk226302264"/>
      <w:r w:rsidRPr="006177E4">
        <w:rPr>
          <w:shd w:val="clear" w:color="auto" w:fill="FFFFFF"/>
          <w:lang w:val="es-ES"/>
        </w:rPr>
        <w:t xml:space="preserve">En la </w:t>
      </w:r>
      <w:r w:rsidR="00B30BAB" w:rsidRPr="006177E4">
        <w:rPr>
          <w:shd w:val="clear" w:color="auto" w:fill="FFFFFF"/>
          <w:lang w:val="es-ES"/>
        </w:rPr>
        <w:t>figura</w:t>
      </w:r>
      <w:r w:rsidRPr="006177E4">
        <w:rPr>
          <w:shd w:val="clear" w:color="auto" w:fill="FFFFFF"/>
          <w:lang w:val="es-ES"/>
        </w:rPr>
        <w:t xml:space="preserve"> </w:t>
      </w:r>
      <w:r w:rsidR="00B30BAB" w:rsidRPr="006177E4">
        <w:rPr>
          <w:shd w:val="clear" w:color="auto" w:fill="FFFFFF"/>
          <w:lang w:val="es-ES"/>
        </w:rPr>
        <w:t xml:space="preserve">relacionada </w:t>
      </w:r>
      <w:r w:rsidRPr="006177E4">
        <w:rPr>
          <w:shd w:val="clear" w:color="auto" w:fill="FFFFFF"/>
          <w:lang w:val="es-ES"/>
        </w:rPr>
        <w:t xml:space="preserve">a continuación, se </w:t>
      </w:r>
      <w:r w:rsidR="00B30BAB" w:rsidRPr="006177E4">
        <w:rPr>
          <w:shd w:val="clear" w:color="auto" w:fill="FFFFFF"/>
          <w:lang w:val="es-ES"/>
        </w:rPr>
        <w:t>realiza la</w:t>
      </w:r>
      <w:r w:rsidRPr="006177E4">
        <w:rPr>
          <w:shd w:val="clear" w:color="auto" w:fill="FFFFFF"/>
          <w:lang w:val="es-ES"/>
        </w:rPr>
        <w:t xml:space="preserve"> descripción y análisis</w:t>
      </w:r>
      <w:r w:rsidR="00E561B7" w:rsidRPr="006177E4">
        <w:rPr>
          <w:shd w:val="clear" w:color="auto" w:fill="FFFFFF"/>
          <w:lang w:val="es-ES"/>
        </w:rPr>
        <w:t xml:space="preserve"> general</w:t>
      </w:r>
      <w:r w:rsidRPr="006177E4">
        <w:rPr>
          <w:shd w:val="clear" w:color="auto" w:fill="FFFFFF"/>
          <w:lang w:val="es-ES"/>
        </w:rPr>
        <w:t xml:space="preserve"> de </w:t>
      </w:r>
      <w:r w:rsidR="00B30BAB" w:rsidRPr="006177E4">
        <w:rPr>
          <w:shd w:val="clear" w:color="auto" w:fill="FFFFFF"/>
          <w:lang w:val="es-ES"/>
        </w:rPr>
        <w:t xml:space="preserve">las </w:t>
      </w:r>
      <w:r w:rsidRPr="006177E4">
        <w:rPr>
          <w:shd w:val="clear" w:color="auto" w:fill="FFFFFF"/>
          <w:lang w:val="es-ES"/>
        </w:rPr>
        <w:t xml:space="preserve">causas y consecuencias de la ineficacia de las declaraciones de retención en la fuente, que </w:t>
      </w:r>
      <w:r w:rsidR="00B30BAB" w:rsidRPr="006177E4">
        <w:rPr>
          <w:shd w:val="clear" w:color="auto" w:fill="FFFFFF"/>
          <w:lang w:val="es-ES"/>
        </w:rPr>
        <w:t>impacta</w:t>
      </w:r>
      <w:r w:rsidRPr="006177E4">
        <w:rPr>
          <w:shd w:val="clear" w:color="auto" w:fill="FFFFFF"/>
          <w:lang w:val="es-ES"/>
        </w:rPr>
        <w:t xml:space="preserve"> tanto </w:t>
      </w:r>
      <w:r w:rsidR="00B30BAB" w:rsidRPr="006177E4">
        <w:rPr>
          <w:shd w:val="clear" w:color="auto" w:fill="FFFFFF"/>
          <w:lang w:val="es-ES"/>
        </w:rPr>
        <w:t>a</w:t>
      </w:r>
      <w:r w:rsidRPr="006177E4">
        <w:rPr>
          <w:shd w:val="clear" w:color="auto" w:fill="FFFFFF"/>
          <w:lang w:val="es-ES"/>
        </w:rPr>
        <w:t xml:space="preserve"> la administración de impuestos como </w:t>
      </w:r>
      <w:r w:rsidR="00B30BAB" w:rsidRPr="006177E4">
        <w:rPr>
          <w:shd w:val="clear" w:color="auto" w:fill="FFFFFF"/>
          <w:lang w:val="es-ES"/>
        </w:rPr>
        <w:t>a</w:t>
      </w:r>
      <w:r w:rsidRPr="006177E4">
        <w:rPr>
          <w:shd w:val="clear" w:color="auto" w:fill="FFFFFF"/>
          <w:lang w:val="es-ES"/>
        </w:rPr>
        <w:t xml:space="preserve">l contribuyente. </w:t>
      </w:r>
    </w:p>
    <w:p w14:paraId="18172EEF" w14:textId="77777777" w:rsidR="00FC3A5D" w:rsidRDefault="00FC3A5D" w:rsidP="008C471E">
      <w:pPr>
        <w:pStyle w:val="PrrAPA"/>
        <w:rPr>
          <w:shd w:val="clear" w:color="auto" w:fill="FFFFFF"/>
          <w:lang w:val="es-ES"/>
        </w:rPr>
      </w:pPr>
    </w:p>
    <w:p w14:paraId="32743FE3" w14:textId="77777777" w:rsidR="00EB5F68" w:rsidRDefault="00FC3A5D" w:rsidP="00263B16">
      <w:pPr>
        <w:pStyle w:val="Descripcin"/>
        <w:spacing w:after="0" w:line="480" w:lineRule="auto"/>
        <w:rPr>
          <w:rFonts w:cs="Times New Roman"/>
          <w:b/>
          <w:bCs/>
          <w:i w:val="0"/>
          <w:iCs w:val="0"/>
          <w:szCs w:val="24"/>
        </w:rPr>
      </w:pPr>
      <w:bookmarkStart w:id="36" w:name="_Toc229077710"/>
      <w:bookmarkStart w:id="37" w:name="_Hlk226302141"/>
      <w:bookmarkEnd w:id="35"/>
      <w:r w:rsidRPr="00FC3A5D">
        <w:rPr>
          <w:b/>
          <w:bCs/>
          <w:i w:val="0"/>
          <w:iCs w:val="0"/>
        </w:rPr>
        <w:t xml:space="preserve">Figura  </w:t>
      </w:r>
      <w:r w:rsidRPr="00FC3A5D">
        <w:rPr>
          <w:b/>
          <w:bCs/>
          <w:i w:val="0"/>
          <w:iCs w:val="0"/>
        </w:rPr>
        <w:fldChar w:fldCharType="begin"/>
      </w:r>
      <w:r w:rsidRPr="00FC3A5D">
        <w:rPr>
          <w:b/>
          <w:bCs/>
          <w:i w:val="0"/>
          <w:iCs w:val="0"/>
        </w:rPr>
        <w:instrText xml:space="preserve"> SEQ Figura_ \* ARABIC </w:instrText>
      </w:r>
      <w:r w:rsidRPr="00FC3A5D">
        <w:rPr>
          <w:b/>
          <w:bCs/>
          <w:i w:val="0"/>
          <w:iCs w:val="0"/>
        </w:rPr>
        <w:fldChar w:fldCharType="separate"/>
      </w:r>
      <w:r w:rsidR="00F01079">
        <w:rPr>
          <w:b/>
          <w:bCs/>
          <w:i w:val="0"/>
          <w:iCs w:val="0"/>
          <w:noProof/>
        </w:rPr>
        <w:t>1</w:t>
      </w:r>
      <w:r w:rsidRPr="00FC3A5D">
        <w:rPr>
          <w:b/>
          <w:bCs/>
          <w:i w:val="0"/>
          <w:iCs w:val="0"/>
        </w:rPr>
        <w:fldChar w:fldCharType="end"/>
      </w:r>
      <w:r>
        <w:rPr>
          <w:rFonts w:cs="Times New Roman"/>
          <w:b/>
          <w:bCs/>
          <w:i w:val="0"/>
          <w:iCs w:val="0"/>
          <w:szCs w:val="24"/>
        </w:rPr>
        <w:t xml:space="preserve">  </w:t>
      </w:r>
    </w:p>
    <w:p w14:paraId="4B55D590" w14:textId="07FDE62F" w:rsidR="00E561B7" w:rsidRPr="00FC3A5D" w:rsidRDefault="00E561B7" w:rsidP="00263B16">
      <w:pPr>
        <w:pStyle w:val="Descripcin"/>
        <w:spacing w:after="0" w:line="480" w:lineRule="auto"/>
        <w:rPr>
          <w:rFonts w:cs="Times New Roman"/>
          <w:b/>
          <w:bCs/>
          <w:i w:val="0"/>
          <w:iCs w:val="0"/>
          <w:szCs w:val="24"/>
        </w:rPr>
      </w:pPr>
      <w:r w:rsidRPr="006177E4">
        <w:rPr>
          <w:rFonts w:cs="Times New Roman"/>
          <w:szCs w:val="24"/>
        </w:rPr>
        <w:t>Análisis de las causas y consecuencias del problema</w:t>
      </w:r>
      <w:r w:rsidR="0042601E">
        <w:rPr>
          <w:rFonts w:cs="Times New Roman"/>
          <w:szCs w:val="24"/>
        </w:rPr>
        <w:t>.</w:t>
      </w:r>
      <w:bookmarkEnd w:id="36"/>
    </w:p>
    <w:p w14:paraId="1EB709F9" w14:textId="0109803B" w:rsidR="00F53398" w:rsidRPr="006177E4" w:rsidRDefault="00F53398" w:rsidP="00263B16">
      <w:pPr>
        <w:pStyle w:val="NormalWeb"/>
        <w:spacing w:before="0" w:beforeAutospacing="0" w:after="0" w:afterAutospacing="0" w:line="480" w:lineRule="auto"/>
        <w:jc w:val="center"/>
      </w:pPr>
      <w:r w:rsidRPr="006177E4">
        <w:rPr>
          <w:noProof/>
        </w:rPr>
        <w:drawing>
          <wp:inline distT="0" distB="0" distL="0" distR="0" wp14:anchorId="788B9A9A" wp14:editId="7F8A3911">
            <wp:extent cx="5532120" cy="31927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3190" t="22460" r="4168" b="6252"/>
                    <a:stretch/>
                  </pic:blipFill>
                  <pic:spPr bwMode="auto">
                    <a:xfrm>
                      <a:off x="0" y="0"/>
                      <a:ext cx="5532120" cy="3192780"/>
                    </a:xfrm>
                    <a:prstGeom prst="rect">
                      <a:avLst/>
                    </a:prstGeom>
                    <a:noFill/>
                    <a:ln>
                      <a:noFill/>
                    </a:ln>
                    <a:extLst>
                      <a:ext uri="{53640926-AAD7-44D8-BBD7-CCE9431645EC}">
                        <a14:shadowObscured xmlns:a14="http://schemas.microsoft.com/office/drawing/2010/main"/>
                      </a:ext>
                    </a:extLst>
                  </pic:spPr>
                </pic:pic>
              </a:graphicData>
            </a:graphic>
          </wp:inline>
        </w:drawing>
      </w:r>
    </w:p>
    <w:p w14:paraId="6E49C8DC" w14:textId="4FBD8417" w:rsidR="00B30BAB" w:rsidRPr="006177E4" w:rsidRDefault="00E27C5F" w:rsidP="00263B16">
      <w:pPr>
        <w:spacing w:line="480" w:lineRule="auto"/>
        <w:jc w:val="left"/>
        <w:rPr>
          <w:rFonts w:cs="Times New Roman"/>
          <w:szCs w:val="24"/>
        </w:rPr>
      </w:pPr>
      <w:r w:rsidRPr="006177E4">
        <w:rPr>
          <w:rFonts w:cs="Times New Roman"/>
          <w:i/>
          <w:szCs w:val="24"/>
        </w:rPr>
        <w:t>Nota.</w:t>
      </w:r>
      <w:r w:rsidRPr="00E27C5F">
        <w:rPr>
          <w:rFonts w:cs="Times New Roman"/>
          <w:iCs/>
          <w:szCs w:val="24"/>
        </w:rPr>
        <w:t xml:space="preserve"> </w:t>
      </w:r>
      <w:r w:rsidRPr="0004007D">
        <w:rPr>
          <w:rFonts w:cs="Times New Roman"/>
          <w:iCs/>
          <w:szCs w:val="24"/>
        </w:rPr>
        <w:t>Elaboración</w:t>
      </w:r>
      <w:r w:rsidR="00E561B7" w:rsidRPr="006177E4">
        <w:rPr>
          <w:rFonts w:cs="Times New Roman"/>
          <w:szCs w:val="24"/>
        </w:rPr>
        <w:t xml:space="preserve"> propia</w:t>
      </w:r>
      <w:r w:rsidR="00FC3A5D">
        <w:rPr>
          <w:rFonts w:cs="Times New Roman"/>
          <w:szCs w:val="24"/>
        </w:rPr>
        <w:t xml:space="preserve"> </w:t>
      </w:r>
      <w:r w:rsidR="0004007D">
        <w:rPr>
          <w:rFonts w:cs="Times New Roman"/>
          <w:szCs w:val="24"/>
        </w:rPr>
        <w:t xml:space="preserve">Fuente: </w:t>
      </w:r>
      <w:r w:rsidR="00FC3A5D">
        <w:rPr>
          <w:rFonts w:cs="Times New Roman"/>
          <w:szCs w:val="24"/>
        </w:rPr>
        <w:t>(</w:t>
      </w:r>
      <w:r w:rsidR="007B5893" w:rsidRPr="006177E4">
        <w:rPr>
          <w:rFonts w:cs="Times New Roman"/>
          <w:szCs w:val="24"/>
        </w:rPr>
        <w:t>Acero y López, 202</w:t>
      </w:r>
      <w:r w:rsidR="00AB7CD3" w:rsidRPr="006177E4">
        <w:rPr>
          <w:rFonts w:cs="Times New Roman"/>
          <w:szCs w:val="24"/>
        </w:rPr>
        <w:t>6</w:t>
      </w:r>
      <w:r w:rsidR="007B5893" w:rsidRPr="006177E4">
        <w:rPr>
          <w:rFonts w:cs="Times New Roman"/>
          <w:szCs w:val="24"/>
        </w:rPr>
        <w:t>)</w:t>
      </w:r>
    </w:p>
    <w:bookmarkEnd w:id="37"/>
    <w:p w14:paraId="5EC44D3E" w14:textId="5E99CE7C" w:rsidR="0020370C" w:rsidRDefault="007B5893" w:rsidP="008C471E">
      <w:pPr>
        <w:pStyle w:val="PrrAPA"/>
        <w:rPr>
          <w:shd w:val="clear" w:color="auto" w:fill="FFFFFF"/>
        </w:rPr>
      </w:pPr>
      <w:r w:rsidRPr="006177E4">
        <w:rPr>
          <w:shd w:val="clear" w:color="auto" w:fill="FFFFFF"/>
        </w:rPr>
        <w:t>Teniendo en cuenta lo expresado en los párrafos anteriores</w:t>
      </w:r>
      <w:r w:rsidR="00FC3A5D">
        <w:rPr>
          <w:shd w:val="clear" w:color="auto" w:fill="FFFFFF"/>
        </w:rPr>
        <w:t>,</w:t>
      </w:r>
      <w:r w:rsidRPr="006177E4">
        <w:rPr>
          <w:shd w:val="clear" w:color="auto" w:fill="FFFFFF"/>
        </w:rPr>
        <w:t xml:space="preserve"> es importante que dentro de esta  problemática se reconozcan las causas  que genera la ineficacia de las declaraciones de retención en la fuente, pues</w:t>
      </w:r>
      <w:r w:rsidR="00D34589" w:rsidRPr="006177E4">
        <w:rPr>
          <w:shd w:val="clear" w:color="auto" w:fill="FFFFFF"/>
        </w:rPr>
        <w:t xml:space="preserve"> si</w:t>
      </w:r>
      <w:r w:rsidRPr="006177E4">
        <w:rPr>
          <w:shd w:val="clear" w:color="auto" w:fill="FFFFFF"/>
        </w:rPr>
        <w:t xml:space="preserve"> bien, el artículo 580-1 del </w:t>
      </w:r>
      <w:sdt>
        <w:sdtPr>
          <w:rPr>
            <w:color w:val="000000"/>
            <w:shd w:val="clear" w:color="auto" w:fill="FFFFFF"/>
          </w:rPr>
          <w:tag w:val="MENDELEY_CITATION_v3_eyJjaXRhdGlvbklEIjoiTUVOREVMRVlfQ0lUQVRJT05fNDZhYTBkMjAtNGU1YS00MjFlLWE0ODctMmQ2ZWY5NzMzNDIy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2078854979"/>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832800235"/>
              <w:placeholder>
                <w:docPart w:val="0ED4229A06F14E558FC8D6A31A3511F3"/>
              </w:placeholder>
            </w:sdtPr>
            <w:sdtEndPr/>
            <w:sdtContent>
              <w:r w:rsidR="00EA5A29" w:rsidRPr="00465317">
                <w:t>Decreto 624 (1989</w:t>
              </w:r>
              <w:r w:rsidR="00EA5A29" w:rsidRPr="006177E4">
                <w:rPr>
                  <w:color w:val="000000"/>
                </w:rPr>
                <w:t>)</w:t>
              </w:r>
            </w:sdtContent>
          </w:sdt>
        </w:sdtContent>
      </w:sdt>
      <w:r w:rsidR="0034618A" w:rsidRPr="006177E4">
        <w:rPr>
          <w:shd w:val="clear" w:color="auto" w:fill="FFFFFF"/>
        </w:rPr>
        <w:t xml:space="preserve"> </w:t>
      </w:r>
      <w:r w:rsidRPr="006177E4">
        <w:rPr>
          <w:shd w:val="clear" w:color="auto" w:fill="FFFFFF"/>
        </w:rPr>
        <w:t xml:space="preserve">el cual fue modificado por el artículo 270 de la </w:t>
      </w:r>
      <w:sdt>
        <w:sdtPr>
          <w:rPr>
            <w:color w:val="000000"/>
            <w:shd w:val="clear" w:color="auto" w:fill="FFFFFF"/>
          </w:rPr>
          <w:tag w:val="MENDELEY_CITATION_v3_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gxOV8yMDE2Lmh0bWwiLCJpc3N1ZWQiOnsiZGF0ZS1wYXJ0cyI6W1syMDE2XV19LCJjb250YWluZXItdGl0bGUtc2hvcnQiOiIifSwiaXNUZW1wb3JhcnkiOmZhbHNlfV19"/>
          <w:id w:val="622353424"/>
          <w:placeholder>
            <w:docPart w:val="DefaultPlaceholder_-1854013440"/>
          </w:placeholder>
        </w:sdtPr>
        <w:sdtEndPr/>
        <w:sdtContent>
          <w:r w:rsidR="009A1775" w:rsidRPr="006177E4">
            <w:rPr>
              <w:color w:val="000000"/>
              <w:shd w:val="clear" w:color="auto" w:fill="FFFFFF"/>
            </w:rPr>
            <w:t xml:space="preserve">Ley 1819 </w:t>
          </w:r>
          <w:r w:rsidR="0020370C">
            <w:rPr>
              <w:color w:val="000000"/>
              <w:shd w:val="clear" w:color="auto" w:fill="FFFFFF"/>
            </w:rPr>
            <w:t>(</w:t>
          </w:r>
          <w:r w:rsidR="009A1775" w:rsidRPr="006177E4">
            <w:rPr>
              <w:color w:val="000000"/>
              <w:shd w:val="clear" w:color="auto" w:fill="FFFFFF"/>
            </w:rPr>
            <w:t>2016)</w:t>
          </w:r>
        </w:sdtContent>
      </w:sdt>
      <w:r w:rsidRPr="006177E4">
        <w:rPr>
          <w:shd w:val="clear" w:color="auto" w:fill="FFFFFF"/>
        </w:rPr>
        <w:t xml:space="preserve"> establece los criterios  para que una declaración de retención en la fuente quede ineficaz, puesto que si hay un incumplimiento en:</w:t>
      </w:r>
      <w:r w:rsidR="0020370C">
        <w:rPr>
          <w:shd w:val="clear" w:color="auto" w:fill="FFFFFF"/>
        </w:rPr>
        <w:t xml:space="preserve"> </w:t>
      </w:r>
      <w:r w:rsidRPr="006177E4">
        <w:rPr>
          <w:shd w:val="clear" w:color="auto" w:fill="FFFFFF"/>
        </w:rPr>
        <w:t xml:space="preserve">El pago de la obligación dentro de los plazos legales establecidos, esto quiere decir que la declaración se debe pagar dentro de los dos meses siguientes a la fecha del vencimiento del plazo  para declarar, pues si no se cumple con esa condición la declaración queda ineficaz,  otro motivo es la presentación </w:t>
      </w:r>
      <w:r w:rsidRPr="006177E4">
        <w:rPr>
          <w:shd w:val="clear" w:color="auto" w:fill="FFFFFF"/>
        </w:rPr>
        <w:lastRenderedPageBreak/>
        <w:t xml:space="preserve">con pagos parciales, pues esto conlleva a que si al momento de cumplirse los dos meses  de plazo para el pago total, este  no se realiza, la declaración  no surta efectos legales,   </w:t>
      </w:r>
      <w:r w:rsidR="0020370C">
        <w:rPr>
          <w:shd w:val="clear" w:color="auto" w:fill="FFFFFF"/>
        </w:rPr>
        <w:t xml:space="preserve"> </w:t>
      </w:r>
      <w:r w:rsidR="0034618A" w:rsidRPr="006177E4">
        <w:rPr>
          <w:shd w:val="clear" w:color="auto" w:fill="FFFFFF"/>
        </w:rPr>
        <w:t>También la no solicitud o rechazo de una compensación, es decir que, cuando el agente retenedor tiene saldos a favor y no solicita oportunamente la compensación, o esta es rechazada por la administración de impuestos, la declaración queda ineficaz. Por otro lado,</w:t>
      </w:r>
      <w:r w:rsidR="0020370C">
        <w:rPr>
          <w:shd w:val="clear" w:color="auto" w:fill="FFFFFF"/>
        </w:rPr>
        <w:t xml:space="preserve"> </w:t>
      </w:r>
      <w:r w:rsidR="0034618A" w:rsidRPr="006177E4">
        <w:rPr>
          <w:shd w:val="clear" w:color="auto" w:fill="FFFFFF"/>
        </w:rPr>
        <w:t xml:space="preserve">el artículo 508-1 </w:t>
      </w:r>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156491839"/>
          <w:placeholder>
            <w:docPart w:val="E824D0ED1E1B466E90295CDF5CD44F14"/>
          </w:placeholder>
        </w:sdtPr>
        <w:sdtEndPr/>
        <w:sdtContent>
          <w:r w:rsidR="00EA5A29" w:rsidRPr="00465317">
            <w:t>Decreto 624 (1989</w:t>
          </w:r>
          <w:r w:rsidR="00EA5A29" w:rsidRPr="006177E4">
            <w:rPr>
              <w:color w:val="000000"/>
            </w:rPr>
            <w:t>)</w:t>
          </w:r>
        </w:sdtContent>
      </w:sdt>
      <w:r w:rsidR="00EA5A29" w:rsidRPr="006177E4">
        <w:rPr>
          <w:shd w:val="clear" w:color="auto" w:fill="FFFFFF"/>
        </w:rPr>
        <w:t xml:space="preserve"> </w:t>
      </w:r>
      <w:r w:rsidR="0034618A" w:rsidRPr="006177E4">
        <w:rPr>
          <w:shd w:val="clear" w:color="auto" w:fill="FFFFFF"/>
        </w:rPr>
        <w:t xml:space="preserve">en el inciso 2 de la nota 1 refiriere que se entiende como documento que reconoce una obligación clara, expresa y exigible que podrá ser utilizada por la administración tributaria en los procesos de cobro coactivo aun cuando en el sistema la declaración tenga una marca de ineficaz para el agente retenedor bajo los presupuestos establecidos en este artículo. Considerándolo como título ejecutivo de cobro para la administración tributaria. </w:t>
      </w:r>
    </w:p>
    <w:p w14:paraId="0E67227F" w14:textId="0BCD4DB3" w:rsidR="0020370C" w:rsidRDefault="0034618A" w:rsidP="008C471E">
      <w:pPr>
        <w:pStyle w:val="PrrAPA"/>
        <w:rPr>
          <w:shd w:val="clear" w:color="auto" w:fill="FFFFFF"/>
        </w:rPr>
      </w:pPr>
      <w:r w:rsidRPr="006177E4">
        <w:rPr>
          <w:shd w:val="clear" w:color="auto" w:fill="FFFFFF"/>
        </w:rPr>
        <w:t xml:space="preserve">En este contexto otra de las posibles causas es la falta de cultura tributaria, pues una baja disposición voluntaria al cumplimiento de los tributos genera en los contribuyentes desconfianza en la administración tributaria o también se percibe que el sistema es complejo, lo que lleva a postergar la presentación y pagos de las obligaciones.  Según </w:t>
      </w:r>
      <w:sdt>
        <w:sdtPr>
          <w:rPr>
            <w:color w:val="000000"/>
            <w:shd w:val="clear" w:color="auto" w:fill="FFFFFF"/>
          </w:rPr>
          <w:tag w:val="MENDELEY_CITATION_v3_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"/>
          <w:id w:val="-549693088"/>
          <w:placeholder>
            <w:docPart w:val="7FB2DDD2F1164D6E8EC8BE2AD7C480B8"/>
          </w:placeholder>
        </w:sdtPr>
        <w:sdtEndPr/>
        <w:sdtContent>
          <w:r w:rsidR="009A1775" w:rsidRPr="006177E4">
            <w:rPr>
              <w:color w:val="000000"/>
              <w:shd w:val="clear" w:color="auto" w:fill="FFFFFF"/>
            </w:rPr>
            <w:t>Espinosa (2022)</w:t>
          </w:r>
        </w:sdtContent>
      </w:sdt>
      <w:r w:rsidRPr="006177E4">
        <w:rPr>
          <w:shd w:val="clear" w:color="auto" w:fill="FFFFFF"/>
        </w:rPr>
        <w:t xml:space="preserve"> la cultura tributaria es el conocimiento y compromiso moral de los ciudadanos para cumplir voluntariamente con el pago de los impuestos, entendiendo que estos financian el desarrollo social y económico del país</w:t>
      </w:r>
      <w:r w:rsidR="0020370C">
        <w:rPr>
          <w:shd w:val="clear" w:color="auto" w:fill="FFFFFF"/>
        </w:rPr>
        <w:t>.</w:t>
      </w:r>
      <w:r w:rsidRPr="006177E4">
        <w:rPr>
          <w:shd w:val="clear" w:color="auto" w:fill="FFFFFF"/>
        </w:rPr>
        <w:t xml:space="preserve"> </w:t>
      </w:r>
      <w:sdt>
        <w:sdtPr>
          <w:rPr>
            <w:color w:val="000000"/>
            <w:shd w:val="clear" w:color="auto" w:fill="FFFFFF"/>
          </w:rPr>
          <w:tag w:val="MENDELEY_CITATION_v3_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"/>
          <w:id w:val="1637139269"/>
          <w:placeholder>
            <w:docPart w:val="7FB2DDD2F1164D6E8EC8BE2AD7C480B8"/>
          </w:placeholder>
        </w:sdtPr>
        <w:sdtEndPr/>
        <w:sdtContent>
          <w:r w:rsidR="009A1775" w:rsidRPr="006177E4">
            <w:rPr>
              <w:color w:val="000000"/>
              <w:shd w:val="clear" w:color="auto" w:fill="FFFFFF"/>
            </w:rPr>
            <w:t>Espinosa (2022)</w:t>
          </w:r>
        </w:sdtContent>
      </w:sdt>
      <w:r w:rsidR="007D5EF2" w:rsidRPr="006177E4">
        <w:rPr>
          <w:color w:val="000000"/>
          <w:shd w:val="clear" w:color="auto" w:fill="FFFFFF"/>
        </w:rPr>
        <w:t xml:space="preserve"> </w:t>
      </w:r>
      <w:r w:rsidRPr="006177E4">
        <w:rPr>
          <w:shd w:val="clear" w:color="auto" w:fill="FFFFFF"/>
        </w:rPr>
        <w:t xml:space="preserve">expresa que el </w:t>
      </w:r>
      <w:r w:rsidRPr="006177E4">
        <w:t xml:space="preserve">cumplimiento de las normas </w:t>
      </w:r>
      <w:r w:rsidR="0020370C" w:rsidRPr="006177E4">
        <w:t>tributarias</w:t>
      </w:r>
      <w:r w:rsidRPr="006177E4">
        <w:t xml:space="preserve"> garantiza la sostenibilidad del estado al asegurar los recursos necesarios para financiar servicios públicos esenciales como, salud, educación e infraestructura y en un análisis más a fondo, </w:t>
      </w:r>
      <w:r w:rsidR="00221E40" w:rsidRPr="006177E4">
        <w:rPr>
          <w:lang w:val="es-ES"/>
        </w:rPr>
        <w:t>según</w:t>
      </w:r>
      <w:r w:rsidRPr="006177E4">
        <w:rPr>
          <w:lang w:val="es-ES"/>
        </w:rPr>
        <w:t xml:space="preserve"> los autores, solo el 45% de los contribuyentes en Colombia tienen un conocimiento básico de sus obligaciones fiscales, lo que genera altas tasas de incumplimiento en la presentación y pago de retenciones en la fuente. Teniendo un acercamiento más a fondo en el nicho de investigación, según informes revelados por la dirección seccional de impuestos y aduanas de Ibagué en promedio, las declaraciones ineficaces representan un 30% del total de las declaraciones de retención en la fuente en esta ciudad. </w:t>
      </w:r>
    </w:p>
    <w:p w14:paraId="19A3394D" w14:textId="77777777" w:rsidR="0020370C" w:rsidRDefault="0034618A" w:rsidP="008C471E">
      <w:pPr>
        <w:pStyle w:val="PrrAPA"/>
        <w:rPr>
          <w:shd w:val="clear" w:color="auto" w:fill="FFFFFF"/>
        </w:rPr>
      </w:pPr>
      <w:r w:rsidRPr="006177E4">
        <w:rPr>
          <w:shd w:val="clear" w:color="auto" w:fill="FFFFFF"/>
        </w:rPr>
        <w:t>En este contexto, la cultura tributaria no solo implica el conocimiento de las obligaciones</w:t>
      </w:r>
      <w:r w:rsidRPr="006177E4">
        <w:t xml:space="preserve"> fiscales, sino que también busca que se genere una buena planeación fiscal. Como lo plantea </w:t>
      </w:r>
      <w:sdt>
        <w:sdtPr>
          <w:rPr>
            <w:color w:val="000000"/>
          </w:rPr>
          <w:tag w:val="MENDELEY_CITATION_v3_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"/>
          <w:id w:val="906119266"/>
          <w:placeholder>
            <w:docPart w:val="DefaultPlaceholder_-1854013440"/>
          </w:placeholder>
        </w:sdtPr>
        <w:sdtEndPr/>
        <w:sdtContent>
          <w:r w:rsidR="009A1775" w:rsidRPr="006177E4">
            <w:rPr>
              <w:color w:val="000000"/>
            </w:rPr>
            <w:t xml:space="preserve">Galván </w:t>
          </w:r>
          <w:r w:rsidR="0020370C">
            <w:rPr>
              <w:color w:val="000000"/>
            </w:rPr>
            <w:t>(</w:t>
          </w:r>
          <w:r w:rsidR="009A1775" w:rsidRPr="006177E4">
            <w:rPr>
              <w:color w:val="000000"/>
            </w:rPr>
            <w:t>2024)</w:t>
          </w:r>
        </w:sdtContent>
      </w:sdt>
      <w:r w:rsidRPr="006177E4">
        <w:t xml:space="preserve"> quienes señalan que las ventajas de tener una buena planeación </w:t>
      </w:r>
      <w:r w:rsidRPr="006177E4">
        <w:rPr>
          <w:shd w:val="clear" w:color="auto" w:fill="FFFFFF"/>
        </w:rPr>
        <w:t>tributaria</w:t>
      </w:r>
      <w:r w:rsidRPr="006177E4">
        <w:t xml:space="preserve"> hacen que se genere: una distribución justa de los </w:t>
      </w:r>
      <w:r w:rsidR="0020370C" w:rsidRPr="006177E4">
        <w:t>recursos</w:t>
      </w:r>
      <w:r w:rsidRPr="006177E4">
        <w:t xml:space="preserve"> ayuda a optimizar la carga impositiva, permite a los contribuyentes responsables de agente retenedor que paguen lo que corresponde, cuándo, cuanto y como, aprovechando las deducciones y créditos fiscales para el ahorro de dinero. </w:t>
      </w:r>
    </w:p>
    <w:p w14:paraId="4F4019F5" w14:textId="77777777" w:rsidR="0020370C" w:rsidRDefault="0034618A" w:rsidP="008C471E">
      <w:pPr>
        <w:pStyle w:val="PrrAPA"/>
        <w:rPr>
          <w:shd w:val="clear" w:color="auto" w:fill="FFFFFF"/>
        </w:rPr>
      </w:pPr>
      <w:r w:rsidRPr="006177E4">
        <w:rPr>
          <w:shd w:val="clear" w:color="auto" w:fill="FFFFFF"/>
        </w:rPr>
        <w:lastRenderedPageBreak/>
        <w:t>Cabe destacar que otra causa es, el desconocimiento de las consecuencias jurídicas, toda vez que genera una percepción errónea de que con solo presentar la declaración se cumple la obligación tributaria, lo que fomenta la presentación sin pago o con pagos parciales,</w:t>
      </w:r>
      <w:r w:rsidR="0020370C">
        <w:rPr>
          <w:shd w:val="clear" w:color="auto" w:fill="FFFFFF"/>
        </w:rPr>
        <w:t xml:space="preserve"> </w:t>
      </w:r>
      <w:sdt>
        <w:sdtPr>
          <w:rPr>
            <w:color w:val="000000"/>
            <w:lang w:val="es-ES"/>
          </w:rPr>
          <w:tag w:val="MENDELEY_CITATION_v3_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"/>
          <w:id w:val="2054726591"/>
          <w:placeholder>
            <w:docPart w:val="DefaultPlaceholder_-1854013440"/>
          </w:placeholder>
        </w:sdtPr>
        <w:sdtEndPr/>
        <w:sdtContent>
          <w:r w:rsidR="009A1775" w:rsidRPr="006177E4">
            <w:rPr>
              <w:color w:val="000000"/>
              <w:lang w:val="es-ES"/>
            </w:rPr>
            <w:t>Galván</w:t>
          </w:r>
          <w:r w:rsidR="0020370C">
            <w:rPr>
              <w:color w:val="000000"/>
              <w:lang w:val="es-ES"/>
            </w:rPr>
            <w:t xml:space="preserve"> (</w:t>
          </w:r>
          <w:r w:rsidR="009A1775" w:rsidRPr="006177E4">
            <w:rPr>
              <w:color w:val="000000"/>
              <w:lang w:val="es-ES"/>
            </w:rPr>
            <w:t>2024)</w:t>
          </w:r>
        </w:sdtContent>
      </w:sdt>
      <w:r w:rsidR="007D5EF2" w:rsidRPr="006177E4">
        <w:rPr>
          <w:color w:val="000000"/>
          <w:lang w:val="es-ES"/>
        </w:rPr>
        <w:t xml:space="preserve"> </w:t>
      </w:r>
      <w:r w:rsidRPr="006177E4">
        <w:rPr>
          <w:lang w:val="es-ES"/>
        </w:rPr>
        <w:t>destacan que la complejidad del sistema tributario colombiano es una de las principales barreras para el cumplimiento de las obligaciones fiscales. Según un estudio realizado en 2023, el 60% de los pequeños contribuyentes consideran que los procedimientos para presentar declaraciones de retención son demasiado complicados, lo que aumenta las probabilidades de errores o incumplimientos.</w:t>
      </w:r>
      <w:r w:rsidR="00AF0E2D" w:rsidRPr="006177E4">
        <w:rPr>
          <w:shd w:val="clear" w:color="auto" w:fill="FFFFFF"/>
          <w:lang w:val="es-ES"/>
        </w:rPr>
        <w:t xml:space="preserve"> </w:t>
      </w:r>
      <w:r w:rsidRPr="006177E4">
        <w:rPr>
          <w:shd w:val="clear" w:color="auto" w:fill="FFFFFF"/>
        </w:rPr>
        <w:t>As</w:t>
      </w:r>
      <w:r w:rsidR="00AF0E2D" w:rsidRPr="006177E4">
        <w:rPr>
          <w:shd w:val="clear" w:color="auto" w:fill="FFFFFF"/>
        </w:rPr>
        <w:t>í</w:t>
      </w:r>
      <w:r w:rsidRPr="006177E4">
        <w:rPr>
          <w:shd w:val="clear" w:color="auto" w:fill="FFFFFF"/>
        </w:rPr>
        <w:t xml:space="preserve"> las cosas, los constantes cambios significativos en los procesos tributarios y la llegada de nuevas reformas, afectan la problemática de la ineficacia de las declaraciones de retención en la fuente especialmente para pequeños y medianos agentes retenedores. </w:t>
      </w:r>
    </w:p>
    <w:p w14:paraId="21C5CDC9" w14:textId="301ED81F" w:rsidR="00794091" w:rsidRDefault="0034618A" w:rsidP="008C471E">
      <w:pPr>
        <w:pStyle w:val="PrrAPA"/>
        <w:rPr>
          <w:shd w:val="clear" w:color="auto" w:fill="FFFFFF"/>
        </w:rPr>
      </w:pPr>
      <w:r w:rsidRPr="006177E4">
        <w:rPr>
          <w:shd w:val="clear" w:color="auto" w:fill="FFFFFF"/>
        </w:rPr>
        <w:t xml:space="preserve">Partiendo de un </w:t>
      </w:r>
      <w:r w:rsidR="00C26FBA" w:rsidRPr="006177E4">
        <w:rPr>
          <w:shd w:val="clear" w:color="auto" w:fill="FFFFFF"/>
        </w:rPr>
        <w:t>recorrido por</w:t>
      </w:r>
      <w:r w:rsidRPr="006177E4">
        <w:rPr>
          <w:shd w:val="clear" w:color="auto" w:fill="FFFFFF"/>
        </w:rPr>
        <w:t xml:space="preserve"> los diferentes marcos normativos se </w:t>
      </w:r>
      <w:r w:rsidR="00C26FBA" w:rsidRPr="006177E4">
        <w:rPr>
          <w:shd w:val="clear" w:color="auto" w:fill="FFFFFF"/>
        </w:rPr>
        <w:t>encuentra que</w:t>
      </w:r>
      <w:r w:rsidRPr="006177E4">
        <w:rPr>
          <w:shd w:val="clear" w:color="auto" w:fill="FFFFFF"/>
        </w:rPr>
        <w:t>:</w:t>
      </w:r>
      <w:r w:rsidR="00C26FBA" w:rsidRPr="006177E4">
        <w:rPr>
          <w:shd w:val="clear" w:color="auto" w:fill="FFFFFF"/>
        </w:rPr>
        <w:t xml:space="preserve"> la </w:t>
      </w:r>
      <w:r w:rsidRPr="006177E4">
        <w:rPr>
          <w:shd w:val="clear" w:color="auto" w:fill="FFFFFF"/>
        </w:rPr>
        <w:t xml:space="preserve"> </w:t>
      </w:r>
      <w:sdt>
        <w:sdtPr>
          <w:rPr>
            <w:color w:val="000000"/>
            <w:shd w:val="clear" w:color="auto" w:fill="FFFFFF"/>
          </w:rPr>
          <w:tag w:val="MENDELEY_CITATION_v3_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QzMF8yMDEwLmh0bWwiLCJpc3N1ZWQiOnsiZGF0ZS1wYXJ0cyI6W1syMDEwXV19LCJjb250YWluZXItdGl0bGUtc2hvcnQiOiIifSwiaXNUZW1wb3JhcnkiOmZhbHNlfV19"/>
          <w:id w:val="1649023492"/>
          <w:placeholder>
            <w:docPart w:val="DefaultPlaceholder_-1854013440"/>
          </w:placeholder>
        </w:sdtPr>
        <w:sdtEndPr/>
        <w:sdtContent>
          <w:r w:rsidR="009A1775" w:rsidRPr="006177E4">
            <w:rPr>
              <w:color w:val="000000"/>
              <w:shd w:val="clear" w:color="auto" w:fill="FFFFFF"/>
            </w:rPr>
            <w:t>Ley 1430</w:t>
          </w:r>
          <w:r w:rsidR="0020370C">
            <w:rPr>
              <w:color w:val="000000"/>
              <w:shd w:val="clear" w:color="auto" w:fill="FFFFFF"/>
            </w:rPr>
            <w:t xml:space="preserve"> (</w:t>
          </w:r>
          <w:r w:rsidR="009A1775" w:rsidRPr="006177E4">
            <w:rPr>
              <w:color w:val="000000"/>
              <w:shd w:val="clear" w:color="auto" w:fill="FFFFFF"/>
            </w:rPr>
            <w:t>2010)</w:t>
          </w:r>
        </w:sdtContent>
      </w:sdt>
      <w:r w:rsidR="00C26FBA" w:rsidRPr="006177E4">
        <w:rPr>
          <w:shd w:val="clear" w:color="auto" w:fill="FFFFFF"/>
        </w:rPr>
        <w:t xml:space="preserve"> en su artículo</w:t>
      </w:r>
      <w:r w:rsidRPr="006177E4">
        <w:rPr>
          <w:shd w:val="clear" w:color="auto" w:fill="FFFFFF"/>
        </w:rPr>
        <w:t xml:space="preserve"> 15</w:t>
      </w:r>
      <w:r w:rsidR="00C26FBA" w:rsidRPr="006177E4">
        <w:rPr>
          <w:shd w:val="clear" w:color="auto" w:fill="FFFFFF"/>
        </w:rPr>
        <w:t xml:space="preserve">, trajo </w:t>
      </w:r>
      <w:r w:rsidRPr="006177E4">
        <w:rPr>
          <w:shd w:val="clear" w:color="auto" w:fill="FFFFFF"/>
        </w:rPr>
        <w:t>consigo la ineficacia de las declaraciones de</w:t>
      </w:r>
      <w:r w:rsidR="00825236" w:rsidRPr="006177E4">
        <w:rPr>
          <w:shd w:val="clear" w:color="auto" w:fill="FFFFFF"/>
        </w:rPr>
        <w:t xml:space="preserve"> </w:t>
      </w:r>
      <w:r w:rsidRPr="006177E4">
        <w:rPr>
          <w:shd w:val="clear" w:color="auto" w:fill="FFFFFF"/>
        </w:rPr>
        <w:t>retención en la fuente pues  revela  que estas declaraciones no tendrán efecto legal alguno sin acto administrativo que así lo decida</w:t>
      </w:r>
      <w:r w:rsidR="00AF0E2D" w:rsidRPr="006177E4">
        <w:rPr>
          <w:shd w:val="clear" w:color="auto" w:fill="FFFFFF"/>
        </w:rPr>
        <w:t>;</w:t>
      </w:r>
      <w:r w:rsidRPr="006177E4">
        <w:rPr>
          <w:shd w:val="clear" w:color="auto" w:fill="FFFFFF"/>
        </w:rPr>
        <w:t xml:space="preserve"> la </w:t>
      </w:r>
      <w:sdt>
        <w:sdtPr>
          <w:rPr>
            <w:color w:val="000000"/>
            <w:shd w:val="clear" w:color="auto" w:fill="FFFFFF"/>
          </w:rPr>
          <w:tag w:val="MENDELEY_CITATION_v3_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gxOV8yMDE2Lmh0bWwiLCJpc3N1ZWQiOnsiZGF0ZS1wYXJ0cyI6W1syMDE2XV19LCJjb250YWluZXItdGl0bGUtc2hvcnQiOiIifSwiaXNUZW1wb3JhcnkiOmZhbHNlfV19"/>
          <w:id w:val="550424748"/>
          <w:placeholder>
            <w:docPart w:val="DefaultPlaceholder_-1854013440"/>
          </w:placeholder>
        </w:sdtPr>
        <w:sdtEndPr/>
        <w:sdtContent>
          <w:r w:rsidR="009A1775" w:rsidRPr="006177E4">
            <w:rPr>
              <w:color w:val="000000"/>
              <w:shd w:val="clear" w:color="auto" w:fill="FFFFFF"/>
            </w:rPr>
            <w:t xml:space="preserve">Ley 1819 </w:t>
          </w:r>
          <w:r w:rsidR="0020370C">
            <w:rPr>
              <w:color w:val="000000"/>
              <w:shd w:val="clear" w:color="auto" w:fill="FFFFFF"/>
            </w:rPr>
            <w:t>(</w:t>
          </w:r>
          <w:r w:rsidR="009A1775" w:rsidRPr="006177E4">
            <w:rPr>
              <w:color w:val="000000"/>
              <w:shd w:val="clear" w:color="auto" w:fill="FFFFFF"/>
            </w:rPr>
            <w:t>2016)</w:t>
          </w:r>
        </w:sdtContent>
      </w:sdt>
      <w:r w:rsidRPr="006177E4">
        <w:rPr>
          <w:shd w:val="clear" w:color="auto" w:fill="FFFFFF"/>
        </w:rPr>
        <w:t xml:space="preserve"> en su artículo 270 modific</w:t>
      </w:r>
      <w:r w:rsidR="00AF0E2D" w:rsidRPr="006177E4">
        <w:rPr>
          <w:shd w:val="clear" w:color="auto" w:fill="FFFFFF"/>
        </w:rPr>
        <w:t>ó</w:t>
      </w:r>
      <w:r w:rsidRPr="006177E4">
        <w:rPr>
          <w:shd w:val="clear" w:color="auto" w:fill="FFFFFF"/>
        </w:rPr>
        <w:t xml:space="preserve"> el artículo 580-1 del</w:t>
      </w:r>
      <w:r w:rsidR="00C26FBA" w:rsidRPr="006177E4">
        <w:rPr>
          <w:shd w:val="clear" w:color="auto" w:fill="FFFFFF"/>
        </w:rPr>
        <w:t xml:space="preserve"> </w:t>
      </w:r>
      <w:sdt>
        <w:sdtPr>
          <w:rPr>
            <w:color w:val="000000"/>
            <w:shd w:val="clear" w:color="auto" w:fill="FFFFFF"/>
          </w:rPr>
          <w:tag w:val="MENDELEY_CITATION_v3_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0sImNvbnRhaW5lci10aXRsZS1zaG9ydCI6IiJ9LCJpc1RlbXBvcmFyeSI6ZmFsc2V9XX0="/>
          <w:id w:val="650260819"/>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821580634"/>
              <w:placeholder>
                <w:docPart w:val="A24C4233DE5447ACA4B8B3D4C8B2803C"/>
              </w:placeholder>
            </w:sdtPr>
            <w:sdtEndPr/>
            <w:sdtContent>
              <w:r w:rsidR="00EA5A29" w:rsidRPr="00465317">
                <w:t>Decreto 624 (1989</w:t>
              </w:r>
              <w:r w:rsidR="00EA5A29" w:rsidRPr="006177E4">
                <w:rPr>
                  <w:color w:val="000000"/>
                </w:rPr>
                <w:t>)</w:t>
              </w:r>
            </w:sdtContent>
          </w:sdt>
        </w:sdtContent>
      </w:sdt>
      <w:r w:rsidRPr="006177E4">
        <w:rPr>
          <w:shd w:val="clear" w:color="auto" w:fill="FFFFFF"/>
        </w:rPr>
        <w:t>, el cual manifiesta que las declaraciones de retención en la fuente presentadas sin pago total queda ineficaces</w:t>
      </w:r>
      <w:r w:rsidR="00AF0E2D" w:rsidRPr="006177E4">
        <w:rPr>
          <w:shd w:val="clear" w:color="auto" w:fill="FFFFFF"/>
        </w:rPr>
        <w:t>;</w:t>
      </w:r>
      <w:r w:rsidRPr="006177E4">
        <w:rPr>
          <w:shd w:val="clear" w:color="auto" w:fill="FFFFFF"/>
        </w:rPr>
        <w:t xml:space="preserve"> la</w:t>
      </w:r>
      <w:r w:rsidR="00C26FBA" w:rsidRPr="006177E4">
        <w:rPr>
          <w:shd w:val="clear" w:color="auto" w:fill="FFFFFF"/>
        </w:rPr>
        <w:t xml:space="preserve"> </w:t>
      </w:r>
      <w:sdt>
        <w:sdtPr>
          <w:rPr>
            <w:color w:val="000000"/>
            <w:shd w:val="clear" w:color="auto" w:fill="FFFFFF"/>
          </w:rPr>
          <w:tag w:val="MENDELEY_CITATION_v3_eyJjaXRhdGlvbklEIjoiTUVOREVMRVlfQ0lUQVRJT05fMTg0MTg0ZjQtOThmYS00MDRmLWI0YzktNzBmODM3NWNkY2Q1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
          <w:id w:val="1653717498"/>
          <w:placeholder>
            <w:docPart w:val="DefaultPlaceholder_-1854013440"/>
          </w:placeholder>
        </w:sdtPr>
        <w:sdtEndPr/>
        <w:sdtContent>
          <w:r w:rsidR="009A1775" w:rsidRPr="006177E4">
            <w:rPr>
              <w:color w:val="000000"/>
              <w:shd w:val="clear" w:color="auto" w:fill="FFFFFF"/>
            </w:rPr>
            <w:t xml:space="preserve">Ley 1943 </w:t>
          </w:r>
          <w:r w:rsidR="00794091">
            <w:rPr>
              <w:color w:val="000000"/>
              <w:shd w:val="clear" w:color="auto" w:fill="FFFFFF"/>
            </w:rPr>
            <w:t>(</w:t>
          </w:r>
          <w:r w:rsidR="009A1775" w:rsidRPr="006177E4">
            <w:rPr>
              <w:color w:val="000000"/>
              <w:shd w:val="clear" w:color="auto" w:fill="FFFFFF"/>
            </w:rPr>
            <w:t>2018)</w:t>
          </w:r>
        </w:sdtContent>
      </w:sdt>
      <w:r w:rsidRPr="006177E4">
        <w:rPr>
          <w:shd w:val="clear" w:color="auto" w:fill="FFFFFF"/>
        </w:rPr>
        <w:t xml:space="preserve"> art</w:t>
      </w:r>
      <w:r w:rsidR="00AF0E2D" w:rsidRPr="006177E4">
        <w:rPr>
          <w:shd w:val="clear" w:color="auto" w:fill="FFFFFF"/>
        </w:rPr>
        <w:t>í</w:t>
      </w:r>
      <w:r w:rsidRPr="006177E4">
        <w:rPr>
          <w:shd w:val="clear" w:color="auto" w:fill="FFFFFF"/>
        </w:rPr>
        <w:t>culo 89 expresa que las declaraciones ineficaces serán título ejecutivo de cobro por parte de la administración de impuestos sin que haya acto administrativo que así lo exprese</w:t>
      </w:r>
      <w:r w:rsidR="00AF0E2D" w:rsidRPr="006177E4">
        <w:rPr>
          <w:shd w:val="clear" w:color="auto" w:fill="FFFFFF"/>
        </w:rPr>
        <w:t>;</w:t>
      </w:r>
      <w:r w:rsidRPr="006177E4">
        <w:rPr>
          <w:shd w:val="clear" w:color="auto" w:fill="FFFFFF"/>
        </w:rPr>
        <w:t xml:space="preserve"> la</w:t>
      </w:r>
      <w:r w:rsidR="00AF0E2D" w:rsidRPr="006177E4">
        <w:rPr>
          <w:shd w:val="clear" w:color="auto" w:fill="FFFFFF"/>
        </w:rPr>
        <w:t xml:space="preserve"> </w:t>
      </w:r>
      <w:sdt>
        <w:sdtPr>
          <w:rPr>
            <w:color w:val="000000"/>
            <w:shd w:val="clear" w:color="auto" w:fill="FFFFFF"/>
          </w:rPr>
          <w:tag w:val="MENDELEY_CITATION_v3_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"/>
          <w:id w:val="37481733"/>
          <w:placeholder>
            <w:docPart w:val="DefaultPlaceholder_-1854013440"/>
          </w:placeholder>
        </w:sdtPr>
        <w:sdtEndPr/>
        <w:sdtContent>
          <w:r w:rsidR="009A1775" w:rsidRPr="006177E4">
            <w:rPr>
              <w:color w:val="000000"/>
              <w:shd w:val="clear" w:color="auto" w:fill="FFFFFF"/>
            </w:rPr>
            <w:t>Ley 2155</w:t>
          </w:r>
          <w:r w:rsidR="00794091">
            <w:rPr>
              <w:color w:val="000000"/>
              <w:shd w:val="clear" w:color="auto" w:fill="FFFFFF"/>
            </w:rPr>
            <w:t xml:space="preserve"> (</w:t>
          </w:r>
          <w:r w:rsidR="009A1775" w:rsidRPr="006177E4">
            <w:rPr>
              <w:color w:val="000000"/>
              <w:shd w:val="clear" w:color="auto" w:fill="FFFFFF"/>
            </w:rPr>
            <w:t>2021)</w:t>
          </w:r>
        </w:sdtContent>
      </w:sdt>
      <w:r w:rsidRPr="006177E4">
        <w:rPr>
          <w:shd w:val="clear" w:color="auto" w:fill="FFFFFF"/>
        </w:rPr>
        <w:t xml:space="preserve"> en el artículo 45 trajo consigo el beneficio de pagar las declaraciones con un descuento del 80 % en sanción e intereses, esto si se realizaba antes del 31 de diciembre del 2021; </w:t>
      </w:r>
      <w:r w:rsidR="00AF0E2D" w:rsidRPr="006177E4">
        <w:rPr>
          <w:shd w:val="clear" w:color="auto" w:fill="FFFFFF"/>
        </w:rPr>
        <w:t xml:space="preserve">por último la </w:t>
      </w:r>
      <w:sdt>
        <w:sdtPr>
          <w:rPr>
            <w:color w:val="000000"/>
            <w:shd w:val="clear" w:color="auto" w:fill="FFFFFF"/>
          </w:rPr>
          <w:tag w:val="MENDELEY_CITATION_v3_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jI3N18yMDIyLmh0bWwiLCJpc3N1ZWQiOnsiZGF0ZS1wYXJ0cyI6W1syMDIyXV19LCJjb250YWluZXItdGl0bGUtc2hvcnQiOiIifSwiaXNUZW1wb3JhcnkiOmZhbHNlfV19"/>
          <w:id w:val="-214356792"/>
          <w:placeholder>
            <w:docPart w:val="DefaultPlaceholder_-1854013440"/>
          </w:placeholder>
        </w:sdtPr>
        <w:sdtEndPr/>
        <w:sdtContent>
          <w:r w:rsidR="009A1775" w:rsidRPr="006177E4">
            <w:rPr>
              <w:color w:val="000000"/>
              <w:shd w:val="clear" w:color="auto" w:fill="FFFFFF"/>
            </w:rPr>
            <w:t xml:space="preserve">Ley 2277 </w:t>
          </w:r>
          <w:r w:rsidR="0020370C">
            <w:rPr>
              <w:color w:val="000000"/>
              <w:shd w:val="clear" w:color="auto" w:fill="FFFFFF"/>
            </w:rPr>
            <w:t>(</w:t>
          </w:r>
          <w:r w:rsidR="009A1775" w:rsidRPr="006177E4">
            <w:rPr>
              <w:color w:val="000000"/>
              <w:shd w:val="clear" w:color="auto" w:fill="FFFFFF"/>
            </w:rPr>
            <w:t>2022)</w:t>
          </w:r>
        </w:sdtContent>
      </w:sdt>
      <w:r w:rsidR="00AF0E2D" w:rsidRPr="006177E4">
        <w:rPr>
          <w:shd w:val="clear" w:color="auto" w:fill="FFFFFF"/>
        </w:rPr>
        <w:t xml:space="preserve"> </w:t>
      </w:r>
      <w:r w:rsidRPr="006177E4">
        <w:rPr>
          <w:shd w:val="clear" w:color="auto" w:fill="FFFFFF"/>
        </w:rPr>
        <w:t>señal</w:t>
      </w:r>
      <w:r w:rsidR="00AF0E2D" w:rsidRPr="006177E4">
        <w:rPr>
          <w:shd w:val="clear" w:color="auto" w:fill="FFFFFF"/>
        </w:rPr>
        <w:t>ó</w:t>
      </w:r>
      <w:r w:rsidRPr="006177E4">
        <w:rPr>
          <w:shd w:val="clear" w:color="auto" w:fill="FFFFFF"/>
        </w:rPr>
        <w:t xml:space="preserve"> que si una declaración de retención en la fuente fue presentada sin pago total y quedo ineficaz antes de la vigencia de la ley, pero el valor adeudado es menor a 10 UVT , el contribuyente podrá subsanar su ineficacia pagando  el monto total más intereses moratorios hasta el 30 de junio del 2023. </w:t>
      </w:r>
    </w:p>
    <w:p w14:paraId="00C6B397" w14:textId="737DFFD9" w:rsidR="00794091" w:rsidRDefault="0034618A" w:rsidP="008C471E">
      <w:pPr>
        <w:pStyle w:val="PrrAPA"/>
        <w:rPr>
          <w:shd w:val="clear" w:color="auto" w:fill="FFFFFF"/>
        </w:rPr>
      </w:pPr>
      <w:r w:rsidRPr="006177E4">
        <w:rPr>
          <w:shd w:val="clear" w:color="auto" w:fill="FFFFFF"/>
        </w:rPr>
        <w:t xml:space="preserve">La incertidumbre generada por las modificaciones de la </w:t>
      </w:r>
      <w:r w:rsidR="006D4587" w:rsidRPr="006177E4">
        <w:rPr>
          <w:shd w:val="clear" w:color="auto" w:fill="FFFFFF"/>
        </w:rPr>
        <w:t>normatividad</w:t>
      </w:r>
      <w:r w:rsidRPr="006177E4">
        <w:rPr>
          <w:shd w:val="clear" w:color="auto" w:fill="FFFFFF"/>
        </w:rPr>
        <w:t xml:space="preserve"> afecta la confianza de los contribuyentes dentro del sistema tributario, o puede generar un impacto en la seguridad jurídica, dando como resultado el incumplimiento voluntario y aumentando la resistencia o demora en los pagos de los tributos. </w:t>
      </w:r>
    </w:p>
    <w:p w14:paraId="1FA8FEB1" w14:textId="77777777" w:rsidR="00794091" w:rsidRDefault="0034618A" w:rsidP="008C471E">
      <w:pPr>
        <w:pStyle w:val="PrrAPA"/>
        <w:rPr>
          <w:shd w:val="clear" w:color="auto" w:fill="FFFFFF"/>
        </w:rPr>
      </w:pPr>
      <w:r w:rsidRPr="006177E4">
        <w:rPr>
          <w:shd w:val="clear" w:color="auto" w:fill="FFFFFF"/>
        </w:rPr>
        <w:t xml:space="preserve">Diversas causas convergen para generar ineficacia en las declaraciones de retención en la fuente, lo cual tiene consecuencias directas no solo en los agentes retenedores, sino también en la administración tributaria. Por consiguiente, cuando se genera una ineficacia directa en una declaración de retención en la fuente, trae consigo que el agente retenedor deba liquidar sanciones, </w:t>
      </w:r>
      <w:r w:rsidRPr="006177E4">
        <w:rPr>
          <w:shd w:val="clear" w:color="auto" w:fill="FFFFFF"/>
        </w:rPr>
        <w:lastRenderedPageBreak/>
        <w:t>intereses moratorios, volver a presentar la declaración y conlleva a que la administración de impuestos lo toma como título ejecutivo de cobro</w:t>
      </w:r>
      <w:r w:rsidR="00794091">
        <w:rPr>
          <w:shd w:val="clear" w:color="auto" w:fill="FFFFFF"/>
        </w:rPr>
        <w:t>.</w:t>
      </w:r>
    </w:p>
    <w:p w14:paraId="6ED47D1C" w14:textId="3F192F86" w:rsidR="00794091" w:rsidRDefault="0034618A" w:rsidP="008C471E">
      <w:pPr>
        <w:pStyle w:val="PrrAPA"/>
        <w:rPr>
          <w:shd w:val="clear" w:color="auto" w:fill="FFFFFF"/>
        </w:rPr>
      </w:pPr>
      <w:r w:rsidRPr="006177E4">
        <w:rPr>
          <w:shd w:val="clear" w:color="auto" w:fill="FFFFFF"/>
        </w:rPr>
        <w:t xml:space="preserve">La manifestación de otras consecuencias de esta problemática es la generación de procesos sustanciales y coactivos de cobro que puede adelantar la administración tributaria, para </w:t>
      </w:r>
      <w:sdt>
        <w:sdtPr>
          <w:rPr>
            <w:color w:val="000000"/>
            <w:shd w:val="clear" w:color="auto" w:fill="FFFFFF"/>
          </w:rPr>
          <w:tag w:val="MENDELEY_CITATION_v3_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"/>
          <w:id w:val="-1222675953"/>
          <w:placeholder>
            <w:docPart w:val="DefaultPlaceholder_-1854013440"/>
          </w:placeholder>
        </w:sdtPr>
        <w:sdtEndPr/>
        <w:sdtContent>
          <w:r w:rsidR="009A1775" w:rsidRPr="006177E4">
            <w:rPr>
              <w:color w:val="000000"/>
              <w:shd w:val="clear" w:color="auto" w:fill="FFFFFF"/>
            </w:rPr>
            <w:t>Saldarriaga Ramírez (2024)</w:t>
          </w:r>
        </w:sdtContent>
      </w:sdt>
      <w:r w:rsidRPr="006177E4">
        <w:rPr>
          <w:shd w:val="clear" w:color="auto" w:fill="FFFFFF"/>
        </w:rPr>
        <w:t xml:space="preserve"> </w:t>
      </w:r>
      <w:r w:rsidRPr="006177E4">
        <w:t xml:space="preserve">a partir de la promulgación de la </w:t>
      </w:r>
      <w:sdt>
        <w:sdtPr>
          <w:rPr>
            <w:color w:val="000000"/>
          </w:rPr>
          <w:tag w:val="MENDELEY_CITATION_v3_eyJjaXRhdGlvbklEIjoiTUVOREVMRVlfQ0lUQVRJT05fZDBkMDEyZTctM2Y5Ny00YWFkLWJhYTAtZWQwNTI0ZTNkYjg3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
          <w:id w:val="-1702079993"/>
          <w:placeholder>
            <w:docPart w:val="DefaultPlaceholder_-1854013440"/>
          </w:placeholder>
        </w:sdtPr>
        <w:sdtEndPr/>
        <w:sdtContent>
          <w:r w:rsidR="009A1775" w:rsidRPr="006177E4">
            <w:rPr>
              <w:color w:val="000000"/>
            </w:rPr>
            <w:t>Ley 1943</w:t>
          </w:r>
          <w:r w:rsidR="00EB5F68">
            <w:rPr>
              <w:color w:val="000000"/>
            </w:rPr>
            <w:t xml:space="preserve"> (</w:t>
          </w:r>
          <w:r w:rsidR="009A1775" w:rsidRPr="006177E4">
            <w:rPr>
              <w:color w:val="000000"/>
            </w:rPr>
            <w:t>2018)</w:t>
          </w:r>
        </w:sdtContent>
      </w:sdt>
      <w:r w:rsidRPr="006177E4">
        <w:t xml:space="preserve">, las obligaciones por </w:t>
      </w:r>
      <w:r w:rsidR="00794091" w:rsidRPr="006177E4">
        <w:t>ineficacia</w:t>
      </w:r>
      <w:r w:rsidRPr="006177E4">
        <w:t xml:space="preserve"> son susceptibles de iniciar la acción de cobro por parte de la división de cobranzas de la administración de impuestos. </w:t>
      </w:r>
    </w:p>
    <w:p w14:paraId="161D9F0C" w14:textId="77777777" w:rsidR="00794091" w:rsidRDefault="0034618A" w:rsidP="008C471E">
      <w:pPr>
        <w:pStyle w:val="PrrAPA"/>
        <w:rPr>
          <w:shd w:val="clear" w:color="auto" w:fill="FFFFFF"/>
        </w:rPr>
      </w:pPr>
      <w:r w:rsidRPr="006177E4">
        <w:rPr>
          <w:lang w:val="es-ES"/>
        </w:rPr>
        <w:t>Según datos de la DIAN (2022), las declaraciones ineficaces generaron procesos coactivos equivalentes al 15% del recaudo fiscal total esperado en ciudades como Ibagué. Dando también como resultado que las sanciones por ineficacia alcancen un promedio del 10 % del valor declarado, lo que aumenta la resistencia al cumplimiento en esta seccional.</w:t>
      </w:r>
    </w:p>
    <w:p w14:paraId="694B1F15" w14:textId="43CD257D" w:rsidR="00794091" w:rsidRDefault="0034618A" w:rsidP="008C471E">
      <w:pPr>
        <w:pStyle w:val="PrrAPA"/>
        <w:rPr>
          <w:shd w:val="clear" w:color="auto" w:fill="FFFFFF"/>
        </w:rPr>
      </w:pPr>
      <w:r w:rsidRPr="006177E4">
        <w:t xml:space="preserve">En otro contexto, cuando se habla de ineficacia es fundamental traer el surgimiento de las sanciones penales, que según </w:t>
      </w:r>
      <w:sdt>
        <w:sdtPr>
          <w:rPr>
            <w:color w:val="000000"/>
          </w:rPr>
          <w:tag w:val="MENDELEY_CITATION_v3_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"/>
          <w:id w:val="-1392881320"/>
          <w:placeholder>
            <w:docPart w:val="7FB2DDD2F1164D6E8EC8BE2AD7C480B8"/>
          </w:placeholder>
        </w:sdtPr>
        <w:sdtEndPr/>
        <w:sdtContent>
          <w:r w:rsidR="009A1775" w:rsidRPr="006177E4">
            <w:rPr>
              <w:color w:val="000000"/>
            </w:rPr>
            <w:t>Rincón (2018)</w:t>
          </w:r>
        </w:sdtContent>
      </w:sdt>
      <w:r w:rsidRPr="006177E4">
        <w:t xml:space="preserve"> dan origen desde “el Artículo 10 de la </w:t>
      </w:r>
      <w:sdt>
        <w:sdtPr>
          <w:rPr>
            <w:color w:val="000000"/>
          </w:rPr>
          <w:tag w:val="MENDELEY_CITATION_v3_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"/>
          <w:id w:val="399556748"/>
          <w:placeholder>
            <w:docPart w:val="DefaultPlaceholder_-1854013440"/>
          </w:placeholder>
        </w:sdtPr>
        <w:sdtEndPr/>
        <w:sdtContent>
          <w:r w:rsidR="009A1775" w:rsidRPr="006177E4">
            <w:rPr>
              <w:color w:val="000000"/>
            </w:rPr>
            <w:t>(Ley 38, 1969)</w:t>
          </w:r>
        </w:sdtContent>
      </w:sdt>
      <w:r w:rsidRPr="006177E4">
        <w:t xml:space="preserve"> estableció que aquellos agentes de retención que no consignaran las sumas retenidas estarían sometidos a las mismas sanciones previstas en la ley penal”, finalmente   el artículo 402 del código penal </w:t>
      </w:r>
      <w:sdt>
        <w:sdtPr>
          <w:rPr>
            <w:color w:val="000000"/>
          </w:rPr>
          <w:tag w:val="MENDELEY_CITATION_v3_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DU5OV8yMDAwLmh0bWwiLCJpc3N1ZWQiOnsiZGF0ZS1wYXJ0cyI6W1syMDAwLDcsMjRdXX0sImNvbnRhaW5lci10aXRsZS1zaG9ydCI6IiJ9LCJpc1RlbXBvcmFyeSI6ZmFsc2V9XX0="/>
          <w:id w:val="1762266102"/>
          <w:placeholder>
            <w:docPart w:val="DefaultPlaceholder_-1854013440"/>
          </w:placeholder>
        </w:sdtPr>
        <w:sdtEndPr/>
        <w:sdtContent>
          <w:r w:rsidR="009A1775" w:rsidRPr="006177E4">
            <w:rPr>
              <w:color w:val="000000"/>
            </w:rPr>
            <w:t>Ley 599</w:t>
          </w:r>
          <w:r w:rsidR="00794091">
            <w:rPr>
              <w:color w:val="000000"/>
            </w:rPr>
            <w:t xml:space="preserve"> (</w:t>
          </w:r>
          <w:r w:rsidR="009A1775" w:rsidRPr="006177E4">
            <w:rPr>
              <w:color w:val="000000"/>
            </w:rPr>
            <w:t>2000)</w:t>
          </w:r>
        </w:sdtContent>
      </w:sdt>
      <w:r w:rsidR="00794091">
        <w:rPr>
          <w:color w:val="000000"/>
        </w:rPr>
        <w:t xml:space="preserve"> </w:t>
      </w:r>
      <w:r w:rsidRPr="006177E4">
        <w:t>manifiesta que las sanciones a los agentes retenedores que no consignen los dineros retenidos al Estado dentro de los plazos legales establecidos, podrán incurrir  en prisión de 48 a 108 meses, esto siempre  y cuando se surta el debido procesos, Al validar el incumplimiento formal de realizar el pago total de las declaraciones de retención en la fuente, contribuye significativamente a la reducción del recaudo efectivo para el Estado. Esta situación se agrava al incentivar el aumento de la evasión, donde los agentes retenedores podrían optar por no corregir sus declaraciones ineficaces o, en el peor de los casos, omitir la declaración y el pago por completo. Paralelamente, la persistencia de ineficacias puede reflejar o incluso fomentar un aumento en la informalidad económica, dificultando el control y la recaudación por parte de la administración tributaria. En última instancia, esta disminución en los ingresos fiscales puede traducirse en la necesidad de implementar recortes al gasto público, afectando la capacidad del Estado para financiar programas y servicios esenciales para la sociedad.</w:t>
      </w:r>
    </w:p>
    <w:p w14:paraId="4579AF8A" w14:textId="77777777" w:rsidR="00794091" w:rsidRDefault="0034618A" w:rsidP="008C471E">
      <w:pPr>
        <w:pStyle w:val="PrrAPA"/>
        <w:rPr>
          <w:shd w:val="clear" w:color="auto" w:fill="FFFFFF"/>
        </w:rPr>
      </w:pPr>
      <w:r w:rsidRPr="006177E4">
        <w:rPr>
          <w:lang w:val="es-ES"/>
        </w:rPr>
        <w:t xml:space="preserve">Según cifras del Ministerio de Hacienda (2023), las pérdidas </w:t>
      </w:r>
      <w:r w:rsidRPr="006177E4">
        <w:rPr>
          <w:color w:val="000000" w:themeColor="text1"/>
          <w:lang w:val="es-ES"/>
        </w:rPr>
        <w:t>fiscales atribuidas a declaraciones ineficaces ascendieron a $2.5 billones de pesos anuales a nivel nacional. En ciudades como Ibagué, la informalidad económica creció un 20% entre 2014 y 2023, en parte debido a la falta de incentivos para el cumplimiento del tributario.</w:t>
      </w:r>
      <w:r w:rsidR="00794091">
        <w:rPr>
          <w:shd w:val="clear" w:color="auto" w:fill="FFFFFF"/>
        </w:rPr>
        <w:t xml:space="preserve"> </w:t>
      </w:r>
    </w:p>
    <w:p w14:paraId="3A8EB486" w14:textId="09B6A197" w:rsidR="00794091" w:rsidRDefault="0034618A" w:rsidP="008C471E">
      <w:pPr>
        <w:pStyle w:val="PrrAPA"/>
        <w:rPr>
          <w:shd w:val="clear" w:color="auto" w:fill="FFFFFF"/>
        </w:rPr>
      </w:pPr>
      <w:r w:rsidRPr="006177E4">
        <w:rPr>
          <w:lang w:val="es-ES"/>
        </w:rPr>
        <w:lastRenderedPageBreak/>
        <w:t>Para</w:t>
      </w:r>
      <w:r w:rsidR="0083729A" w:rsidRPr="006177E4">
        <w:rPr>
          <w:lang w:val="es-ES"/>
        </w:rPr>
        <w:t xml:space="preserve">   </w:t>
      </w:r>
      <w:sdt>
        <w:sdtPr>
          <w:rPr>
            <w:color w:val="000000"/>
            <w:lang w:val="es-ES"/>
          </w:rPr>
          <w:tag w:val="MENDELEY_CITATION_v3_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"/>
          <w:id w:val="751785285"/>
          <w:placeholder>
            <w:docPart w:val="DefaultPlaceholder_-1854013440"/>
          </w:placeholder>
        </w:sdtPr>
        <w:sdtEndPr/>
        <w:sdtContent>
          <w:r w:rsidR="009A1775" w:rsidRPr="006177E4">
            <w:rPr>
              <w:color w:val="000000"/>
              <w:lang w:val="es-ES"/>
            </w:rPr>
            <w:t>Piza (2020)</w:t>
          </w:r>
        </w:sdtContent>
      </w:sdt>
      <w:r w:rsidR="009D4452" w:rsidRPr="006177E4">
        <w:rPr>
          <w:lang w:val="es-ES"/>
        </w:rPr>
        <w:t xml:space="preserve"> se </w:t>
      </w:r>
      <w:r w:rsidR="005243E9" w:rsidRPr="006177E4">
        <w:rPr>
          <w:lang w:val="es-ES"/>
        </w:rPr>
        <w:t>puede mejorar</w:t>
      </w:r>
      <w:r w:rsidRPr="006177E4">
        <w:rPr>
          <w:lang w:val="es-ES"/>
        </w:rPr>
        <w:t xml:space="preserve"> la eficiencia del mecanismo de contribución y reducir la ineficacia de las declaraciones de retención en la fuente</w:t>
      </w:r>
      <w:r w:rsidR="00451BFB" w:rsidRPr="006177E4">
        <w:rPr>
          <w:lang w:val="es-ES"/>
        </w:rPr>
        <w:t>,</w:t>
      </w:r>
      <w:r w:rsidRPr="006177E4">
        <w:rPr>
          <w:lang w:val="es-ES"/>
        </w:rPr>
        <w:t xml:space="preserve"> es fundamental implementar estrategias que integren tanto aspectos educativos, culturales y tecnológicos.</w:t>
      </w:r>
    </w:p>
    <w:p w14:paraId="62B40971" w14:textId="77777777" w:rsidR="00794091" w:rsidRDefault="0034618A" w:rsidP="008C471E">
      <w:pPr>
        <w:pStyle w:val="PrrAPA"/>
        <w:rPr>
          <w:shd w:val="clear" w:color="auto" w:fill="FFFFFF"/>
        </w:rPr>
      </w:pPr>
      <w:r w:rsidRPr="006177E4">
        <w:rPr>
          <w:lang w:val="es-ES"/>
        </w:rPr>
        <w:t xml:space="preserve">Dentro de los aspectos educativos cabe resaltar que es importante fomentar el conocimiento y la importancia de la tributación desde las aulas de clase, especialmente desde los colegios y universidades y a si de esta forma promover una cultura tributaria para el cumplimiento voluntario y la responsabilidad ciudadana. </w:t>
      </w:r>
    </w:p>
    <w:p w14:paraId="651996A5" w14:textId="77777777" w:rsidR="00794091" w:rsidRDefault="0034618A" w:rsidP="008C471E">
      <w:pPr>
        <w:pStyle w:val="PrrAPA"/>
        <w:rPr>
          <w:shd w:val="clear" w:color="auto" w:fill="FFFFFF"/>
        </w:rPr>
      </w:pPr>
      <w:r w:rsidRPr="006177E4">
        <w:rPr>
          <w:lang w:val="es-ES"/>
        </w:rPr>
        <w:t xml:space="preserve">En cuanto a los aspectos culturales, la formalización de empresas, especialmente pequeñas y medianas, mediante apoyos en capacitaciones en responsabilidades y formación tributaria a los que conforman este nicho. </w:t>
      </w:r>
    </w:p>
    <w:p w14:paraId="3DCE2215" w14:textId="77777777" w:rsidR="00794091" w:rsidRDefault="0034618A" w:rsidP="008C471E">
      <w:pPr>
        <w:pStyle w:val="PrrAPA"/>
        <w:rPr>
          <w:shd w:val="clear" w:color="auto" w:fill="FFFFFF"/>
        </w:rPr>
      </w:pPr>
      <w:r w:rsidRPr="006177E4">
        <w:rPr>
          <w:lang w:val="es-ES"/>
        </w:rPr>
        <w:t>En lo que refriere a la implementación de herramientas tecnológicas</w:t>
      </w:r>
      <w:r w:rsidR="00DD6821" w:rsidRPr="006177E4">
        <w:rPr>
          <w:lang w:val="es-ES"/>
        </w:rPr>
        <w:t xml:space="preserve"> </w:t>
      </w:r>
      <w:sdt>
        <w:sdtPr>
          <w:rPr>
            <w:color w:val="000000"/>
            <w:lang w:val="es-ES"/>
          </w:rPr>
          <w:tag w:val="MENDELEY_CITATION_v3_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"/>
          <w:id w:val="259418340"/>
          <w:placeholder>
            <w:docPart w:val="DefaultPlaceholder_-1854013440"/>
          </w:placeholder>
        </w:sdtPr>
        <w:sdtEndPr/>
        <w:sdtContent>
          <w:r w:rsidR="009A1775" w:rsidRPr="006177E4">
            <w:rPr>
              <w:color w:val="000000"/>
              <w:lang w:val="es-ES"/>
            </w:rPr>
            <w:t>Rincón (2018)</w:t>
          </w:r>
        </w:sdtContent>
      </w:sdt>
      <w:r w:rsidR="00DD6821" w:rsidRPr="006177E4">
        <w:rPr>
          <w:lang w:val="es-ES"/>
        </w:rPr>
        <w:t xml:space="preserve"> </w:t>
      </w:r>
      <w:r w:rsidRPr="006177E4">
        <w:rPr>
          <w:lang w:val="es-ES"/>
        </w:rPr>
        <w:t xml:space="preserve">propone el uso de inteligencia artificial y plataformas digitales para reducir errores en la presentación de declaraciones de retención en la fuente y mejorar el cumplimiento. De otra parte, al facilitar el acceso a la información y a los tramites en línea, simplificando los procesos y reduciendo la percepción que tienen los contribuyentes, de complejidad del proceso, todo esto permite un contacto más cercano y eficiente con los ciudadanos y también entrelaza el cumplimiento voluntario de los tributos. </w:t>
      </w:r>
    </w:p>
    <w:p w14:paraId="6F49AEC2" w14:textId="77777777" w:rsidR="00794091" w:rsidRDefault="0034618A" w:rsidP="008C471E">
      <w:pPr>
        <w:pStyle w:val="PrrAPA"/>
      </w:pPr>
      <w:r w:rsidRPr="006177E4">
        <w:rPr>
          <w:lang w:val="es-ES"/>
        </w:rPr>
        <w:t xml:space="preserve">Por último, al </w:t>
      </w:r>
      <w:r w:rsidRPr="006177E4">
        <w:t xml:space="preserve">establecer medidas normativas que faciliten la normalización del cumplimiento, tal como lo hizo la </w:t>
      </w:r>
      <w:sdt>
        <w:sdtPr>
          <w:rPr>
            <w:color w:val="000000"/>
          </w:rPr>
          <w:tag w:val="MENDELEY_CITATION_v3_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"/>
          <w:id w:val="843900580"/>
          <w:placeholder>
            <w:docPart w:val="DefaultPlaceholder_-1854013440"/>
          </w:placeholder>
        </w:sdtPr>
        <w:sdtEndPr/>
        <w:sdtContent>
          <w:r w:rsidR="009A1775" w:rsidRPr="006177E4">
            <w:rPr>
              <w:color w:val="000000"/>
            </w:rPr>
            <w:t xml:space="preserve">Ley 2155 </w:t>
          </w:r>
          <w:r w:rsidR="00794091">
            <w:rPr>
              <w:color w:val="000000"/>
            </w:rPr>
            <w:t>(</w:t>
          </w:r>
          <w:r w:rsidR="009A1775" w:rsidRPr="006177E4">
            <w:rPr>
              <w:color w:val="000000"/>
            </w:rPr>
            <w:t>2021)</w:t>
          </w:r>
        </w:sdtContent>
      </w:sdt>
      <w:r w:rsidRPr="006177E4">
        <w:t xml:space="preserve"> con la reducción temporal de sanciones e intereses para obligaciones vencidas, y la </w:t>
      </w:r>
      <w:sdt>
        <w:sdtPr>
          <w:rPr>
            <w:color w:val="000000"/>
          </w:rPr>
          <w:tag w:val="MENDELEY_CITATION_v3_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jI3N18yMDIyLmh0bWwiLCJpc3N1ZWQiOnsiZGF0ZS1wYXJ0cyI6W1syMDIyXV19LCJjb250YWluZXItdGl0bGUtc2hvcnQiOiIifSwiaXNUZW1wb3JhcnkiOmZhbHNlfV19"/>
          <w:id w:val="1186023978"/>
          <w:placeholder>
            <w:docPart w:val="DefaultPlaceholder_-1854013440"/>
          </w:placeholder>
        </w:sdtPr>
        <w:sdtEndPr/>
        <w:sdtContent>
          <w:r w:rsidR="009A1775" w:rsidRPr="006177E4">
            <w:rPr>
              <w:color w:val="000000"/>
            </w:rPr>
            <w:t xml:space="preserve">Ley 2277 </w:t>
          </w:r>
          <w:r w:rsidR="00794091">
            <w:rPr>
              <w:color w:val="000000"/>
            </w:rPr>
            <w:t>(</w:t>
          </w:r>
          <w:r w:rsidR="009A1775" w:rsidRPr="006177E4">
            <w:rPr>
              <w:color w:val="000000"/>
            </w:rPr>
            <w:t>2022)</w:t>
          </w:r>
        </w:sdtContent>
      </w:sdt>
      <w:r w:rsidRPr="006177E4">
        <w:t xml:space="preserve"> que permitió subsanar declaraciones ineficaces por montos menores a 10 UVT mediante el pago total más intereses. Estos beneficios generaron un incremento en el recaudo efectivo, además, estas acciones, sumadas a la aplicación de principios sancionatorios favorables, buscan incentivar el pago voluntario, reducir la evasión y mitigar el impacto fiscal de la ineficacia</w:t>
      </w:r>
      <w:r w:rsidR="00794091">
        <w:t>.</w:t>
      </w:r>
    </w:p>
    <w:p w14:paraId="6909BC7F" w14:textId="3196550D" w:rsidR="0034618A" w:rsidRDefault="0034618A" w:rsidP="008C471E">
      <w:pPr>
        <w:pStyle w:val="PrrAPA"/>
      </w:pPr>
      <w:r w:rsidRPr="006177E4">
        <w:t xml:space="preserve">Dado lo expuesto anteriormente, el permitir los pagos parciales de las declaraciones después de los dos meses, sin que esto obligue a que los contribuyentes tengan que volver a presentar todo de nuevo, tanto la declaración cono la liquidación de la sanción y los intereses, también genera una mejor solución al problema. </w:t>
      </w:r>
    </w:p>
    <w:p w14:paraId="4EA7C156" w14:textId="77777777" w:rsidR="00794091" w:rsidRPr="00794091" w:rsidRDefault="00794091" w:rsidP="008C471E">
      <w:pPr>
        <w:pStyle w:val="PrrAPA"/>
        <w:rPr>
          <w:shd w:val="clear" w:color="auto" w:fill="FFFFFF"/>
        </w:rPr>
      </w:pPr>
    </w:p>
    <w:p w14:paraId="7798B3C8" w14:textId="6A891196" w:rsidR="000E154D" w:rsidRPr="00794091" w:rsidRDefault="000E154D" w:rsidP="00263B16">
      <w:pPr>
        <w:pStyle w:val="Ttulo2"/>
      </w:pPr>
      <w:bookmarkStart w:id="38" w:name="_Toc203668321"/>
      <w:bookmarkStart w:id="39" w:name="_Toc228250769"/>
      <w:bookmarkStart w:id="40" w:name="_Toc229077636"/>
      <w:r w:rsidRPr="00794091">
        <w:lastRenderedPageBreak/>
        <w:t>Formulación de la pregunta problema</w:t>
      </w:r>
      <w:bookmarkEnd w:id="38"/>
      <w:bookmarkEnd w:id="39"/>
      <w:bookmarkEnd w:id="40"/>
    </w:p>
    <w:p w14:paraId="08CA3FCF" w14:textId="5E233FD9" w:rsidR="000E154D" w:rsidRPr="00794091" w:rsidRDefault="000E154D" w:rsidP="008C471E">
      <w:pPr>
        <w:pStyle w:val="PrrAPA"/>
        <w:rPr>
          <w:u w:color="000000"/>
          <w:lang w:val="es-ES_tradnl"/>
        </w:rPr>
      </w:pPr>
      <w:r w:rsidRPr="006177E4">
        <w:rPr>
          <w:u w:color="000000"/>
          <w:lang w:val="es-ES_tradnl"/>
        </w:rPr>
        <w:t>Por lo anteriormente descrito y ante la problemática sobre la ineficacia de las declaraciones de retención en la fuente, se presenta a continuación la pregunta:</w:t>
      </w:r>
      <w:r w:rsidR="00794091">
        <w:rPr>
          <w:u w:color="000000"/>
          <w:lang w:val="es-ES_tradnl"/>
        </w:rPr>
        <w:t xml:space="preserve"> </w:t>
      </w:r>
      <w:r w:rsidRPr="006177E4">
        <w:rPr>
          <w:lang w:val="es-ES"/>
        </w:rPr>
        <w:t>¿Cuáles son las problemáticas asociadas a la consagración de la ineficacia de las declaraciones de retención en la fuente en renta, de los contribuyentes de la administración de impuestos de Ibagué, durante el período 2014 al 2024?</w:t>
      </w:r>
    </w:p>
    <w:p w14:paraId="5BEB53AC" w14:textId="5BDA83AA" w:rsidR="00EB7049" w:rsidRPr="006177E4" w:rsidRDefault="00EB7049" w:rsidP="00263B16">
      <w:pPr>
        <w:spacing w:line="480" w:lineRule="auto"/>
        <w:rPr>
          <w:rFonts w:cs="Times New Roman"/>
          <w:szCs w:val="24"/>
          <w:lang w:val="es-ES"/>
        </w:rPr>
      </w:pPr>
      <w:bookmarkStart w:id="41" w:name="_Toc440985128"/>
    </w:p>
    <w:p w14:paraId="68F9EBDE" w14:textId="56DA9F0E" w:rsidR="00A1711A" w:rsidRPr="006177E4" w:rsidRDefault="00A1711A" w:rsidP="00263B16">
      <w:pPr>
        <w:spacing w:line="480" w:lineRule="auto"/>
        <w:rPr>
          <w:rFonts w:cs="Times New Roman"/>
          <w:szCs w:val="24"/>
          <w:lang w:val="es-ES"/>
        </w:rPr>
      </w:pPr>
    </w:p>
    <w:p w14:paraId="1C14BC26" w14:textId="6282AC09" w:rsidR="00A1711A" w:rsidRPr="006177E4" w:rsidRDefault="00A1711A" w:rsidP="00263B16">
      <w:pPr>
        <w:spacing w:line="480" w:lineRule="auto"/>
        <w:rPr>
          <w:rFonts w:cs="Times New Roman"/>
          <w:szCs w:val="24"/>
          <w:lang w:val="es-ES"/>
        </w:rPr>
      </w:pPr>
    </w:p>
    <w:p w14:paraId="4A0EB1E1" w14:textId="30CAF20F" w:rsidR="00A1711A" w:rsidRPr="006177E4" w:rsidRDefault="00A1711A" w:rsidP="00263B16">
      <w:pPr>
        <w:spacing w:line="480" w:lineRule="auto"/>
        <w:rPr>
          <w:rFonts w:cs="Times New Roman"/>
          <w:szCs w:val="24"/>
          <w:lang w:val="es-ES"/>
        </w:rPr>
      </w:pPr>
    </w:p>
    <w:p w14:paraId="74B503CF" w14:textId="5F601EA6" w:rsidR="00A1711A" w:rsidRPr="006177E4" w:rsidRDefault="00A1711A" w:rsidP="00263B16">
      <w:pPr>
        <w:spacing w:line="480" w:lineRule="auto"/>
        <w:rPr>
          <w:rFonts w:cs="Times New Roman"/>
          <w:szCs w:val="24"/>
          <w:lang w:val="es-ES"/>
        </w:rPr>
      </w:pPr>
    </w:p>
    <w:p w14:paraId="0584A94A" w14:textId="4D5F2D56" w:rsidR="00A1711A" w:rsidRPr="006177E4" w:rsidRDefault="00A1711A" w:rsidP="00263B16">
      <w:pPr>
        <w:spacing w:line="480" w:lineRule="auto"/>
        <w:rPr>
          <w:rFonts w:cs="Times New Roman"/>
          <w:szCs w:val="24"/>
          <w:lang w:val="es-ES"/>
        </w:rPr>
      </w:pPr>
    </w:p>
    <w:p w14:paraId="575B1196" w14:textId="5BBE7D0F" w:rsidR="00A1711A" w:rsidRPr="006177E4" w:rsidRDefault="00A1711A" w:rsidP="00263B16">
      <w:pPr>
        <w:spacing w:line="480" w:lineRule="auto"/>
        <w:rPr>
          <w:rFonts w:cs="Times New Roman"/>
          <w:szCs w:val="24"/>
          <w:lang w:val="es-ES"/>
        </w:rPr>
      </w:pPr>
    </w:p>
    <w:p w14:paraId="44AA3E5B" w14:textId="77777777" w:rsidR="008C471E" w:rsidRDefault="008C471E">
      <w:pPr>
        <w:spacing w:after="160" w:line="259" w:lineRule="auto"/>
        <w:jc w:val="left"/>
        <w:rPr>
          <w:rFonts w:eastAsiaTheme="majorEastAsia" w:cstheme="majorBidi"/>
          <w:b/>
          <w:szCs w:val="32"/>
        </w:rPr>
      </w:pPr>
      <w:bookmarkStart w:id="42" w:name="_Toc228250770"/>
      <w:bookmarkStart w:id="43" w:name="_Toc229077637"/>
      <w:bookmarkEnd w:id="41"/>
      <w:r>
        <w:br w:type="page"/>
      </w:r>
    </w:p>
    <w:p w14:paraId="60D04780" w14:textId="28AE601F" w:rsidR="00115036" w:rsidRPr="006177E4" w:rsidRDefault="00DB4EA5" w:rsidP="00263B16">
      <w:pPr>
        <w:pStyle w:val="Ttulo1"/>
      </w:pPr>
      <w:r w:rsidRPr="006177E4">
        <w:lastRenderedPageBreak/>
        <w:t>Justificación</w:t>
      </w:r>
      <w:bookmarkEnd w:id="42"/>
      <w:bookmarkEnd w:id="43"/>
    </w:p>
    <w:p w14:paraId="4E3F07C3" w14:textId="323FE8EE" w:rsidR="00851BA7" w:rsidRPr="006177E4" w:rsidRDefault="004B46B5" w:rsidP="008C471E">
      <w:pPr>
        <w:pStyle w:val="PrrAPA"/>
      </w:pPr>
      <w:r w:rsidRPr="006177E4">
        <w:t xml:space="preserve">El estudio de las declaraciones de retención en la fuente ineficaces es un tema de gran relevancia en el ámbito tributario nacional. La problemática central aborda la situación en la que, a pesar de la presentación formal, el incumplimiento del pago </w:t>
      </w:r>
      <w:r w:rsidR="0004007D" w:rsidRPr="006177E4">
        <w:t>total</w:t>
      </w:r>
      <w:r w:rsidRPr="006177E4">
        <w:t xml:space="preserve"> anula sus efectos jurídicos</w:t>
      </w:r>
      <w:r w:rsidR="009540D1" w:rsidRPr="006177E4">
        <w:t xml:space="preserve"> </w:t>
      </w:r>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2008892593"/>
          <w:placeholder>
            <w:docPart w:val="A0D681AEAA854FCD99476F7D2A22EC84"/>
          </w:placeholder>
        </w:sdtPr>
        <w:sdtEndPr/>
        <w:sdtContent>
          <w:r w:rsidR="00EA5A29" w:rsidRPr="00465317">
            <w:t>Decreto 624 (1989</w:t>
          </w:r>
          <w:r w:rsidR="00EA5A29" w:rsidRPr="006177E4">
            <w:rPr>
              <w:color w:val="000000"/>
            </w:rPr>
            <w:t>)</w:t>
          </w:r>
        </w:sdtContent>
      </w:sdt>
      <w:r w:rsidR="00EA5A29" w:rsidRPr="006177E4">
        <w:t xml:space="preserve"> </w:t>
      </w:r>
      <w:r w:rsidRPr="006177E4">
        <w:t xml:space="preserve">generando una incertidumbre jurídica para el contribuyente y </w:t>
      </w:r>
      <w:r w:rsidR="00851BA7" w:rsidRPr="006177E4">
        <w:t>el desfinanciamiento del estado</w:t>
      </w:r>
      <w:r w:rsidRPr="006177E4">
        <w:t xml:space="preserve">. </w:t>
      </w:r>
    </w:p>
    <w:p w14:paraId="302498F3" w14:textId="77777777" w:rsidR="00794091" w:rsidRDefault="00365808" w:rsidP="008C471E">
      <w:pPr>
        <w:pStyle w:val="PrrAPA"/>
      </w:pPr>
      <w:r w:rsidRPr="006177E4">
        <w:t xml:space="preserve">Por consiguiente, se estudian las causas y efectos de la ineficacia de dichas declaraciones, y los riesgos tanto para el agente retenedor como para el Estado, considerando </w:t>
      </w:r>
      <w:r w:rsidR="00656F98" w:rsidRPr="006177E4">
        <w:t>que,</w:t>
      </w:r>
      <w:r w:rsidRPr="006177E4">
        <w:t xml:space="preserve"> si</w:t>
      </w:r>
      <w:r w:rsidR="004B46B5" w:rsidRPr="006177E4">
        <w:t xml:space="preserve"> bien la retención es un mecanismo de recaudo anticipad</w:t>
      </w:r>
      <w:r w:rsidR="00656F98" w:rsidRPr="006177E4">
        <w:t>o,</w:t>
      </w:r>
      <w:r w:rsidR="004B46B5" w:rsidRPr="006177E4">
        <w:t xml:space="preserve"> su ineficacia </w:t>
      </w:r>
      <w:r w:rsidR="00656F98" w:rsidRPr="006177E4">
        <w:t xml:space="preserve">afecta el fin mismo del recaudo y puede considerarse que va en contra de los </w:t>
      </w:r>
      <w:r w:rsidR="004B46B5" w:rsidRPr="006177E4">
        <w:t>principios constitucionales de justicia y equidad tributaria</w:t>
      </w:r>
      <w:r w:rsidR="00C31C00" w:rsidRPr="006177E4">
        <w:t>.</w:t>
      </w:r>
    </w:p>
    <w:p w14:paraId="6E27A6CF" w14:textId="77777777" w:rsidR="00794091" w:rsidRDefault="00C31C00" w:rsidP="008C471E">
      <w:pPr>
        <w:pStyle w:val="PrrAPA"/>
      </w:pPr>
      <w:r w:rsidRPr="006177E4">
        <w:t>Adicionalmente, la relevancia de esta investigación se justifica en que la figura de la ineficacia no solo afecta el recaudo, sino genera debates jurídicos y demanda acciones operativas por parte de la administración tributaria. La norma ha dado lugar a discusiones ante el contencioso administrativo, en torno a la seguridad jurídica del agente retenedor y la proporcionalidad de sus efectos. De igual manera, en la administración tributaria se han identificado discrepancias en la articulación entre las áreas de fiscalización, recaudo y cobranzas. Por ello, el estudio de esta figura permite examinar no solo una consecuencia legal del incumplimiento, sino la complejidad de la norma y la gestión del recaudo.</w:t>
      </w:r>
      <w:r w:rsidR="00794091">
        <w:t xml:space="preserve"> </w:t>
      </w:r>
    </w:p>
    <w:p w14:paraId="36986998" w14:textId="44683E37" w:rsidR="00C31C00" w:rsidRPr="006177E4" w:rsidRDefault="00C31C00" w:rsidP="008C471E">
      <w:pPr>
        <w:pStyle w:val="PrrAPA"/>
      </w:pPr>
      <w:r w:rsidRPr="006177E4">
        <w:t>De igual manera, la investigación se justifica por su aporte académico y práctico al análisis de la figura que ha presentado variedad de cambios normativos y que persiste en su consagración y como puede generar efectos adversos en términos de interpretación normativa, regularización del cumplimiento y carga administrativa. En este sentido, la investigación busca aportar elementos de análisis que contribuyan a una comprensión más integral de la ineficacia de las declaraciones de retención en la fuente, tanto desde su dimensión jurídica como desde sus implicaciones fiscales y operativas.</w:t>
      </w:r>
    </w:p>
    <w:p w14:paraId="2FA2F496" w14:textId="198DE1B5" w:rsidR="00A1711A" w:rsidRPr="006177E4" w:rsidRDefault="00A1711A" w:rsidP="008C471E">
      <w:pPr>
        <w:pStyle w:val="PrrAPA"/>
      </w:pPr>
    </w:p>
    <w:p w14:paraId="73188D9B" w14:textId="77777777" w:rsidR="00A1711A" w:rsidRPr="006177E4" w:rsidRDefault="00A1711A" w:rsidP="00263B16">
      <w:pPr>
        <w:spacing w:line="480" w:lineRule="auto"/>
        <w:ind w:firstLine="708"/>
        <w:jc w:val="left"/>
        <w:rPr>
          <w:rFonts w:cs="Times New Roman"/>
          <w:szCs w:val="24"/>
        </w:rPr>
      </w:pPr>
    </w:p>
    <w:p w14:paraId="61117090" w14:textId="4C211BE6" w:rsidR="00711E65" w:rsidRPr="006177E4" w:rsidRDefault="00711E65" w:rsidP="00263B16">
      <w:pPr>
        <w:spacing w:line="480" w:lineRule="auto"/>
        <w:ind w:firstLine="720"/>
        <w:jc w:val="left"/>
        <w:rPr>
          <w:rFonts w:cs="Times New Roman"/>
          <w:szCs w:val="24"/>
        </w:rPr>
      </w:pPr>
    </w:p>
    <w:p w14:paraId="1D2323CA" w14:textId="77777777" w:rsidR="00794091" w:rsidRDefault="00794091" w:rsidP="00263B16">
      <w:pPr>
        <w:spacing w:line="480" w:lineRule="auto"/>
        <w:jc w:val="left"/>
        <w:rPr>
          <w:rFonts w:eastAsiaTheme="majorEastAsia" w:cs="Times New Roman"/>
          <w:b/>
          <w:szCs w:val="24"/>
        </w:rPr>
      </w:pPr>
      <w:bookmarkStart w:id="44" w:name="_Toc228250771"/>
      <w:r>
        <w:rPr>
          <w:rFonts w:cs="Times New Roman"/>
          <w:szCs w:val="24"/>
        </w:rPr>
        <w:br w:type="page"/>
      </w:r>
    </w:p>
    <w:p w14:paraId="5D6E22EC" w14:textId="02374372" w:rsidR="001A5143" w:rsidRPr="006177E4" w:rsidRDefault="005B4DCC" w:rsidP="00263B16">
      <w:pPr>
        <w:pStyle w:val="Ttulo1"/>
      </w:pPr>
      <w:bookmarkStart w:id="45" w:name="_Toc229077638"/>
      <w:r w:rsidRPr="006177E4">
        <w:lastRenderedPageBreak/>
        <w:t>O</w:t>
      </w:r>
      <w:r w:rsidR="00242A53" w:rsidRPr="006177E4">
        <w:t>bjetivos</w:t>
      </w:r>
      <w:bookmarkEnd w:id="44"/>
      <w:bookmarkEnd w:id="45"/>
    </w:p>
    <w:p w14:paraId="33CD1F70" w14:textId="77777777" w:rsidR="00C72AD9" w:rsidRPr="006177E4" w:rsidRDefault="00C72AD9" w:rsidP="00263B16">
      <w:pPr>
        <w:pStyle w:val="Ttulo2"/>
      </w:pPr>
      <w:bookmarkStart w:id="46" w:name="_Toc440985130"/>
      <w:bookmarkStart w:id="47" w:name="_Toc228250772"/>
      <w:bookmarkStart w:id="48" w:name="_Toc229077639"/>
      <w:r w:rsidRPr="006177E4">
        <w:t>Objetivo general</w:t>
      </w:r>
      <w:bookmarkEnd w:id="46"/>
      <w:bookmarkEnd w:id="47"/>
      <w:bookmarkEnd w:id="48"/>
    </w:p>
    <w:p w14:paraId="3B72C888" w14:textId="488514E1" w:rsidR="00C72AD9" w:rsidRDefault="00C72AD9" w:rsidP="008C471E">
      <w:pPr>
        <w:pStyle w:val="PrrAPA"/>
        <w:rPr>
          <w:lang w:val="es-ES"/>
        </w:rPr>
      </w:pPr>
      <w:r w:rsidRPr="006177E4">
        <w:rPr>
          <w:lang w:val="es-ES"/>
        </w:rPr>
        <w:t>Analizar las problemáticas asociadas a la ineficacia de las declaraciones de retención en la fuente en renta, de los contribuyentes de la administración de impuestos de Ibagué, durante el período 2014 al 2024</w:t>
      </w:r>
      <w:r w:rsidR="00794091">
        <w:rPr>
          <w:lang w:val="es-ES"/>
        </w:rPr>
        <w:t>.</w:t>
      </w:r>
    </w:p>
    <w:p w14:paraId="414A9CFD" w14:textId="77777777" w:rsidR="00794091" w:rsidRPr="00794091" w:rsidRDefault="00794091" w:rsidP="00263B16">
      <w:pPr>
        <w:spacing w:line="480" w:lineRule="auto"/>
        <w:ind w:firstLine="720"/>
        <w:jc w:val="left"/>
        <w:rPr>
          <w:rFonts w:cs="Times New Roman"/>
          <w:szCs w:val="24"/>
          <w:lang w:val="es-ES"/>
        </w:rPr>
      </w:pPr>
    </w:p>
    <w:p w14:paraId="3D83EBF0" w14:textId="77777777" w:rsidR="00C72AD9" w:rsidRPr="006177E4" w:rsidRDefault="00C72AD9" w:rsidP="00263B16">
      <w:pPr>
        <w:pStyle w:val="Ttulo2"/>
      </w:pPr>
      <w:bookmarkStart w:id="49" w:name="_Toc440985131"/>
      <w:r w:rsidRPr="006177E4">
        <w:t xml:space="preserve"> </w:t>
      </w:r>
      <w:bookmarkStart w:id="50" w:name="_Toc228250773"/>
      <w:bookmarkStart w:id="51" w:name="_Toc229077640"/>
      <w:r w:rsidRPr="006177E4">
        <w:t>Objetivos específicos</w:t>
      </w:r>
      <w:bookmarkEnd w:id="49"/>
      <w:bookmarkEnd w:id="50"/>
      <w:bookmarkEnd w:id="51"/>
    </w:p>
    <w:p w14:paraId="31AC7957" w14:textId="77777777" w:rsidR="00794091" w:rsidRDefault="00C72AD9" w:rsidP="008C471E">
      <w:pPr>
        <w:pStyle w:val="PrrAPA"/>
        <w:rPr>
          <w:u w:color="000000"/>
          <w:lang w:val="es-ES_tradnl"/>
        </w:rPr>
      </w:pPr>
      <w:r w:rsidRPr="00794091">
        <w:rPr>
          <w:u w:color="000000"/>
        </w:rPr>
        <w:t xml:space="preserve">Identificar las principales causas de la ineficacia de las declaraciones de retención en la fuente en renta presentadas por los contribuyentes objeto de estudio según los alcances legales y procedimentales. </w:t>
      </w:r>
    </w:p>
    <w:p w14:paraId="704C1F90" w14:textId="3363CA8E" w:rsidR="00794091" w:rsidRDefault="00C72AD9" w:rsidP="008C471E">
      <w:pPr>
        <w:pStyle w:val="PrrAPA"/>
        <w:rPr>
          <w:u w:color="000000"/>
          <w:lang w:val="es-ES_tradnl"/>
        </w:rPr>
      </w:pPr>
      <w:r w:rsidRPr="00794091">
        <w:rPr>
          <w:u w:color="000000"/>
        </w:rPr>
        <w:t xml:space="preserve">Evaluar las consecuencias legales, fiscales y operativas de la ineficacia de las declaraciones de retención en la fuente en renta para los contribuyentes </w:t>
      </w:r>
      <w:r w:rsidRPr="00794091">
        <w:rPr>
          <w:lang w:val="es-ES"/>
        </w:rPr>
        <w:t>de la administración de impuestos de Ibagué, durante el período 2014 al 2024</w:t>
      </w:r>
      <w:r w:rsidR="00794091">
        <w:rPr>
          <w:lang w:val="es-ES"/>
        </w:rPr>
        <w:t>.</w:t>
      </w:r>
    </w:p>
    <w:p w14:paraId="52CB3B5A" w14:textId="1C7D99AC" w:rsidR="00C72AD9" w:rsidRPr="00794091" w:rsidRDefault="00DC3219" w:rsidP="008C471E">
      <w:pPr>
        <w:pStyle w:val="PrrAPA"/>
        <w:rPr>
          <w:u w:color="000000"/>
          <w:lang w:val="es-ES_tradnl"/>
        </w:rPr>
      </w:pPr>
      <w:r w:rsidRPr="00DC3219">
        <w:rPr>
          <w:u w:color="000000"/>
        </w:rPr>
        <w:t>Determinar las problemáticas asociadas a la ineficacia de las declaraciones de retención en la fuente en renta, a partir de las causas identificadas y las consecuencias evaluadas en los contribuyentes de la Administración de Impuestos de Ibagué, durante el período 2014 al 2024</w:t>
      </w:r>
      <w:r w:rsidR="00C72AD9" w:rsidRPr="00794091">
        <w:rPr>
          <w:u w:color="000000"/>
        </w:rPr>
        <w:t>.</w:t>
      </w:r>
    </w:p>
    <w:p w14:paraId="59B0C4EF" w14:textId="77777777" w:rsidR="00C72AD9" w:rsidRPr="006177E4" w:rsidRDefault="00C72AD9" w:rsidP="00263B16">
      <w:pPr>
        <w:pStyle w:val="Prrafodelista"/>
        <w:spacing w:line="480" w:lineRule="auto"/>
        <w:ind w:left="360"/>
        <w:jc w:val="left"/>
        <w:rPr>
          <w:rFonts w:cs="Times New Roman"/>
          <w:szCs w:val="24"/>
          <w:u w:color="000000"/>
          <w:lang w:val="es-ES_tradnl"/>
        </w:rPr>
      </w:pPr>
    </w:p>
    <w:p w14:paraId="3BF6CA69" w14:textId="05BFFA03" w:rsidR="00A1711A" w:rsidRPr="006177E4" w:rsidRDefault="00A1711A" w:rsidP="00263B16">
      <w:pPr>
        <w:pStyle w:val="Prrafodelista"/>
        <w:spacing w:line="480" w:lineRule="auto"/>
        <w:ind w:left="708" w:hanging="348"/>
        <w:jc w:val="left"/>
        <w:rPr>
          <w:rFonts w:cs="Times New Roman"/>
          <w:szCs w:val="24"/>
          <w:u w:color="000000"/>
          <w:lang w:val="es-ES_tradnl"/>
        </w:rPr>
      </w:pPr>
    </w:p>
    <w:p w14:paraId="30E6ECBA" w14:textId="77777777" w:rsidR="00A1711A" w:rsidRPr="006177E4" w:rsidRDefault="00A1711A" w:rsidP="00263B16">
      <w:pPr>
        <w:pStyle w:val="Prrafodelista"/>
        <w:spacing w:line="480" w:lineRule="auto"/>
        <w:ind w:left="360"/>
        <w:jc w:val="left"/>
        <w:rPr>
          <w:rFonts w:cs="Times New Roman"/>
          <w:szCs w:val="24"/>
          <w:u w:color="000000"/>
          <w:lang w:val="es-ES_tradnl"/>
        </w:rPr>
      </w:pPr>
    </w:p>
    <w:p w14:paraId="40F65484" w14:textId="77777777" w:rsidR="00794091" w:rsidRDefault="00794091" w:rsidP="00263B16">
      <w:pPr>
        <w:spacing w:line="480" w:lineRule="auto"/>
        <w:jc w:val="left"/>
        <w:rPr>
          <w:rFonts w:eastAsiaTheme="majorEastAsia" w:cs="Times New Roman"/>
          <w:b/>
          <w:szCs w:val="24"/>
          <w:lang w:val="es-419"/>
        </w:rPr>
      </w:pPr>
      <w:bookmarkStart w:id="52" w:name="_Toc228250774"/>
      <w:r>
        <w:rPr>
          <w:rFonts w:cs="Times New Roman"/>
          <w:szCs w:val="24"/>
          <w:lang w:val="es-419"/>
        </w:rPr>
        <w:br w:type="page"/>
      </w:r>
    </w:p>
    <w:p w14:paraId="3B04B4A1" w14:textId="7E26EB3F" w:rsidR="007077F8" w:rsidRPr="00F2307A" w:rsidRDefault="00F2307A" w:rsidP="00263B16">
      <w:pPr>
        <w:pStyle w:val="Ttulo1"/>
      </w:pPr>
      <w:bookmarkStart w:id="53" w:name="_Toc229077641"/>
      <w:bookmarkEnd w:id="52"/>
      <w:r w:rsidRPr="00F2307A">
        <w:lastRenderedPageBreak/>
        <w:t>Marco teórico</w:t>
      </w:r>
      <w:bookmarkEnd w:id="53"/>
      <w:r w:rsidRPr="00F2307A">
        <w:t xml:space="preserve"> </w:t>
      </w:r>
    </w:p>
    <w:p w14:paraId="749CECA1" w14:textId="07E241DB" w:rsidR="007077F8" w:rsidRPr="00F2307A" w:rsidRDefault="00115036" w:rsidP="00263B16">
      <w:pPr>
        <w:pStyle w:val="Ttulo2"/>
      </w:pPr>
      <w:bookmarkStart w:id="54" w:name="_Toc440985137"/>
      <w:bookmarkStart w:id="55" w:name="_Toc228250775"/>
      <w:bookmarkStart w:id="56" w:name="_Toc229077642"/>
      <w:r w:rsidRPr="00F2307A">
        <w:t xml:space="preserve">Marco </w:t>
      </w:r>
      <w:bookmarkEnd w:id="54"/>
      <w:r w:rsidR="007077F8" w:rsidRPr="00F2307A">
        <w:t>Referencial</w:t>
      </w:r>
      <w:bookmarkEnd w:id="55"/>
      <w:bookmarkEnd w:id="56"/>
    </w:p>
    <w:p w14:paraId="198757CE" w14:textId="6D4C353D" w:rsidR="00D2606E" w:rsidRDefault="00D2606E" w:rsidP="008C471E">
      <w:pPr>
        <w:pStyle w:val="PrrAPA"/>
        <w:rPr>
          <w:u w:color="000000"/>
          <w:lang w:val="es-ES_tradnl"/>
        </w:rPr>
      </w:pPr>
      <w:r w:rsidRPr="006177E4">
        <w:rPr>
          <w:u w:color="000000"/>
          <w:lang w:val="es-ES_tradnl"/>
        </w:rPr>
        <w:t>Comprende todas las bases teóricas, conceptuales, legales y contextuales que contribuyen a dar respuesta a la pregunta de investigación, asimismo, contribuye con el constructor y desarrollo de los objetivos de investigación</w:t>
      </w:r>
      <w:r w:rsidR="00F2307A">
        <w:rPr>
          <w:u w:color="000000"/>
          <w:lang w:val="es-ES_tradnl"/>
        </w:rPr>
        <w:t>.</w:t>
      </w:r>
    </w:p>
    <w:p w14:paraId="58638A54" w14:textId="77777777" w:rsidR="00F2307A" w:rsidRPr="006177E4" w:rsidRDefault="00F2307A" w:rsidP="00263B16">
      <w:pPr>
        <w:spacing w:line="480" w:lineRule="auto"/>
        <w:ind w:firstLine="720"/>
        <w:jc w:val="left"/>
        <w:rPr>
          <w:rFonts w:cs="Times New Roman"/>
          <w:bCs/>
          <w:szCs w:val="24"/>
          <w:u w:color="000000"/>
          <w:lang w:val="es-ES_tradnl"/>
        </w:rPr>
      </w:pPr>
    </w:p>
    <w:p w14:paraId="368F4D77" w14:textId="34B74FC9" w:rsidR="00863919" w:rsidRPr="00F2307A" w:rsidRDefault="00863919" w:rsidP="00263B16">
      <w:pPr>
        <w:pStyle w:val="Ttulo3"/>
      </w:pPr>
      <w:bookmarkStart w:id="57" w:name="_Toc228250776"/>
      <w:bookmarkStart w:id="58" w:name="_Toc229077643"/>
      <w:r w:rsidRPr="00F2307A">
        <w:t>Estado del arte</w:t>
      </w:r>
      <w:bookmarkEnd w:id="57"/>
      <w:bookmarkEnd w:id="58"/>
      <w:r w:rsidRPr="00F2307A">
        <w:t xml:space="preserve"> </w:t>
      </w:r>
    </w:p>
    <w:p w14:paraId="5D3C284F" w14:textId="77777777" w:rsidR="00D2606E" w:rsidRPr="006177E4" w:rsidRDefault="00D2606E" w:rsidP="008C471E">
      <w:pPr>
        <w:pStyle w:val="PrrAPA"/>
        <w:rPr>
          <w:u w:color="000000"/>
          <w:lang w:val="es-ES_tradnl"/>
        </w:rPr>
      </w:pPr>
      <w:r w:rsidRPr="006177E4">
        <w:rPr>
          <w:u w:color="000000"/>
          <w:lang w:val="es-ES_tradnl"/>
        </w:rPr>
        <w:t xml:space="preserve">Permite conocer e identificar como diversos autores han abordado desde diferentes puntos de vista la ineficacia de las retenciones en la fuente a lo largo del tiempo, en este contexto se definen tanto los antecedentes históricos como académicos. </w:t>
      </w:r>
    </w:p>
    <w:p w14:paraId="67E341E7" w14:textId="77777777" w:rsidR="00D2606E" w:rsidRPr="006177E4" w:rsidRDefault="00D2606E" w:rsidP="008C471E">
      <w:pPr>
        <w:pStyle w:val="PrrAPA"/>
      </w:pPr>
      <w:r w:rsidRPr="006177E4">
        <w:rPr>
          <w:u w:color="000000"/>
          <w:lang w:val="es-ES_tradnl"/>
        </w:rPr>
        <w:t xml:space="preserve">Esto permite </w:t>
      </w:r>
      <w:r w:rsidRPr="006177E4">
        <w:t>sintetizar los principales hallazgos de investigaciones recientes, organizando la discusión en tres ejes temáticos</w:t>
      </w:r>
      <w:r w:rsidRPr="006177E4">
        <w:rPr>
          <w:u w:color="000000"/>
          <w:lang w:val="es-ES_tradnl"/>
        </w:rPr>
        <w:t xml:space="preserve"> desde los diferentes conceptos de autores, tanto locales, nacionales e internacionales, puesto que la ineficacia de las declaraciones de retención en la fuente en Colombia es una problemática que trasciende al incumplimiento del marco normativo.</w:t>
      </w:r>
      <w:r w:rsidRPr="006177E4">
        <w:t xml:space="preserve"> </w:t>
      </w:r>
    </w:p>
    <w:p w14:paraId="146427A4" w14:textId="77777777" w:rsidR="00D2606E" w:rsidRPr="006177E4" w:rsidRDefault="00D2606E" w:rsidP="008C471E">
      <w:pPr>
        <w:pStyle w:val="PrrAPA"/>
        <w:rPr>
          <w:rFonts w:eastAsia="Times New Roman"/>
          <w:lang w:eastAsia="es-CO"/>
        </w:rPr>
      </w:pPr>
      <w:r w:rsidRPr="006177E4">
        <w:t>A lo largo de los últimos años, el debate académico y técnico ha evolucionado para abarcar desde el análisis de las consecuencias jurídicas hasta el impacto cultural y económico de esta figura plasmada en la presente investigación.</w:t>
      </w:r>
      <w:r w:rsidRPr="006177E4">
        <w:rPr>
          <w:rFonts w:eastAsia="Times New Roman"/>
          <w:lang w:eastAsia="es-CO"/>
        </w:rPr>
        <w:t xml:space="preserve"> </w:t>
      </w:r>
    </w:p>
    <w:p w14:paraId="6EA68393" w14:textId="11588824" w:rsidR="00F2307A" w:rsidRDefault="00D2606E" w:rsidP="008C471E">
      <w:pPr>
        <w:pStyle w:val="PrrAPA"/>
        <w:rPr>
          <w:rFonts w:eastAsia="Times New Roman"/>
          <w:lang w:eastAsia="es-CO"/>
        </w:rPr>
      </w:pPr>
      <w:r w:rsidRPr="006177E4">
        <w:rPr>
          <w:rFonts w:eastAsia="Times New Roman"/>
          <w:lang w:eastAsia="es-CO"/>
        </w:rPr>
        <w:t>Por lo anterior, se esboza el estado del arte en los siguientes apartados:</w:t>
      </w:r>
    </w:p>
    <w:p w14:paraId="153501FB" w14:textId="77777777" w:rsidR="00F2307A" w:rsidRPr="00F2307A" w:rsidRDefault="00F2307A" w:rsidP="00263B16">
      <w:pPr>
        <w:spacing w:line="480" w:lineRule="auto"/>
        <w:ind w:firstLine="720"/>
        <w:jc w:val="left"/>
        <w:rPr>
          <w:rFonts w:eastAsia="Times New Roman" w:cs="Times New Roman"/>
          <w:szCs w:val="24"/>
          <w:lang w:eastAsia="es-CO"/>
        </w:rPr>
      </w:pPr>
    </w:p>
    <w:p w14:paraId="003598C7" w14:textId="5E506581" w:rsidR="007077F8" w:rsidRPr="006177E4" w:rsidRDefault="00D2606E" w:rsidP="00263B16">
      <w:pPr>
        <w:pStyle w:val="Ttulo4"/>
      </w:pPr>
      <w:bookmarkStart w:id="59" w:name="_Toc228250777"/>
      <w:bookmarkStart w:id="60" w:name="_Toc229077644"/>
      <w:r w:rsidRPr="006177E4">
        <w:t>Antecedentes históricos</w:t>
      </w:r>
      <w:bookmarkEnd w:id="59"/>
      <w:r w:rsidR="00F2307A">
        <w:t>.</w:t>
      </w:r>
      <w:bookmarkEnd w:id="60"/>
    </w:p>
    <w:p w14:paraId="677D3AE1" w14:textId="77777777" w:rsidR="00B247E2" w:rsidRDefault="00D2606E" w:rsidP="008C471E">
      <w:pPr>
        <w:pStyle w:val="PrrAPA"/>
        <w:rPr>
          <w:u w:color="000000"/>
          <w:lang w:val="es-ES_tradnl"/>
        </w:rPr>
      </w:pPr>
      <w:r w:rsidRPr="006177E4">
        <w:rPr>
          <w:u w:color="000000"/>
          <w:lang w:val="es-ES_tradnl"/>
        </w:rPr>
        <w:t xml:space="preserve">La figura de retención en la fuente fue introducida en Colombia desde la década de 1960, como parte de una estrategia de modernización del sistema tributario, buscando garantizar un anticipo en el recaudo del impuesto sobre la renta y dar una mayor facilidad al control fiscal. Su base legal inicial se remonta al </w:t>
      </w:r>
      <w:sdt>
        <w:sdtPr>
          <w:rPr>
            <w:color w:val="000000"/>
            <w:u w:color="000000"/>
            <w:lang w:val="es-ES_tradnl"/>
          </w:rPr>
          <w:tag w:val="MENDELEY_CITATION_v3_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"/>
          <w:id w:val="-1750881177"/>
          <w:placeholder>
            <w:docPart w:val="DefaultPlaceholder_-1854013440"/>
          </w:placeholder>
        </w:sdtPr>
        <w:sdtEndPr/>
        <w:sdtContent>
          <w:r w:rsidR="009A1775" w:rsidRPr="006177E4">
            <w:rPr>
              <w:color w:val="000000"/>
              <w:u w:color="000000"/>
              <w:lang w:val="es-ES_tradnl"/>
            </w:rPr>
            <w:t>Decreto 1651</w:t>
          </w:r>
          <w:r w:rsidR="00F2307A">
            <w:rPr>
              <w:color w:val="000000"/>
              <w:u w:color="000000"/>
              <w:lang w:val="es-ES_tradnl"/>
            </w:rPr>
            <w:t xml:space="preserve"> (</w:t>
          </w:r>
          <w:r w:rsidR="009A1775" w:rsidRPr="006177E4">
            <w:rPr>
              <w:color w:val="000000"/>
              <w:u w:color="000000"/>
              <w:lang w:val="es-ES_tradnl"/>
            </w:rPr>
            <w:t>1961)</w:t>
          </w:r>
        </w:sdtContent>
      </w:sdt>
      <w:r w:rsidR="00FA6099" w:rsidRPr="006177E4">
        <w:rPr>
          <w:color w:val="000000"/>
          <w:u w:color="000000"/>
          <w:lang w:val="es-ES_tradnl"/>
        </w:rPr>
        <w:t xml:space="preserve"> los Decretos</w:t>
      </w:r>
      <w:r w:rsidR="00FA6099" w:rsidRPr="006177E4">
        <w:rPr>
          <w:u w:color="000000"/>
          <w:lang w:val="es-ES_tradnl"/>
        </w:rPr>
        <w:t xml:space="preserve"> </w:t>
      </w:r>
      <w:sdt>
        <w:sdtPr>
          <w:rPr>
            <w:color w:val="000000"/>
            <w:u w:color="000000"/>
            <w:lang w:val="es-ES_tradnl"/>
          </w:rPr>
          <w:tag w:val="MENDELEY_CITATION_v3_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"/>
          <w:id w:val="-741867002"/>
          <w:placeholder>
            <w:docPart w:val="DefaultPlaceholder_-1854013440"/>
          </w:placeholder>
        </w:sdtPr>
        <w:sdtEndPr/>
        <w:sdtContent>
          <w:r w:rsidR="009A1775" w:rsidRPr="006177E4">
            <w:rPr>
              <w:color w:val="000000"/>
              <w:u w:color="000000"/>
              <w:lang w:val="es-ES_tradnl"/>
            </w:rPr>
            <w:t>Decreto 2053</w:t>
          </w:r>
          <w:r w:rsidR="00F2307A">
            <w:rPr>
              <w:color w:val="000000"/>
              <w:u w:color="000000"/>
              <w:lang w:val="es-ES_tradnl"/>
            </w:rPr>
            <w:t xml:space="preserve"> (</w:t>
          </w:r>
          <w:r w:rsidR="009A1775" w:rsidRPr="006177E4">
            <w:rPr>
              <w:color w:val="000000"/>
              <w:u w:color="000000"/>
              <w:lang w:val="es-ES_tradnl"/>
            </w:rPr>
            <w:t>1974</w:t>
          </w:r>
          <w:r w:rsidR="00F2307A">
            <w:rPr>
              <w:color w:val="000000"/>
              <w:u w:color="000000"/>
              <w:lang w:val="es-ES_tradnl"/>
            </w:rPr>
            <w:t>)</w:t>
          </w:r>
          <w:r w:rsidR="009A1775" w:rsidRPr="006177E4">
            <w:rPr>
              <w:color w:val="000000"/>
              <w:u w:color="000000"/>
              <w:lang w:val="es-ES_tradnl"/>
            </w:rPr>
            <w:t xml:space="preserve"> Decreto 2876</w:t>
          </w:r>
          <w:r w:rsidR="00F2307A">
            <w:rPr>
              <w:color w:val="000000"/>
              <w:u w:color="000000"/>
              <w:lang w:val="es-ES_tradnl"/>
            </w:rPr>
            <w:t xml:space="preserve"> (</w:t>
          </w:r>
          <w:r w:rsidR="009A1775" w:rsidRPr="006177E4">
            <w:rPr>
              <w:color w:val="000000"/>
              <w:u w:color="000000"/>
              <w:lang w:val="es-ES_tradnl"/>
            </w:rPr>
            <w:t>1974)</w:t>
          </w:r>
        </w:sdtContent>
      </w:sdt>
      <w:r w:rsidR="00F2307A">
        <w:rPr>
          <w:u w:color="000000"/>
          <w:lang w:val="es-ES_tradnl"/>
        </w:rPr>
        <w:t xml:space="preserve"> </w:t>
      </w:r>
      <w:r w:rsidRPr="006177E4">
        <w:rPr>
          <w:u w:color="000000"/>
          <w:lang w:val="es-ES_tradnl"/>
        </w:rPr>
        <w:t>posteriormente recogidos y desarrollados en el</w:t>
      </w:r>
      <w:r w:rsidR="00FA6099" w:rsidRPr="006177E4">
        <w:rPr>
          <w:u w:color="000000"/>
          <w:lang w:val="es-ES_tradnl"/>
        </w:rPr>
        <w:t xml:space="preserve"> </w:t>
      </w:r>
      <w:sdt>
        <w:sdtPr>
          <w:rPr>
            <w:color w:val="000000"/>
            <w:u w:color="000000"/>
            <w:lang w:val="es-ES_tradnl"/>
          </w:rPr>
          <w:tag w:val="MENDELEY_CITATION_v3_eyJjaXRhdGlvbklEIjoiTUVOREVMRVlfQ0lUQVRJT05fNTY3MmVmODYtMTcxYS00NWMwLWJkYTItZWZiMWEyZjFhMTNl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
          <w:id w:val="1628431134"/>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880018624"/>
              <w:placeholder>
                <w:docPart w:val="1EA71B1551094D4D86188876EF4FD413"/>
              </w:placeholder>
            </w:sdtPr>
            <w:sdtEndPr/>
            <w:sdtContent>
              <w:r w:rsidR="00EA5A29" w:rsidRPr="00465317">
                <w:t>Decreto 624 (1989</w:t>
              </w:r>
              <w:r w:rsidR="00EA5A29" w:rsidRPr="006177E4">
                <w:rPr>
                  <w:color w:val="000000"/>
                </w:rPr>
                <w:t>)</w:t>
              </w:r>
            </w:sdtContent>
          </w:sdt>
        </w:sdtContent>
      </w:sdt>
      <w:r w:rsidR="00FA6099" w:rsidRPr="006177E4">
        <w:rPr>
          <w:u w:color="000000"/>
          <w:lang w:val="es-ES_tradnl"/>
        </w:rPr>
        <w:t>.</w:t>
      </w:r>
    </w:p>
    <w:p w14:paraId="4DBA46DF" w14:textId="7064D646" w:rsidR="00D2606E" w:rsidRPr="006177E4" w:rsidRDefault="00D2606E" w:rsidP="008C471E">
      <w:pPr>
        <w:pStyle w:val="PrrAPA"/>
        <w:rPr>
          <w:u w:color="000000"/>
          <w:lang w:val="es-ES_tradnl"/>
        </w:rPr>
      </w:pPr>
      <w:r w:rsidRPr="006177E4">
        <w:rPr>
          <w:u w:color="000000"/>
          <w:lang w:val="es-ES_tradnl"/>
        </w:rPr>
        <w:t xml:space="preserve">Desde su origen, la retención en la fuente se concibió como una obligación a cargo de ciertos agentes económicos (empleadores, entidades financieras, contratistas, etc.) encargado de descontar un valor del pago efectuado a un tercero y trasladado al fisco nacional. </w:t>
      </w:r>
    </w:p>
    <w:p w14:paraId="7F37BE2E" w14:textId="77777777" w:rsidR="00F2307A" w:rsidRDefault="00D2606E" w:rsidP="008C471E">
      <w:pPr>
        <w:pStyle w:val="PrrAPA"/>
        <w:rPr>
          <w:u w:color="000000"/>
          <w:lang w:val="es-ES_tradnl"/>
        </w:rPr>
      </w:pPr>
      <w:r w:rsidRPr="006177E4">
        <w:rPr>
          <w:u w:color="000000"/>
          <w:lang w:val="es-ES_tradnl"/>
        </w:rPr>
        <w:lastRenderedPageBreak/>
        <w:t>Con el tiempo, el sistema de retención en la fuente ha sido objeto de múltiples reformas tributarias, orientadas a ampliar la base de los sujetos de retención, establecer tarifas</w:t>
      </w:r>
      <w:r w:rsidR="002E6F04" w:rsidRPr="006177E4">
        <w:rPr>
          <w:u w:color="000000"/>
          <w:lang w:val="es-ES_tradnl"/>
        </w:rPr>
        <w:t xml:space="preserve"> </w:t>
      </w:r>
      <w:r w:rsidRPr="006177E4">
        <w:rPr>
          <w:u w:color="000000"/>
          <w:lang w:val="es-ES_tradnl"/>
        </w:rPr>
        <w:t xml:space="preserve">diferenciadas por tipo de ingreso </w:t>
      </w:r>
      <w:r w:rsidR="00F2307A" w:rsidRPr="006177E4">
        <w:rPr>
          <w:u w:color="000000"/>
          <w:lang w:val="es-ES_tradnl"/>
        </w:rPr>
        <w:t>y,</w:t>
      </w:r>
      <w:r w:rsidRPr="006177E4">
        <w:rPr>
          <w:u w:color="000000"/>
          <w:lang w:val="es-ES_tradnl"/>
        </w:rPr>
        <w:t xml:space="preserve"> por último, fortalecer el papel del agente retenedor como responsable solidario del recaudo ante la nación.</w:t>
      </w:r>
    </w:p>
    <w:p w14:paraId="2E1F5D00" w14:textId="77777777" w:rsidR="00F2307A" w:rsidRDefault="00D2606E" w:rsidP="008C471E">
      <w:pPr>
        <w:pStyle w:val="PrrAPA"/>
        <w:rPr>
          <w:color w:val="000000"/>
          <w:shd w:val="clear" w:color="auto" w:fill="FFFFFF"/>
        </w:rPr>
      </w:pPr>
      <w:r w:rsidRPr="006177E4">
        <w:rPr>
          <w:u w:color="000000"/>
          <w:lang w:val="es-ES_tradnl"/>
        </w:rPr>
        <w:t xml:space="preserve">Uno de los cambios más significativos en este contexto fue la introducción de la figura de la ineficacia de las declaraciones de retención en la fuente sin pago, regulada en el artículo 580-1 del Estatuto Tributario, creado por la </w:t>
      </w:r>
      <w:sdt>
        <w:sdtPr>
          <w:rPr>
            <w:color w:val="000000"/>
            <w:u w:color="000000"/>
            <w:lang w:val="es-ES_tradnl"/>
          </w:rPr>
          <w:tag w:val="MENDELEY_CITATION_v3_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QzMF8yMDEwLmh0bWwiLCJpc3N1ZWQiOnsiZGF0ZS1wYXJ0cyI6W1syMDEwXV19LCJjb250YWluZXItdGl0bGUtc2hvcnQiOiIifSwiaXNUZW1wb3JhcnkiOmZhbHNlfV19"/>
          <w:id w:val="-1826507334"/>
          <w:placeholder>
            <w:docPart w:val="DefaultPlaceholder_-1854013440"/>
          </w:placeholder>
        </w:sdtPr>
        <w:sdtEndPr/>
        <w:sdtContent>
          <w:r w:rsidR="009A1775" w:rsidRPr="006177E4">
            <w:rPr>
              <w:color w:val="000000"/>
              <w:u w:color="000000"/>
              <w:lang w:val="es-ES_tradnl"/>
            </w:rPr>
            <w:t xml:space="preserve">Ley 1430 </w:t>
          </w:r>
          <w:r w:rsidR="00F2307A">
            <w:rPr>
              <w:color w:val="000000"/>
              <w:u w:color="000000"/>
              <w:lang w:val="es-ES_tradnl"/>
            </w:rPr>
            <w:t>(</w:t>
          </w:r>
          <w:r w:rsidR="009A1775" w:rsidRPr="006177E4">
            <w:rPr>
              <w:color w:val="000000"/>
              <w:u w:color="000000"/>
              <w:lang w:val="es-ES_tradnl"/>
            </w:rPr>
            <w:t>2010)</w:t>
          </w:r>
        </w:sdtContent>
      </w:sdt>
      <w:r w:rsidRPr="006177E4">
        <w:rPr>
          <w:u w:color="000000"/>
          <w:lang w:val="es-ES_tradnl"/>
        </w:rPr>
        <w:t xml:space="preserve"> y modificado posteriormente por otras reformas fiscales </w:t>
      </w:r>
      <w:r w:rsidRPr="006177E4">
        <w:rPr>
          <w:shd w:val="clear" w:color="auto" w:fill="FFFFFF"/>
        </w:rPr>
        <w:t xml:space="preserve">como el artículo 270 de la </w:t>
      </w:r>
      <w:sdt>
        <w:sdtPr>
          <w:rPr>
            <w:color w:val="000000"/>
            <w:shd w:val="clear" w:color="auto" w:fill="FFFFFF"/>
          </w:rPr>
          <w:tag w:val="MENDELEY_CITATION_v3_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gxOV8yMDE2Lmh0bWwiLCJpc3N1ZWQiOnsiZGF0ZS1wYXJ0cyI6W1syMDE2XV19LCJjb250YWluZXItdGl0bGUtc2hvcnQiOiIifSwiaXNUZW1wb3JhcnkiOmZhbHNlfV19"/>
          <w:id w:val="1584955379"/>
          <w:placeholder>
            <w:docPart w:val="DefaultPlaceholder_-1854013440"/>
          </w:placeholder>
        </w:sdtPr>
        <w:sdtEndPr/>
        <w:sdtContent>
          <w:r w:rsidR="009A1775" w:rsidRPr="006177E4">
            <w:rPr>
              <w:color w:val="000000"/>
              <w:shd w:val="clear" w:color="auto" w:fill="FFFFFF"/>
            </w:rPr>
            <w:t>Ley 1819</w:t>
          </w:r>
          <w:r w:rsidR="00F2307A">
            <w:rPr>
              <w:color w:val="000000"/>
              <w:shd w:val="clear" w:color="auto" w:fill="FFFFFF"/>
            </w:rPr>
            <w:t xml:space="preserve"> (</w:t>
          </w:r>
          <w:r w:rsidR="009A1775" w:rsidRPr="006177E4">
            <w:rPr>
              <w:color w:val="000000"/>
              <w:shd w:val="clear" w:color="auto" w:fill="FFFFFF"/>
            </w:rPr>
            <w:t>2016)</w:t>
          </w:r>
        </w:sdtContent>
      </w:sdt>
      <w:r w:rsidR="00FA6099" w:rsidRPr="006177E4">
        <w:rPr>
          <w:color w:val="000000"/>
          <w:shd w:val="clear" w:color="auto" w:fill="FFFFFF"/>
        </w:rPr>
        <w:t xml:space="preserve"> </w:t>
      </w:r>
      <w:r w:rsidRPr="006177E4">
        <w:rPr>
          <w:shd w:val="clear" w:color="auto" w:fill="FFFFFF"/>
        </w:rPr>
        <w:t xml:space="preserve">y el </w:t>
      </w:r>
      <w:r w:rsidR="00FA6099" w:rsidRPr="006177E4">
        <w:rPr>
          <w:shd w:val="clear" w:color="auto" w:fill="FFFFFF"/>
        </w:rPr>
        <w:t>artículo</w:t>
      </w:r>
      <w:r w:rsidRPr="006177E4">
        <w:rPr>
          <w:shd w:val="clear" w:color="auto" w:fill="FFFFFF"/>
        </w:rPr>
        <w:t xml:space="preserve"> 89 de la </w:t>
      </w:r>
      <w:sdt>
        <w:sdtPr>
          <w:rPr>
            <w:color w:val="000000"/>
            <w:shd w:val="clear" w:color="auto" w:fill="FFFFFF"/>
          </w:rPr>
          <w:tag w:val="MENDELEY_CITATION_v3_eyJjaXRhdGlvbklEIjoiTUVOREVMRVlfQ0lUQVRJT05fODY3NzBhNjUtMDQ2NS00ODk4LWE4MGMtNjBhODg0MTdkOGMx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
          <w:id w:val="-838161741"/>
          <w:placeholder>
            <w:docPart w:val="DefaultPlaceholder_-1854013440"/>
          </w:placeholder>
        </w:sdtPr>
        <w:sdtEndPr/>
        <w:sdtContent>
          <w:r w:rsidR="009A1775" w:rsidRPr="006177E4">
            <w:rPr>
              <w:color w:val="000000"/>
              <w:shd w:val="clear" w:color="auto" w:fill="FFFFFF"/>
            </w:rPr>
            <w:t>Ley 1943</w:t>
          </w:r>
          <w:r w:rsidR="00F2307A">
            <w:rPr>
              <w:color w:val="000000"/>
              <w:shd w:val="clear" w:color="auto" w:fill="FFFFFF"/>
            </w:rPr>
            <w:t xml:space="preserve"> (</w:t>
          </w:r>
          <w:r w:rsidR="009A1775" w:rsidRPr="006177E4">
            <w:rPr>
              <w:color w:val="000000"/>
              <w:shd w:val="clear" w:color="auto" w:fill="FFFFFF"/>
            </w:rPr>
            <w:t>2018)</w:t>
          </w:r>
        </w:sdtContent>
      </w:sdt>
      <w:r w:rsidR="00F2307A">
        <w:rPr>
          <w:color w:val="000000"/>
          <w:shd w:val="clear" w:color="auto" w:fill="FFFFFF"/>
        </w:rPr>
        <w:t>.</w:t>
      </w:r>
    </w:p>
    <w:p w14:paraId="7038BC4D" w14:textId="77777777" w:rsidR="00F2307A" w:rsidRDefault="00D2606E" w:rsidP="008C471E">
      <w:pPr>
        <w:pStyle w:val="PrrAPA"/>
        <w:rPr>
          <w:rFonts w:eastAsia="Times New Roman"/>
          <w:lang w:eastAsia="es-CO"/>
        </w:rPr>
      </w:pPr>
      <w:r w:rsidRPr="006177E4">
        <w:rPr>
          <w:u w:color="000000"/>
          <w:lang w:val="es-ES_tradnl"/>
        </w:rPr>
        <w:t xml:space="preserve">En la siguiente ilustración se hace un recorrido por la creación y evolución histórica del impuesto de retención en la fuente en Colombia, además se resalta los cambios más relevantes y significativos del mismo, pues la </w:t>
      </w:r>
      <w:r w:rsidRPr="006177E4">
        <w:rPr>
          <w:rFonts w:eastAsia="Times New Roman"/>
          <w:lang w:eastAsia="es-CO"/>
        </w:rPr>
        <w:t xml:space="preserve">revisión de la literatura reciente evidencia un creciente interés académico por comprender las implicaciones jurídicas, administrativas y culturales de la figura de la ineficacia de las declaraciones de retención en la fuente en Colombia. </w:t>
      </w:r>
    </w:p>
    <w:p w14:paraId="1C9CC6CE" w14:textId="1759EF29" w:rsidR="00D2606E" w:rsidRPr="00F2307A" w:rsidRDefault="00D2606E" w:rsidP="008C471E">
      <w:pPr>
        <w:pStyle w:val="PrrAPA"/>
        <w:rPr>
          <w:u w:color="000000"/>
          <w:lang w:val="es-ES_tradnl"/>
        </w:rPr>
      </w:pPr>
      <w:r w:rsidRPr="006177E4">
        <w:rPr>
          <w:rFonts w:eastAsia="Times New Roman"/>
          <w:lang w:eastAsia="es-CO"/>
        </w:rPr>
        <w:t>Diversos trabajos académicos y técnicos abordan el tema desde perspectivas complementarias que enriquecen el análisis y justifican la pertinencia de esta investigación haciéndola un referente para el mundo científico.</w:t>
      </w:r>
    </w:p>
    <w:p w14:paraId="522EB947" w14:textId="29C8A0C0" w:rsidR="00CF20F3" w:rsidRPr="006177E4" w:rsidRDefault="00CF20F3" w:rsidP="008C471E">
      <w:pPr>
        <w:pStyle w:val="PrrAPA"/>
      </w:pPr>
    </w:p>
    <w:p w14:paraId="5F0EBD8F" w14:textId="5FE4C194" w:rsidR="007077F8" w:rsidRDefault="002E6F04" w:rsidP="00263B16">
      <w:pPr>
        <w:pStyle w:val="Ttulo3"/>
      </w:pPr>
      <w:bookmarkStart w:id="61" w:name="_Toc228250778"/>
      <w:bookmarkStart w:id="62" w:name="_Toc229077645"/>
      <w:r w:rsidRPr="00F2307A">
        <w:t>Antecedentes</w:t>
      </w:r>
      <w:r w:rsidR="008B6BBE" w:rsidRPr="00F2307A">
        <w:t xml:space="preserve"> Académicos</w:t>
      </w:r>
      <w:bookmarkEnd w:id="61"/>
      <w:bookmarkEnd w:id="62"/>
    </w:p>
    <w:p w14:paraId="198366C9" w14:textId="77777777" w:rsidR="00263B16" w:rsidRPr="00F2307A" w:rsidRDefault="00263B16" w:rsidP="00263B16">
      <w:pPr>
        <w:spacing w:line="480" w:lineRule="auto"/>
        <w:ind w:firstLine="720"/>
        <w:rPr>
          <w:color w:val="EE0000"/>
        </w:rPr>
      </w:pPr>
    </w:p>
    <w:p w14:paraId="2DCFC5DF" w14:textId="77777777" w:rsidR="008C471E" w:rsidRDefault="008C471E">
      <w:pPr>
        <w:spacing w:after="160" w:line="259" w:lineRule="auto"/>
        <w:jc w:val="left"/>
        <w:rPr>
          <w:b/>
          <w:bCs/>
          <w:szCs w:val="18"/>
        </w:rPr>
      </w:pPr>
      <w:bookmarkStart w:id="63" w:name="_Toc229077711"/>
      <w:r>
        <w:rPr>
          <w:b/>
          <w:bCs/>
          <w:i/>
          <w:iCs/>
        </w:rPr>
        <w:br w:type="page"/>
      </w:r>
    </w:p>
    <w:p w14:paraId="4BE481D1" w14:textId="08C5F835" w:rsidR="00EB5F68" w:rsidRDefault="006D4587" w:rsidP="00263B16">
      <w:pPr>
        <w:pStyle w:val="Descripcin"/>
        <w:spacing w:after="0" w:line="480" w:lineRule="auto"/>
        <w:rPr>
          <w:b/>
          <w:bCs/>
          <w:i w:val="0"/>
          <w:iCs w:val="0"/>
        </w:rPr>
      </w:pPr>
      <w:r w:rsidRPr="006D4587">
        <w:rPr>
          <w:b/>
          <w:bCs/>
          <w:i w:val="0"/>
          <w:iCs w:val="0"/>
        </w:rPr>
        <w:lastRenderedPageBreak/>
        <w:t xml:space="preserve">Figura  </w:t>
      </w:r>
      <w:r w:rsidRPr="006D4587">
        <w:rPr>
          <w:b/>
          <w:bCs/>
          <w:i w:val="0"/>
          <w:iCs w:val="0"/>
        </w:rPr>
        <w:fldChar w:fldCharType="begin"/>
      </w:r>
      <w:r w:rsidRPr="006D4587">
        <w:rPr>
          <w:b/>
          <w:bCs/>
          <w:i w:val="0"/>
          <w:iCs w:val="0"/>
        </w:rPr>
        <w:instrText xml:space="preserve"> SEQ Figura_ \* ARABIC </w:instrText>
      </w:r>
      <w:r w:rsidRPr="006D4587">
        <w:rPr>
          <w:b/>
          <w:bCs/>
          <w:i w:val="0"/>
          <w:iCs w:val="0"/>
        </w:rPr>
        <w:fldChar w:fldCharType="separate"/>
      </w:r>
      <w:r w:rsidR="00F01079">
        <w:rPr>
          <w:b/>
          <w:bCs/>
          <w:i w:val="0"/>
          <w:iCs w:val="0"/>
          <w:noProof/>
        </w:rPr>
        <w:t>2</w:t>
      </w:r>
      <w:r w:rsidRPr="006D4587">
        <w:rPr>
          <w:b/>
          <w:bCs/>
          <w:i w:val="0"/>
          <w:iCs w:val="0"/>
        </w:rPr>
        <w:fldChar w:fldCharType="end"/>
      </w:r>
      <w:r>
        <w:rPr>
          <w:b/>
          <w:bCs/>
          <w:i w:val="0"/>
          <w:iCs w:val="0"/>
        </w:rPr>
        <w:t xml:space="preserve"> </w:t>
      </w:r>
    </w:p>
    <w:p w14:paraId="071A034F" w14:textId="3E61E03E" w:rsidR="00E97765" w:rsidRPr="006D4587" w:rsidRDefault="00E97765" w:rsidP="00263B16">
      <w:pPr>
        <w:pStyle w:val="Descripcin"/>
        <w:spacing w:after="0" w:line="480" w:lineRule="auto"/>
        <w:rPr>
          <w:b/>
          <w:bCs/>
          <w:i w:val="0"/>
          <w:iCs w:val="0"/>
        </w:rPr>
      </w:pPr>
      <w:r w:rsidRPr="006177E4">
        <w:rPr>
          <w:rFonts w:cs="Times New Roman"/>
          <w:szCs w:val="24"/>
        </w:rPr>
        <w:t>Evolución de la Retención en la Fuente en Colombia</w:t>
      </w:r>
      <w:r w:rsidR="00F2307A">
        <w:rPr>
          <w:rFonts w:cs="Times New Roman"/>
          <w:szCs w:val="24"/>
        </w:rPr>
        <w:t>.</w:t>
      </w:r>
      <w:bookmarkEnd w:id="63"/>
    </w:p>
    <w:p w14:paraId="3FFCD266" w14:textId="77777777" w:rsidR="00960C9A" w:rsidRDefault="002E6F04" w:rsidP="00263B16">
      <w:pPr>
        <w:pStyle w:val="NormalWeb"/>
        <w:spacing w:before="0" w:beforeAutospacing="0" w:after="0" w:afterAutospacing="0" w:line="480" w:lineRule="auto"/>
        <w:jc w:val="center"/>
        <w:rPr>
          <w:i/>
        </w:rPr>
      </w:pPr>
      <w:r w:rsidRPr="006177E4">
        <w:rPr>
          <w:noProof/>
        </w:rPr>
        <w:drawing>
          <wp:inline distT="0" distB="0" distL="0" distR="0" wp14:anchorId="3BE1FC65" wp14:editId="07348801">
            <wp:extent cx="3628763" cy="5753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4356"/>
                    <a:stretch/>
                  </pic:blipFill>
                  <pic:spPr bwMode="auto">
                    <a:xfrm>
                      <a:off x="0" y="0"/>
                      <a:ext cx="3637194" cy="5766466"/>
                    </a:xfrm>
                    <a:prstGeom prst="rect">
                      <a:avLst/>
                    </a:prstGeom>
                    <a:noFill/>
                    <a:ln>
                      <a:noFill/>
                    </a:ln>
                    <a:extLst>
                      <a:ext uri="{53640926-AAD7-44D8-BBD7-CCE9431645EC}">
                        <a14:shadowObscured xmlns:a14="http://schemas.microsoft.com/office/drawing/2010/main"/>
                      </a:ext>
                    </a:extLst>
                  </pic:spPr>
                </pic:pic>
              </a:graphicData>
            </a:graphic>
          </wp:inline>
        </w:drawing>
      </w:r>
      <w:r w:rsidR="00960C9A">
        <w:rPr>
          <w:i/>
        </w:rPr>
        <w:t xml:space="preserve"> </w:t>
      </w:r>
    </w:p>
    <w:p w14:paraId="58BBE0D4" w14:textId="5EF9D089" w:rsidR="007D63A2" w:rsidRPr="00960C9A" w:rsidRDefault="002E6F04" w:rsidP="00263B16">
      <w:pPr>
        <w:pStyle w:val="NormalWeb"/>
        <w:spacing w:before="0" w:beforeAutospacing="0" w:after="0" w:afterAutospacing="0" w:line="480" w:lineRule="auto"/>
        <w:rPr>
          <w:i/>
        </w:rPr>
      </w:pPr>
      <w:r w:rsidRPr="006177E4">
        <w:rPr>
          <w:i/>
        </w:rPr>
        <w:t>Nota.</w:t>
      </w:r>
      <w:r w:rsidR="003E431D">
        <w:rPr>
          <w:i/>
        </w:rPr>
        <w:t xml:space="preserve"> </w:t>
      </w:r>
      <w:r w:rsidR="00E27C5F">
        <w:rPr>
          <w:iCs/>
        </w:rPr>
        <w:t>E</w:t>
      </w:r>
      <w:r w:rsidR="0004007D" w:rsidRPr="0004007D">
        <w:rPr>
          <w:iCs/>
        </w:rPr>
        <w:t>laboración</w:t>
      </w:r>
      <w:r w:rsidR="0004007D" w:rsidRPr="006177E4">
        <w:t xml:space="preserve"> propia</w:t>
      </w:r>
      <w:r w:rsidR="00F2307A">
        <w:rPr>
          <w:i/>
        </w:rPr>
        <w:t xml:space="preserve"> </w:t>
      </w:r>
      <w:r w:rsidR="00A1711A" w:rsidRPr="00F2307A">
        <w:rPr>
          <w:iCs/>
        </w:rPr>
        <w:t>Fuente</w:t>
      </w:r>
      <w:r w:rsidR="00F2307A">
        <w:rPr>
          <w:iCs/>
        </w:rPr>
        <w:t>:</w:t>
      </w:r>
      <w:r w:rsidR="00A1711A" w:rsidRPr="00F2307A">
        <w:rPr>
          <w:iCs/>
        </w:rPr>
        <w:t xml:space="preserve"> </w:t>
      </w:r>
      <w:r w:rsidR="00546EAC">
        <w:rPr>
          <w:iCs/>
        </w:rPr>
        <w:t>(</w:t>
      </w:r>
      <w:r w:rsidR="00A1711A" w:rsidRPr="00F2307A">
        <w:rPr>
          <w:iCs/>
        </w:rPr>
        <w:t>Acero y López, 2026)</w:t>
      </w:r>
      <w:r w:rsidR="00F2307A">
        <w:rPr>
          <w:iCs/>
        </w:rPr>
        <w:t>.</w:t>
      </w:r>
    </w:p>
    <w:p w14:paraId="0AC3E2CF" w14:textId="77777777" w:rsidR="00C94F4C" w:rsidRPr="000E365B" w:rsidRDefault="00214AB2" w:rsidP="00263B16">
      <w:pPr>
        <w:pStyle w:val="Ttulo4"/>
      </w:pPr>
      <w:bookmarkStart w:id="64" w:name="_Toc228250779"/>
      <w:bookmarkStart w:id="65" w:name="_Toc229077646"/>
      <w:r w:rsidRPr="000E365B">
        <w:rPr>
          <w:rStyle w:val="Ttulo4Car"/>
          <w:b/>
          <w:iCs/>
        </w:rPr>
        <w:t>Antecedentes Académicos Locales.</w:t>
      </w:r>
      <w:bookmarkEnd w:id="64"/>
      <w:bookmarkEnd w:id="65"/>
      <w:r w:rsidRPr="000E365B">
        <w:t xml:space="preserve"> </w:t>
      </w:r>
    </w:p>
    <w:p w14:paraId="3C76B298" w14:textId="38414ED8" w:rsidR="001C012F" w:rsidRDefault="00214AB2" w:rsidP="008C471E">
      <w:pPr>
        <w:pStyle w:val="PrrAPA"/>
        <w:rPr>
          <w:b/>
          <w:bCs/>
          <w:i/>
          <w:iCs/>
        </w:rPr>
        <w:sectPr w:rsidR="001C012F" w:rsidSect="00F913E9">
          <w:headerReference w:type="default" r:id="rId18"/>
          <w:pgSz w:w="12240" w:h="15840"/>
          <w:pgMar w:top="1440" w:right="1440" w:bottom="1440" w:left="1440" w:header="709" w:footer="709" w:gutter="0"/>
          <w:cols w:space="708"/>
          <w:docGrid w:linePitch="360"/>
        </w:sectPr>
      </w:pPr>
      <w:r w:rsidRPr="008C471E">
        <w:rPr>
          <w:rStyle w:val="PrrAPACar"/>
        </w:rPr>
        <w:t xml:space="preserve">En la siguiente tabla se presenta la revisión de la literatura relevante local para el estudio, enfocándose las investigaciones previas aplicables a la investigación, en donde se estudia la figura </w:t>
      </w:r>
      <w:r w:rsidRPr="008C471E">
        <w:rPr>
          <w:rStyle w:val="PrrAPACar"/>
        </w:rPr>
        <w:lastRenderedPageBreak/>
        <w:t>de la ineficacia de las declaraciones de retención en la fuente en Colombia. El objetivo es identificar las investigaciones previas, metodologías empleadas y resultados encontrados</w:t>
      </w:r>
      <w:r w:rsidRPr="006177E4">
        <w:rPr>
          <w:u w:color="000000"/>
          <w:lang w:val="es-ES_tradnl"/>
        </w:rPr>
        <w:t>.</w:t>
      </w:r>
      <w:bookmarkStart w:id="66" w:name="_Toc227978302"/>
    </w:p>
    <w:p w14:paraId="0D0BEFA0" w14:textId="77777777" w:rsidR="00EB5F68" w:rsidRDefault="006D4587" w:rsidP="00263B16">
      <w:pPr>
        <w:pStyle w:val="Descripcin"/>
        <w:spacing w:after="0" w:line="480" w:lineRule="auto"/>
      </w:pPr>
      <w:bookmarkStart w:id="67" w:name="_Toc229077700"/>
      <w:bookmarkEnd w:id="66"/>
      <w:r w:rsidRPr="006D4587">
        <w:rPr>
          <w:b/>
          <w:bCs/>
          <w:i w:val="0"/>
          <w:iCs w:val="0"/>
        </w:rPr>
        <w:lastRenderedPageBreak/>
        <w:t xml:space="preserve">Tabla </w:t>
      </w:r>
      <w:r w:rsidRPr="006D4587">
        <w:rPr>
          <w:b/>
          <w:bCs/>
          <w:i w:val="0"/>
          <w:iCs w:val="0"/>
        </w:rPr>
        <w:fldChar w:fldCharType="begin"/>
      </w:r>
      <w:r w:rsidRPr="006D4587">
        <w:rPr>
          <w:b/>
          <w:bCs/>
          <w:i w:val="0"/>
          <w:iCs w:val="0"/>
        </w:rPr>
        <w:instrText xml:space="preserve"> SEQ Tabla \* ARABIC </w:instrText>
      </w:r>
      <w:r w:rsidRPr="006D4587">
        <w:rPr>
          <w:b/>
          <w:bCs/>
          <w:i w:val="0"/>
          <w:iCs w:val="0"/>
        </w:rPr>
        <w:fldChar w:fldCharType="separate"/>
      </w:r>
      <w:r w:rsidR="00D64F6E">
        <w:rPr>
          <w:b/>
          <w:bCs/>
          <w:i w:val="0"/>
          <w:iCs w:val="0"/>
          <w:noProof/>
        </w:rPr>
        <w:t>1</w:t>
      </w:r>
      <w:r w:rsidRPr="006D4587">
        <w:rPr>
          <w:b/>
          <w:bCs/>
          <w:i w:val="0"/>
          <w:iCs w:val="0"/>
        </w:rPr>
        <w:fldChar w:fldCharType="end"/>
      </w:r>
      <w:r>
        <w:t xml:space="preserve"> </w:t>
      </w:r>
    </w:p>
    <w:p w14:paraId="4E5E2BCB" w14:textId="460DBB9A" w:rsidR="006D4587" w:rsidRPr="00C92D38" w:rsidRDefault="00214AB2" w:rsidP="00263B16">
      <w:pPr>
        <w:pStyle w:val="Descripcin"/>
        <w:spacing w:after="0" w:line="480" w:lineRule="auto"/>
      </w:pPr>
      <w:r w:rsidRPr="006177E4">
        <w:rPr>
          <w:rFonts w:cs="Times New Roman"/>
          <w:szCs w:val="24"/>
        </w:rPr>
        <w:t>Antecedentes Académicos Locales</w:t>
      </w:r>
      <w:bookmarkEnd w:id="67"/>
    </w:p>
    <w:tbl>
      <w:tblPr>
        <w:tblStyle w:val="Tablaconcuadrculaclara"/>
        <w:tblW w:w="5683"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99"/>
        <w:gridCol w:w="1959"/>
        <w:gridCol w:w="1771"/>
        <w:gridCol w:w="2159"/>
        <w:gridCol w:w="2159"/>
        <w:gridCol w:w="2159"/>
        <w:gridCol w:w="1959"/>
        <w:gridCol w:w="1765"/>
      </w:tblGrid>
      <w:tr w:rsidR="006D4587" w:rsidRPr="00B0508B" w14:paraId="57D654DF" w14:textId="77777777" w:rsidTr="006D4587">
        <w:trPr>
          <w:jc w:val="center"/>
        </w:trPr>
        <w:tc>
          <w:tcPr>
            <w:tcW w:w="271" w:type="pct"/>
          </w:tcPr>
          <w:p w14:paraId="0DC2EB08" w14:textId="77777777" w:rsidR="006D4587" w:rsidRPr="00B0508B" w:rsidRDefault="006D4587" w:rsidP="00263B16">
            <w:pPr>
              <w:pStyle w:val="NormalWeb"/>
              <w:spacing w:before="0" w:beforeAutospacing="0" w:after="0" w:afterAutospacing="0" w:line="480" w:lineRule="auto"/>
              <w:jc w:val="center"/>
              <w:rPr>
                <w:b/>
                <w:lang w:val="es-ES_tradnl"/>
              </w:rPr>
            </w:pPr>
            <w:proofErr w:type="spellStart"/>
            <w:r w:rsidRPr="00B0508B">
              <w:rPr>
                <w:b/>
                <w:lang w:val="es-ES_tradnl"/>
              </w:rPr>
              <w:t>Nª</w:t>
            </w:r>
            <w:proofErr w:type="spellEnd"/>
          </w:p>
        </w:tc>
        <w:tc>
          <w:tcPr>
            <w:tcW w:w="665" w:type="pct"/>
          </w:tcPr>
          <w:p w14:paraId="09BF550C"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Tipo de producto</w:t>
            </w:r>
          </w:p>
        </w:tc>
        <w:tc>
          <w:tcPr>
            <w:tcW w:w="601" w:type="pct"/>
          </w:tcPr>
          <w:p w14:paraId="0C2E573F"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Título del producto</w:t>
            </w:r>
          </w:p>
        </w:tc>
        <w:tc>
          <w:tcPr>
            <w:tcW w:w="733" w:type="pct"/>
          </w:tcPr>
          <w:p w14:paraId="68D5D3F7"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Autor (es) o grupo de investigación</w:t>
            </w:r>
          </w:p>
        </w:tc>
        <w:tc>
          <w:tcPr>
            <w:tcW w:w="733" w:type="pct"/>
          </w:tcPr>
          <w:p w14:paraId="6E31A0E4"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Localización</w:t>
            </w:r>
          </w:p>
        </w:tc>
        <w:tc>
          <w:tcPr>
            <w:tcW w:w="733" w:type="pct"/>
          </w:tcPr>
          <w:p w14:paraId="00F635D4"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Metodología utilizada</w:t>
            </w:r>
          </w:p>
        </w:tc>
        <w:tc>
          <w:tcPr>
            <w:tcW w:w="665" w:type="pct"/>
          </w:tcPr>
          <w:p w14:paraId="007BC82E"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Resultados relevantes</w:t>
            </w:r>
          </w:p>
        </w:tc>
        <w:tc>
          <w:tcPr>
            <w:tcW w:w="599" w:type="pct"/>
          </w:tcPr>
          <w:p w14:paraId="27BB4F1A" w14:textId="77777777" w:rsidR="006D4587" w:rsidRPr="00B0508B" w:rsidRDefault="006D4587" w:rsidP="00263B16">
            <w:pPr>
              <w:pStyle w:val="NormalWeb"/>
              <w:spacing w:before="0" w:beforeAutospacing="0" w:after="0" w:afterAutospacing="0" w:line="480" w:lineRule="auto"/>
              <w:jc w:val="center"/>
              <w:rPr>
                <w:b/>
                <w:lang w:val="es-ES_tradnl"/>
              </w:rPr>
            </w:pPr>
            <w:r w:rsidRPr="00B0508B">
              <w:rPr>
                <w:b/>
                <w:lang w:val="es-ES_tradnl"/>
              </w:rPr>
              <w:t>Aportes</w:t>
            </w:r>
          </w:p>
        </w:tc>
      </w:tr>
      <w:tr w:rsidR="006D4587" w:rsidRPr="00B0508B" w14:paraId="746A932E" w14:textId="77777777" w:rsidTr="006D4587">
        <w:trPr>
          <w:jc w:val="center"/>
        </w:trPr>
        <w:tc>
          <w:tcPr>
            <w:tcW w:w="271" w:type="pct"/>
          </w:tcPr>
          <w:p w14:paraId="5482D7F3" w14:textId="77777777" w:rsidR="006D4587" w:rsidRPr="00B0508B" w:rsidRDefault="006D4587" w:rsidP="00263B16">
            <w:pPr>
              <w:pStyle w:val="NormalWeb"/>
              <w:spacing w:before="0" w:beforeAutospacing="0" w:after="0" w:afterAutospacing="0" w:line="480" w:lineRule="auto"/>
              <w:rPr>
                <w:b/>
                <w:lang w:val="es-ES_tradnl"/>
              </w:rPr>
            </w:pPr>
            <w:r w:rsidRPr="00B0508B">
              <w:rPr>
                <w:b/>
                <w:lang w:val="es-ES_tradnl"/>
              </w:rPr>
              <w:t>1</w:t>
            </w:r>
          </w:p>
        </w:tc>
        <w:tc>
          <w:tcPr>
            <w:tcW w:w="665" w:type="pct"/>
          </w:tcPr>
          <w:p w14:paraId="3AA35AD9"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 xml:space="preserve">Monografía </w:t>
            </w:r>
          </w:p>
        </w:tc>
        <w:tc>
          <w:tcPr>
            <w:tcW w:w="601" w:type="pct"/>
          </w:tcPr>
          <w:p w14:paraId="27E0FAF2"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 xml:space="preserve">Controles tributarios y evasión fiscal en Colombia </w:t>
            </w:r>
          </w:p>
        </w:tc>
        <w:tc>
          <w:tcPr>
            <w:tcW w:w="733" w:type="pct"/>
          </w:tcPr>
          <w:p w14:paraId="7D07CDA8"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 xml:space="preserve">González Peñaloza y Diaz López </w:t>
            </w:r>
          </w:p>
        </w:tc>
        <w:tc>
          <w:tcPr>
            <w:tcW w:w="733" w:type="pct"/>
          </w:tcPr>
          <w:p w14:paraId="2F69ABA1" w14:textId="77777777" w:rsidR="006D4587" w:rsidRPr="00B0508B" w:rsidRDefault="006D4587" w:rsidP="00263B16">
            <w:pPr>
              <w:pStyle w:val="NormalWeb"/>
              <w:spacing w:before="0" w:beforeAutospacing="0" w:after="0" w:afterAutospacing="0" w:line="480" w:lineRule="auto"/>
              <w:rPr>
                <w:b/>
                <w:lang w:val="es-ES_tradnl"/>
              </w:rPr>
            </w:pPr>
            <w:r w:rsidRPr="00B0508B">
              <w:rPr>
                <w:bCs/>
                <w:lang w:val="es-ES_tradnl"/>
              </w:rPr>
              <w:t>Bogotá D.C Cundinamarca</w:t>
            </w:r>
          </w:p>
        </w:tc>
        <w:tc>
          <w:tcPr>
            <w:tcW w:w="733" w:type="pct"/>
          </w:tcPr>
          <w:p w14:paraId="03EA143C" w14:textId="77777777" w:rsidR="006D4587" w:rsidRPr="00B0508B" w:rsidRDefault="006D4587" w:rsidP="00263B16">
            <w:pPr>
              <w:pStyle w:val="NormalWeb"/>
              <w:spacing w:before="0" w:beforeAutospacing="0" w:after="0" w:afterAutospacing="0" w:line="480" w:lineRule="auto"/>
              <w:rPr>
                <w:b/>
                <w:lang w:val="es-ES_tradnl"/>
              </w:rPr>
            </w:pPr>
            <w:r w:rsidRPr="00B0508B">
              <w:rPr>
                <w:bCs/>
                <w:lang w:val="es-ES_tradnl"/>
              </w:rPr>
              <w:t>Cualitativa de Revisión Documenta</w:t>
            </w:r>
          </w:p>
        </w:tc>
        <w:tc>
          <w:tcPr>
            <w:tcW w:w="665" w:type="pct"/>
          </w:tcPr>
          <w:p w14:paraId="461705FB"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 xml:space="preserve">Busca contextualizar la ineficacia como un mecanismo de control fallido o deficiente. Justifica la necesidad de la investigación al señalar las debilidades del </w:t>
            </w:r>
            <w:r w:rsidRPr="00B0508B">
              <w:rPr>
                <w:bCs/>
                <w:lang w:val="es-ES_tradnl"/>
              </w:rPr>
              <w:lastRenderedPageBreak/>
              <w:t>sistema de recaudo.</w:t>
            </w:r>
          </w:p>
        </w:tc>
        <w:tc>
          <w:tcPr>
            <w:tcW w:w="599" w:type="pct"/>
          </w:tcPr>
          <w:p w14:paraId="7C4D5342" w14:textId="77777777" w:rsidR="006D4587" w:rsidRPr="00B0508B" w:rsidRDefault="006D4587" w:rsidP="00263B16">
            <w:pPr>
              <w:pStyle w:val="NormalWeb"/>
              <w:spacing w:before="0" w:beforeAutospacing="0" w:after="0" w:afterAutospacing="0" w:line="480" w:lineRule="auto"/>
            </w:pPr>
            <w:r w:rsidRPr="00B0508B">
              <w:lastRenderedPageBreak/>
              <w:t xml:space="preserve">Estudio más general, nacional, sobre evasión tributaria y controles; si bien no se centra en retenciones en la fuente ni específicamente en Tolima, da </w:t>
            </w:r>
            <w:r w:rsidRPr="00B0508B">
              <w:lastRenderedPageBreak/>
              <w:t>perspectiva sobre mecanismos de control administrativo y efectos de sistemas como la facturación electrónica, que podrían relacionarse con eficiencia e ineficacia en obligaciones tributarias.</w:t>
            </w:r>
          </w:p>
          <w:p w14:paraId="3D800C74" w14:textId="77777777" w:rsidR="006D4587" w:rsidRPr="00B0508B" w:rsidRDefault="006D4587" w:rsidP="00263B16">
            <w:pPr>
              <w:pStyle w:val="NormalWeb"/>
              <w:spacing w:before="0" w:beforeAutospacing="0" w:after="0" w:afterAutospacing="0" w:line="480" w:lineRule="auto"/>
              <w:rPr>
                <w:b/>
                <w:lang w:val="es-ES_tradnl"/>
              </w:rPr>
            </w:pPr>
          </w:p>
        </w:tc>
      </w:tr>
      <w:tr w:rsidR="006D4587" w:rsidRPr="00B0508B" w14:paraId="588A6CFD" w14:textId="77777777" w:rsidTr="006D4587">
        <w:trPr>
          <w:jc w:val="center"/>
        </w:trPr>
        <w:tc>
          <w:tcPr>
            <w:tcW w:w="271" w:type="pct"/>
          </w:tcPr>
          <w:p w14:paraId="379D5222" w14:textId="77777777" w:rsidR="006D4587" w:rsidRPr="00B0508B" w:rsidRDefault="006D4587" w:rsidP="00263B16">
            <w:pPr>
              <w:pStyle w:val="NormalWeb"/>
              <w:spacing w:before="0" w:beforeAutospacing="0" w:after="0" w:afterAutospacing="0" w:line="480" w:lineRule="auto"/>
              <w:rPr>
                <w:b/>
                <w:lang w:val="es-ES_tradnl"/>
              </w:rPr>
            </w:pPr>
            <w:r w:rsidRPr="00B0508B">
              <w:rPr>
                <w:b/>
                <w:lang w:val="es-ES_tradnl"/>
              </w:rPr>
              <w:lastRenderedPageBreak/>
              <w:t>2</w:t>
            </w:r>
          </w:p>
        </w:tc>
        <w:tc>
          <w:tcPr>
            <w:tcW w:w="665" w:type="pct"/>
          </w:tcPr>
          <w:p w14:paraId="2964B719"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Tesis de Grado de Maestría</w:t>
            </w:r>
          </w:p>
        </w:tc>
        <w:tc>
          <w:tcPr>
            <w:tcW w:w="601" w:type="pct"/>
          </w:tcPr>
          <w:p w14:paraId="17D0FE45"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Lineamientos de fiscalización y control para los cruces de información en el municipio de Ibagué</w:t>
            </w:r>
          </w:p>
        </w:tc>
        <w:tc>
          <w:tcPr>
            <w:tcW w:w="733" w:type="pct"/>
          </w:tcPr>
          <w:p w14:paraId="47B75BC8"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Páez Aristizábal y Cabrera Garzón</w:t>
            </w:r>
          </w:p>
        </w:tc>
        <w:tc>
          <w:tcPr>
            <w:tcW w:w="733" w:type="pct"/>
          </w:tcPr>
          <w:p w14:paraId="6048E2C4"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 xml:space="preserve">Ibagué Tolima </w:t>
            </w:r>
          </w:p>
        </w:tc>
        <w:tc>
          <w:tcPr>
            <w:tcW w:w="733" w:type="pct"/>
          </w:tcPr>
          <w:p w14:paraId="6730749C"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Documental y Descriptiva.</w:t>
            </w:r>
          </w:p>
        </w:tc>
        <w:tc>
          <w:tcPr>
            <w:tcW w:w="665" w:type="pct"/>
          </w:tcPr>
          <w:p w14:paraId="48F664BB" w14:textId="77777777" w:rsidR="006D4587" w:rsidRPr="00B0508B" w:rsidRDefault="006D4587" w:rsidP="00263B16">
            <w:pPr>
              <w:pStyle w:val="NormalWeb"/>
              <w:spacing w:before="0" w:beforeAutospacing="0" w:after="0" w:afterAutospacing="0" w:line="480" w:lineRule="auto"/>
              <w:rPr>
                <w:b/>
                <w:lang w:val="es-ES_tradnl"/>
              </w:rPr>
            </w:pPr>
          </w:p>
        </w:tc>
        <w:tc>
          <w:tcPr>
            <w:tcW w:w="599" w:type="pct"/>
          </w:tcPr>
          <w:p w14:paraId="2F832E87" w14:textId="77777777" w:rsidR="006D4587" w:rsidRPr="00B0508B" w:rsidRDefault="006D4587" w:rsidP="00263B16">
            <w:pPr>
              <w:pStyle w:val="NormalWeb"/>
              <w:spacing w:before="0" w:beforeAutospacing="0" w:after="0" w:afterAutospacing="0" w:line="480" w:lineRule="auto"/>
              <w:rPr>
                <w:lang w:val="es-ES"/>
              </w:rPr>
            </w:pPr>
            <w:r w:rsidRPr="00B0508B">
              <w:t>Puede servir para ver cómo funcionan los controles formales en entidades locales, lo que se relaciona con la verificación de obligaciones tributarias formales, algo muy próximo al cumplimiento / ineficacia normativa.</w:t>
            </w:r>
          </w:p>
          <w:p w14:paraId="569CCDA7" w14:textId="77777777" w:rsidR="006D4587" w:rsidRPr="00B0508B" w:rsidRDefault="006D4587" w:rsidP="00263B16">
            <w:pPr>
              <w:pStyle w:val="NormalWeb"/>
              <w:spacing w:before="0" w:beforeAutospacing="0" w:after="0" w:afterAutospacing="0" w:line="480" w:lineRule="auto"/>
              <w:rPr>
                <w:b/>
                <w:lang w:val="es-ES_tradnl"/>
              </w:rPr>
            </w:pPr>
          </w:p>
        </w:tc>
      </w:tr>
      <w:tr w:rsidR="006D4587" w:rsidRPr="00B0508B" w14:paraId="6CBB852A" w14:textId="77777777" w:rsidTr="006D4587">
        <w:trPr>
          <w:jc w:val="center"/>
        </w:trPr>
        <w:tc>
          <w:tcPr>
            <w:tcW w:w="271" w:type="pct"/>
          </w:tcPr>
          <w:p w14:paraId="51840046" w14:textId="77777777" w:rsidR="006D4587" w:rsidRPr="00B0508B" w:rsidRDefault="006D4587" w:rsidP="00263B16">
            <w:pPr>
              <w:pStyle w:val="NormalWeb"/>
              <w:spacing w:before="0" w:beforeAutospacing="0" w:after="0" w:afterAutospacing="0" w:line="480" w:lineRule="auto"/>
              <w:rPr>
                <w:b/>
                <w:lang w:val="es-ES_tradnl"/>
              </w:rPr>
            </w:pPr>
            <w:r w:rsidRPr="00B0508B">
              <w:rPr>
                <w:b/>
                <w:lang w:val="es-ES_tradnl"/>
              </w:rPr>
              <w:lastRenderedPageBreak/>
              <w:t>3</w:t>
            </w:r>
          </w:p>
        </w:tc>
        <w:tc>
          <w:tcPr>
            <w:tcW w:w="665" w:type="pct"/>
          </w:tcPr>
          <w:p w14:paraId="500B5984"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Sentencia Judicial (Contestación de Demanda)</w:t>
            </w:r>
          </w:p>
        </w:tc>
        <w:tc>
          <w:tcPr>
            <w:tcW w:w="601" w:type="pct"/>
          </w:tcPr>
          <w:p w14:paraId="5E75FFDB"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Contestación de la demanda de Nulidad y Restablecimiento del Derecho contra la DIAN</w:t>
            </w:r>
          </w:p>
        </w:tc>
        <w:tc>
          <w:tcPr>
            <w:tcW w:w="733" w:type="pct"/>
          </w:tcPr>
          <w:p w14:paraId="6FE56BC4"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INAVIGOR SAS (Demandante) vs. Dirección de Impuestos y Aduanas Nacionales (DIAN) (Demandada)</w:t>
            </w:r>
          </w:p>
        </w:tc>
        <w:tc>
          <w:tcPr>
            <w:tcW w:w="733" w:type="pct"/>
          </w:tcPr>
          <w:p w14:paraId="4F643E08"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Ibagué Tolima</w:t>
            </w:r>
          </w:p>
        </w:tc>
        <w:tc>
          <w:tcPr>
            <w:tcW w:w="733" w:type="pct"/>
          </w:tcPr>
          <w:p w14:paraId="53AC8E40" w14:textId="77777777" w:rsidR="006D4587" w:rsidRPr="00B0508B" w:rsidRDefault="006D4587" w:rsidP="00263B16">
            <w:pPr>
              <w:pStyle w:val="NormalWeb"/>
              <w:spacing w:before="0" w:beforeAutospacing="0" w:after="0" w:afterAutospacing="0" w:line="480" w:lineRule="auto"/>
              <w:rPr>
                <w:bCs/>
                <w:lang w:val="es-ES_tradnl"/>
              </w:rPr>
            </w:pPr>
            <w:r w:rsidRPr="00B0508B">
              <w:rPr>
                <w:bCs/>
                <w:lang w:val="es-ES_tradnl"/>
              </w:rPr>
              <w:t>Aplicación e Interpretación Jurisprudencial (No es una metodología de investigación formal, sino un proceso judicial).</w:t>
            </w:r>
          </w:p>
        </w:tc>
        <w:tc>
          <w:tcPr>
            <w:tcW w:w="665" w:type="pct"/>
          </w:tcPr>
          <w:p w14:paraId="1DDA02D2" w14:textId="77777777" w:rsidR="006D4587" w:rsidRPr="00B0508B" w:rsidRDefault="006D4587" w:rsidP="00263B16">
            <w:pPr>
              <w:pStyle w:val="NormalWeb"/>
              <w:spacing w:before="0" w:beforeAutospacing="0" w:after="0" w:afterAutospacing="0" w:line="480" w:lineRule="auto"/>
              <w:rPr>
                <w:b/>
                <w:lang w:val="es-ES_tradnl"/>
              </w:rPr>
            </w:pPr>
          </w:p>
        </w:tc>
        <w:tc>
          <w:tcPr>
            <w:tcW w:w="599" w:type="pct"/>
          </w:tcPr>
          <w:p w14:paraId="4FAAF666" w14:textId="77777777" w:rsidR="006D4587" w:rsidRPr="00B0508B" w:rsidRDefault="006D4587" w:rsidP="00263B16">
            <w:pPr>
              <w:pStyle w:val="NormalWeb"/>
              <w:spacing w:before="0" w:beforeAutospacing="0" w:after="0" w:afterAutospacing="0" w:line="480" w:lineRule="auto"/>
              <w:rPr>
                <w:b/>
                <w:lang w:val="es-ES_tradnl"/>
              </w:rPr>
            </w:pPr>
          </w:p>
        </w:tc>
      </w:tr>
    </w:tbl>
    <w:p w14:paraId="7601A52B" w14:textId="3CF9988D" w:rsidR="006D4587" w:rsidRPr="006D4587" w:rsidRDefault="006D4587" w:rsidP="00263B16">
      <w:pPr>
        <w:pStyle w:val="Descripcin"/>
        <w:spacing w:after="0" w:line="480" w:lineRule="auto"/>
        <w:rPr>
          <w:rFonts w:cs="Times New Roman"/>
          <w:b/>
          <w:bCs/>
          <w:i w:val="0"/>
          <w:iCs w:val="0"/>
          <w:szCs w:val="24"/>
        </w:rPr>
      </w:pPr>
    </w:p>
    <w:p w14:paraId="019F2E32" w14:textId="493B6DD2" w:rsidR="001C3054" w:rsidRDefault="00B0508B" w:rsidP="00263B16">
      <w:pPr>
        <w:pStyle w:val="NormalWeb"/>
        <w:spacing w:before="0" w:beforeAutospacing="0" w:after="0" w:afterAutospacing="0" w:line="480" w:lineRule="auto"/>
      </w:pPr>
      <w:r w:rsidRPr="00B0508B">
        <w:t>Nota:</w:t>
      </w:r>
      <w:r w:rsidRPr="003E431D">
        <w:t xml:space="preserve"> </w:t>
      </w:r>
      <w:r w:rsidR="003E431D" w:rsidRPr="003E431D">
        <w:rPr>
          <w:bCs/>
          <w:u w:color="000000"/>
        </w:rPr>
        <w:t>El</w:t>
      </w:r>
      <w:r w:rsidRPr="003E431D">
        <w:t xml:space="preserve">aboración </w:t>
      </w:r>
      <w:r w:rsidRPr="00B0508B">
        <w:t>propia (Acero y López, 2026)</w:t>
      </w:r>
      <w:bookmarkStart w:id="68" w:name="_Hlk226304557"/>
    </w:p>
    <w:p w14:paraId="4CD39C5F" w14:textId="77777777" w:rsidR="001C012F" w:rsidRDefault="001C012F" w:rsidP="00263B16">
      <w:pPr>
        <w:pStyle w:val="NormalWeb"/>
        <w:spacing w:before="0" w:beforeAutospacing="0" w:after="0" w:afterAutospacing="0" w:line="480" w:lineRule="auto"/>
        <w:ind w:firstLine="720"/>
      </w:pPr>
    </w:p>
    <w:p w14:paraId="30AE37E1" w14:textId="77777777" w:rsidR="001C012F" w:rsidRDefault="001C012F" w:rsidP="00263B16">
      <w:pPr>
        <w:pStyle w:val="NormalWeb"/>
        <w:spacing w:before="0" w:beforeAutospacing="0" w:after="0" w:afterAutospacing="0" w:line="480" w:lineRule="auto"/>
        <w:ind w:firstLine="720"/>
        <w:sectPr w:rsidR="001C012F" w:rsidSect="00F913E9">
          <w:pgSz w:w="15840" w:h="12240" w:orient="landscape"/>
          <w:pgMar w:top="1440" w:right="1440" w:bottom="1440" w:left="1440" w:header="709" w:footer="709" w:gutter="0"/>
          <w:cols w:space="708"/>
          <w:docGrid w:linePitch="360"/>
        </w:sectPr>
      </w:pPr>
    </w:p>
    <w:p w14:paraId="13CF2F2F" w14:textId="1DB664ED" w:rsidR="00A75136" w:rsidRPr="006177E4" w:rsidRDefault="002E6F04" w:rsidP="008C471E">
      <w:pPr>
        <w:pStyle w:val="PrrAPA"/>
      </w:pPr>
      <w:r w:rsidRPr="006177E4">
        <w:lastRenderedPageBreak/>
        <w:t xml:space="preserve">En la monografía sobre Controles y Evasión de Impuestos en Colombia, elaborada por </w:t>
      </w:r>
      <w:sdt>
        <w:sdtPr>
          <w:rPr>
            <w:color w:val="000000"/>
            <w:spacing w:val="8"/>
          </w:rPr>
          <w:tag w:val="MENDELEY_CITATION_v3_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"/>
          <w:id w:val="-2137248318"/>
          <w:placeholder>
            <w:docPart w:val="CC1D3B8D166C4BFCAD38E0ED9E0012C9"/>
          </w:placeholder>
        </w:sdtPr>
        <w:sdtEndPr/>
        <w:sdtContent>
          <w:r w:rsidR="009A1775" w:rsidRPr="006177E4">
            <w:rPr>
              <w:color w:val="000000"/>
              <w:spacing w:val="8"/>
            </w:rPr>
            <w:t>González y Diaz (2024)</w:t>
          </w:r>
        </w:sdtContent>
      </w:sdt>
      <w:r w:rsidR="00F355DA" w:rsidRPr="006177E4">
        <w:t xml:space="preserve"> </w:t>
      </w:r>
      <w:r w:rsidRPr="006177E4">
        <w:t xml:space="preserve">de la Universidad Nacional Abierta y a Distancia (UNAD), se realiza un estudio detallado que apunta a medir la efectividad de los controles tributarios implementados por el estado colombiano para combatir la evasión de impuestos. El estudio se basa en un método documental cualitativo e informado por un </w:t>
      </w:r>
      <w:bookmarkEnd w:id="68"/>
      <w:r w:rsidRPr="006177E4">
        <w:t>análisis crítico de fuentes legales, doctrinales y estadística</w:t>
      </w:r>
      <w:r w:rsidR="00214AB2" w:rsidRPr="006177E4">
        <w:t>.</w:t>
      </w:r>
    </w:p>
    <w:p w14:paraId="264476F3" w14:textId="46C878CD" w:rsidR="002E6F04" w:rsidRPr="006177E4" w:rsidRDefault="002E6F04" w:rsidP="00263B16">
      <w:pPr>
        <w:pStyle w:val="PrrAPA"/>
      </w:pPr>
      <w:r w:rsidRPr="006177E4">
        <w:t>Los autores encuentran que, a pesar de los controles institucionales y reformas, persisten importantes brechas legales y operativas que obstaculizan la efectividad de las medidas adoptadas por la DIAN. Se enfatiza en los efectos perjudiciales de la evasión fiscal sobre la moral tributaria y el presupuesto del estado, haciendo un llamado a un mejor control sobre estos delitos y a una mejora en la cultura tributaria.</w:t>
      </w:r>
    </w:p>
    <w:p w14:paraId="376A0FF9" w14:textId="77777777" w:rsidR="002D033A" w:rsidRPr="006177E4" w:rsidRDefault="002E6F04" w:rsidP="00263B16">
      <w:pPr>
        <w:pStyle w:val="PrrAPA"/>
      </w:pPr>
      <w:r w:rsidRPr="006177E4">
        <w:t>Este trabajo es una referencia importante para la investigación sobre la ineficiencia de las declaraciones de retención de impuestos, ya que confirma fallos estructurales que generan el despilfarro relacionado con la gestión de recaudación de impuesto.</w:t>
      </w:r>
    </w:p>
    <w:p w14:paraId="6C7D8F9D" w14:textId="417B0980" w:rsidR="002E6F04" w:rsidRPr="006177E4" w:rsidRDefault="002E6F04" w:rsidP="00263B16">
      <w:pPr>
        <w:pStyle w:val="PrrAPA"/>
      </w:pPr>
      <w:r w:rsidRPr="006177E4">
        <w:t xml:space="preserve">La tesis de maestría de </w:t>
      </w:r>
      <w:sdt>
        <w:sdtPr>
          <w:rPr>
            <w:rFonts w:eastAsia="Times New Roman"/>
            <w:color w:val="000000"/>
            <w:spacing w:val="8"/>
            <w:lang w:eastAsia="es-CO"/>
          </w:rPr>
          <w:tag w:val="MENDELEY_CITATION_v3_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"/>
          <w:id w:val="597290571"/>
          <w:placeholder>
            <w:docPart w:val="6DB16FF16ED5417FB00E135D37F899BB"/>
          </w:placeholder>
        </w:sdtPr>
        <w:sdtEndPr/>
        <w:sdtContent>
          <w:r w:rsidR="009A1775" w:rsidRPr="006177E4">
            <w:rPr>
              <w:rFonts w:eastAsia="Times New Roman"/>
              <w:color w:val="000000"/>
            </w:rPr>
            <w:t>Páez y Cabrera (2020)</w:t>
          </w:r>
        </w:sdtContent>
      </w:sdt>
      <w:r w:rsidR="00F355DA" w:rsidRPr="006177E4">
        <w:t xml:space="preserve"> </w:t>
      </w:r>
      <w:r w:rsidRPr="006177E4">
        <w:t>titulada Lineamientos para la Supervisión y Control de los Cruces de Información en el Municipio de Ibagué, desarrolla una propuesta normativa que busca fortalecer el control fiscal a nivel municipal. El enfoque utilizado por los autores es doble: diagnóstico legal-regulatorio e institucional, a partir del cual estudian las deficiencias de herramientas tecnológicas y regulatorias que obstaculizan la capacidad de la administración local para controlar.</w:t>
      </w:r>
    </w:p>
    <w:p w14:paraId="27FB5AB2" w14:textId="77777777" w:rsidR="002E6F04" w:rsidRPr="006177E4" w:rsidRDefault="002E6F04" w:rsidP="00263B16">
      <w:pPr>
        <w:pStyle w:val="PrrAPA"/>
      </w:pPr>
      <w:r w:rsidRPr="006177E4">
        <w:t>La investigación descubre la falta de características suficientes para los cruces fuera del sector, lo que dificulta el reconocimiento de contribuyentes no cumplidores y falsos. A partir de este diagnóstico, se desarrollan recomendaciones de supervisión y propuestas para la reorganización administrativa.</w:t>
      </w:r>
    </w:p>
    <w:p w14:paraId="70D31E6D" w14:textId="5E203DB2" w:rsidR="002E6F04" w:rsidRPr="006177E4" w:rsidRDefault="002E6F04" w:rsidP="00263B16">
      <w:pPr>
        <w:pStyle w:val="PrrAPA"/>
      </w:pPr>
      <w:r w:rsidRPr="006177E4">
        <w:t xml:space="preserve">En la </w:t>
      </w:r>
      <w:sdt>
        <w:sdtPr>
          <w:rPr>
            <w:color w:val="000000"/>
          </w:rPr>
          <w:tag w:val="MENDELEY_CITATION_v3_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"/>
          <w:id w:val="-2037341401"/>
          <w:placeholder>
            <w:docPart w:val="DefaultPlaceholder_-1854013440"/>
          </w:placeholder>
        </w:sdtPr>
        <w:sdtEndPr/>
        <w:sdtContent>
          <w:r w:rsidR="009A1775" w:rsidRPr="006177E4">
            <w:rPr>
              <w:color w:val="000000"/>
            </w:rPr>
            <w:t xml:space="preserve">Sentencia 73001-23-33-000-2019-00336-00 </w:t>
          </w:r>
          <w:r w:rsidR="00EB5F68">
            <w:rPr>
              <w:color w:val="000000"/>
            </w:rPr>
            <w:t>(</w:t>
          </w:r>
          <w:r w:rsidR="009A1775" w:rsidRPr="006177E4">
            <w:rPr>
              <w:color w:val="000000"/>
            </w:rPr>
            <w:t>2022)</w:t>
          </w:r>
        </w:sdtContent>
      </w:sdt>
      <w:r w:rsidR="00CD3B16" w:rsidRPr="006177E4">
        <w:rPr>
          <w:color w:val="000000"/>
        </w:rPr>
        <w:t xml:space="preserve"> </w:t>
      </w:r>
      <w:r w:rsidRPr="006177E4">
        <w:t xml:space="preserve">del Consejo de Estado que finalizó la demanda </w:t>
      </w:r>
      <w:r w:rsidR="00F355DA" w:rsidRPr="006177E4">
        <w:t>de la</w:t>
      </w:r>
      <w:r w:rsidRPr="006177E4">
        <w:t xml:space="preserve"> empresa </w:t>
      </w:r>
      <w:proofErr w:type="spellStart"/>
      <w:r w:rsidRPr="006177E4">
        <w:t>Inavigor</w:t>
      </w:r>
      <w:proofErr w:type="spellEnd"/>
      <w:r w:rsidRPr="006177E4">
        <w:t xml:space="preserve"> en busca de nulidad y restauración efectiva interpuesta contra la Dirección Nacional de Impuestos y Aduanas (DIAN), se resuelve uno de sus fundamentos legales más relevantes sobre la ineficacia de las declaraciones de retención de impuestos. La decisión examina los Artículos 580 y 580-1 del </w:t>
      </w:r>
      <w:sdt>
        <w:sdtPr>
          <w:rPr>
            <w:color w:val="000000"/>
          </w:rPr>
          <w:tag w:val="MENDELEY_CITATION_v3_eyJjaXRhdGlvbklEIjoiTUVOREVMRVlfQ0lUQVRJT05fOGE0N2MzZjMtNDY5MC00NzQ5LThlNWUtZDQ0NmQ1MTIyNDQx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
          <w:id w:val="-2132166850"/>
          <w:placeholder>
            <w:docPart w:val="DefaultPlaceholder_-1854013440"/>
          </w:placeholder>
        </w:sdtPr>
        <w:sdtEndPr/>
        <w:sdtContent>
          <w:r w:rsidR="009A1775" w:rsidRPr="006177E4">
            <w:rPr>
              <w:color w:val="000000"/>
            </w:rPr>
            <w:t>(Estatuto Tributario, 1989a)</w:t>
          </w:r>
        </w:sdtContent>
      </w:sdt>
      <w:r w:rsidR="00B90B96" w:rsidRPr="006177E4">
        <w:rPr>
          <w:color w:val="000000"/>
        </w:rPr>
        <w:t xml:space="preserve"> </w:t>
      </w:r>
      <w:r w:rsidRPr="006177E4">
        <w:t>y sostiene que las declaraciones presentadas sin el pago completo son ineficaces por mandato de la ley, ya que no es necesaria una acción administrativa para establecer su falta de efecto legal.</w:t>
      </w:r>
    </w:p>
    <w:p w14:paraId="6E432B8A" w14:textId="2693CAF6" w:rsidR="002E6F04" w:rsidRPr="006177E4" w:rsidRDefault="002E6F04" w:rsidP="00263B16">
      <w:pPr>
        <w:pStyle w:val="PrrAPA"/>
      </w:pPr>
      <w:r w:rsidRPr="006177E4">
        <w:lastRenderedPageBreak/>
        <w:t xml:space="preserve">El Consejo de Estado comparte la interpretación según la cual el pago es un requisito esencial para que la declaración de nulidad produzca sus efectos y el impago determina al contribuyente como moroso. Este criterio, derivado de la doctrina constitucional y la </w:t>
      </w:r>
      <w:sdt>
        <w:sdtPr>
          <w:rPr>
            <w:color w:val="000000"/>
          </w:rPr>
          <w:tag w:val="MENDELEY_CITATION_v3_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QzMF8yMDEwLmh0bWwiLCJpc3N1ZWQiOnsiZGF0ZS1wYXJ0cyI6W1syMDEwXV19LCJjb250YWluZXItdGl0bGUtc2hvcnQiOiIifSwiaXNUZW1wb3JhcnkiOmZhbHNlfV19"/>
          <w:id w:val="313377608"/>
          <w:placeholder>
            <w:docPart w:val="DefaultPlaceholder_-1854013440"/>
          </w:placeholder>
        </w:sdtPr>
        <w:sdtEndPr/>
        <w:sdtContent>
          <w:r w:rsidR="009A1775" w:rsidRPr="006177E4">
            <w:rPr>
              <w:color w:val="000000"/>
            </w:rPr>
            <w:t>(Ley 1430, 2010)</w:t>
          </w:r>
        </w:sdtContent>
      </w:sdt>
      <w:r w:rsidRPr="006177E4">
        <w:t>, reitera el nexo directo entre el cumplimiento del pago y la validez de la declaración fiscal como un soporte legal insalvable para su argumento.</w:t>
      </w:r>
    </w:p>
    <w:p w14:paraId="21EA355C" w14:textId="6F8E83C1" w:rsidR="002E6F04" w:rsidRPr="006177E4" w:rsidRDefault="002E6F04" w:rsidP="00263B16">
      <w:pPr>
        <w:pStyle w:val="PrrAPA"/>
      </w:pPr>
      <w:r w:rsidRPr="006177E4">
        <w:t xml:space="preserve">Las palabras de </w:t>
      </w:r>
      <w:sdt>
        <w:sdtPr>
          <w:rPr>
            <w:color w:val="000000"/>
          </w:rPr>
          <w:tag w:val="MENDELEY_CITATION_v3_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"/>
          <w:id w:val="1810438187"/>
          <w:placeholder>
            <w:docPart w:val="DefaultPlaceholder_-1854013440"/>
          </w:placeholder>
        </w:sdtPr>
        <w:sdtEndPr/>
        <w:sdtContent>
          <w:r w:rsidR="009A1775" w:rsidRPr="006177E4">
            <w:rPr>
              <w:color w:val="000000"/>
            </w:rPr>
            <w:t xml:space="preserve">Reyes </w:t>
          </w:r>
          <w:r w:rsidR="001C3054">
            <w:rPr>
              <w:color w:val="000000"/>
            </w:rPr>
            <w:t>(</w:t>
          </w:r>
          <w:r w:rsidR="009A1775" w:rsidRPr="006177E4">
            <w:rPr>
              <w:color w:val="000000"/>
            </w:rPr>
            <w:t>2023)</w:t>
          </w:r>
        </w:sdtContent>
      </w:sdt>
      <w:r w:rsidRPr="006177E4">
        <w:rPr>
          <w:color w:val="FF0000"/>
        </w:rPr>
        <w:t xml:space="preserve"> </w:t>
      </w:r>
      <w:r w:rsidRPr="006177E4">
        <w:t>en la monografía Responsabilidad de los Agentes Retenedores por Inefectividad del Declarante, traza un estudio analítico cualitativo sobre la doctrina y jurisprudencia tributaria actual. El autor investiga las implicaciones de la noción de ineficacia en las obligaciones de los agentes retenedores, recalcando que no solo actúan como recaudadores de un impuesto, sino también como personas de seguridad para su transmisión exitosa al tesoro.</w:t>
      </w:r>
    </w:p>
    <w:p w14:paraId="310DD760" w14:textId="77777777" w:rsidR="002E6F04" w:rsidRPr="006177E4" w:rsidRDefault="002E6F04" w:rsidP="00263B16">
      <w:pPr>
        <w:pStyle w:val="PrrAPA"/>
      </w:pPr>
      <w:r w:rsidRPr="006177E4">
        <w:t>El autor señala que la retención por la cual no se paga ninguna suma provoca que la declaración pierda su validez legal, produciendo impactos sancionatorios y patrimoniales. También sugiere que se debe reforzar la formación en ética y derecho del agente retenedor para eliminar riesgos de incumplimiento.</w:t>
      </w:r>
    </w:p>
    <w:p w14:paraId="3355F4EB" w14:textId="49618244" w:rsidR="00E86DD1" w:rsidRDefault="002E6F04" w:rsidP="00263B16">
      <w:pPr>
        <w:pStyle w:val="PrrAPA"/>
      </w:pPr>
      <w:r w:rsidRPr="006177E4">
        <w:t>Este estudio es de naturaleza doctrinal y, por lo tanto, ofrece una contribución importante ocupando el análisis del concepto de ineficacia, desde un punto de vista “de cumplimiento” de la responsabilidad fiscal.</w:t>
      </w:r>
    </w:p>
    <w:p w14:paraId="77EF89DF" w14:textId="77777777" w:rsidR="001C3054" w:rsidRPr="001C3054" w:rsidRDefault="001C3054" w:rsidP="00263B16">
      <w:pPr>
        <w:pStyle w:val="PrrAPA"/>
        <w:rPr>
          <w:rStyle w:val="Ttulo4Car"/>
          <w:rFonts w:eastAsiaTheme="minorHAnsi" w:cs="Times New Roman"/>
          <w:b w:val="0"/>
          <w:iCs w:val="0"/>
        </w:rPr>
      </w:pPr>
    </w:p>
    <w:p w14:paraId="4FAF5BD5" w14:textId="77777777" w:rsidR="00C94F4C" w:rsidRPr="001C3054" w:rsidRDefault="00F355DA" w:rsidP="00263B16">
      <w:pPr>
        <w:pStyle w:val="Ttulo4"/>
      </w:pPr>
      <w:bookmarkStart w:id="69" w:name="_Toc228250781"/>
      <w:bookmarkStart w:id="70" w:name="_Toc229077647"/>
      <w:r w:rsidRPr="001C3054">
        <w:rPr>
          <w:rStyle w:val="Ttulo4Car"/>
          <w:b/>
          <w:iCs/>
        </w:rPr>
        <w:t xml:space="preserve">Antecedentes Académicos </w:t>
      </w:r>
      <w:r w:rsidR="00963A77" w:rsidRPr="001C3054">
        <w:rPr>
          <w:rStyle w:val="Ttulo4Car"/>
          <w:b/>
          <w:iCs/>
        </w:rPr>
        <w:t>Nacionales</w:t>
      </w:r>
      <w:r w:rsidRPr="001C3054">
        <w:rPr>
          <w:rStyle w:val="Ttulo4Car"/>
          <w:b/>
          <w:iCs/>
        </w:rPr>
        <w:t>.</w:t>
      </w:r>
      <w:bookmarkEnd w:id="69"/>
      <w:bookmarkEnd w:id="70"/>
      <w:r w:rsidR="006301EA" w:rsidRPr="001C3054">
        <w:t xml:space="preserve"> </w:t>
      </w:r>
    </w:p>
    <w:p w14:paraId="736D49D6" w14:textId="7DA99AD6" w:rsidR="00F72B9A" w:rsidRPr="006177E4" w:rsidRDefault="002D033A" w:rsidP="008C471E">
      <w:pPr>
        <w:pStyle w:val="PrrAPA"/>
        <w:rPr>
          <w:u w:color="000000"/>
          <w:lang w:val="es-ES_tradnl"/>
        </w:rPr>
        <w:sectPr w:rsidR="00F72B9A" w:rsidRPr="006177E4" w:rsidSect="00F913E9">
          <w:pgSz w:w="12240" w:h="15840"/>
          <w:pgMar w:top="1440" w:right="1440" w:bottom="1440" w:left="1440" w:header="709" w:footer="709" w:gutter="0"/>
          <w:cols w:space="708"/>
          <w:docGrid w:linePitch="360"/>
        </w:sectPr>
      </w:pPr>
      <w:r w:rsidRPr="006177E4">
        <w:rPr>
          <w:u w:color="000000"/>
          <w:lang w:val="es-ES_tradnl"/>
        </w:rPr>
        <w:t xml:space="preserve">En la siguiente tabla </w:t>
      </w:r>
      <w:r w:rsidR="00F72B9A" w:rsidRPr="006177E4">
        <w:rPr>
          <w:u w:color="000000"/>
          <w:lang w:val="es-ES_tradnl"/>
        </w:rPr>
        <w:t>se relaciona la revisión de la producción académica en materia tributaria y de retenciones en la fuente ineficaces, que sirvan como marco referencial que sirvan como soporte para la investigació</w:t>
      </w:r>
      <w:r w:rsidR="00C94F4C" w:rsidRPr="006177E4">
        <w:rPr>
          <w:u w:color="000000"/>
          <w:lang w:val="es-ES_tradnl"/>
        </w:rPr>
        <w:t>n</w:t>
      </w:r>
    </w:p>
    <w:p w14:paraId="0D6DFCE7" w14:textId="77777777" w:rsidR="00EB5F68" w:rsidRDefault="00F72B9A" w:rsidP="00263B16">
      <w:pPr>
        <w:pStyle w:val="Descripcin"/>
        <w:spacing w:after="0" w:line="480" w:lineRule="auto"/>
        <w:rPr>
          <w:rFonts w:cs="Times New Roman"/>
          <w:b/>
          <w:bCs/>
          <w:i w:val="0"/>
          <w:iCs w:val="0"/>
          <w:szCs w:val="24"/>
        </w:rPr>
      </w:pPr>
      <w:bookmarkStart w:id="71" w:name="_Toc227978303"/>
      <w:bookmarkStart w:id="72" w:name="_Toc229077701"/>
      <w:r w:rsidRPr="006177E4">
        <w:rPr>
          <w:rFonts w:cs="Times New Roman"/>
          <w:b/>
          <w:bCs/>
          <w:i w:val="0"/>
          <w:iCs w:val="0"/>
          <w:szCs w:val="24"/>
        </w:rPr>
        <w:lastRenderedPageBreak/>
        <w:t xml:space="preserve">Tabla </w:t>
      </w:r>
      <w:r w:rsidRPr="006177E4">
        <w:rPr>
          <w:rFonts w:cs="Times New Roman"/>
          <w:b/>
          <w:bCs/>
          <w:i w:val="0"/>
          <w:iCs w:val="0"/>
          <w:szCs w:val="24"/>
        </w:rPr>
        <w:fldChar w:fldCharType="begin"/>
      </w:r>
      <w:r w:rsidRPr="006177E4">
        <w:rPr>
          <w:rFonts w:cs="Times New Roman"/>
          <w:b/>
          <w:bCs/>
          <w:i w:val="0"/>
          <w:iCs w:val="0"/>
          <w:szCs w:val="24"/>
        </w:rPr>
        <w:instrText xml:space="preserve"> SEQ Tabla \* ARABIC </w:instrText>
      </w:r>
      <w:r w:rsidRPr="006177E4">
        <w:rPr>
          <w:rFonts w:cs="Times New Roman"/>
          <w:b/>
          <w:bCs/>
          <w:i w:val="0"/>
          <w:iCs w:val="0"/>
          <w:szCs w:val="24"/>
        </w:rPr>
        <w:fldChar w:fldCharType="separate"/>
      </w:r>
      <w:r w:rsidR="00D64F6E">
        <w:rPr>
          <w:rFonts w:cs="Times New Roman"/>
          <w:b/>
          <w:bCs/>
          <w:i w:val="0"/>
          <w:iCs w:val="0"/>
          <w:noProof/>
          <w:szCs w:val="24"/>
        </w:rPr>
        <w:t>2</w:t>
      </w:r>
      <w:bookmarkEnd w:id="71"/>
      <w:r w:rsidRPr="006177E4">
        <w:rPr>
          <w:rFonts w:cs="Times New Roman"/>
          <w:b/>
          <w:bCs/>
          <w:i w:val="0"/>
          <w:iCs w:val="0"/>
          <w:szCs w:val="24"/>
        </w:rPr>
        <w:fldChar w:fldCharType="end"/>
      </w:r>
      <w:r w:rsidR="001C3054">
        <w:rPr>
          <w:rFonts w:cs="Times New Roman"/>
          <w:b/>
          <w:bCs/>
          <w:i w:val="0"/>
          <w:iCs w:val="0"/>
          <w:szCs w:val="24"/>
        </w:rPr>
        <w:t xml:space="preserve"> </w:t>
      </w:r>
    </w:p>
    <w:p w14:paraId="78CDA591" w14:textId="15EBAD8F" w:rsidR="00F72B9A" w:rsidRPr="001C3054" w:rsidRDefault="00F72B9A" w:rsidP="00263B16">
      <w:pPr>
        <w:pStyle w:val="Descripcin"/>
        <w:spacing w:after="0" w:line="480" w:lineRule="auto"/>
        <w:rPr>
          <w:rFonts w:cs="Times New Roman"/>
          <w:b/>
          <w:bCs/>
          <w:i w:val="0"/>
          <w:iCs w:val="0"/>
          <w:szCs w:val="24"/>
        </w:rPr>
      </w:pPr>
      <w:r w:rsidRPr="006177E4">
        <w:rPr>
          <w:rFonts w:cs="Times New Roman"/>
          <w:szCs w:val="24"/>
        </w:rPr>
        <w:t>Antecedentes académicos nacionales</w:t>
      </w:r>
      <w:bookmarkEnd w:id="72"/>
    </w:p>
    <w:tbl>
      <w:tblPr>
        <w:tblStyle w:val="Tablaconcuadrculaclara"/>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62"/>
        <w:gridCol w:w="1176"/>
        <w:gridCol w:w="2243"/>
        <w:gridCol w:w="1803"/>
        <w:gridCol w:w="1616"/>
        <w:gridCol w:w="1496"/>
        <w:gridCol w:w="2267"/>
        <w:gridCol w:w="1897"/>
      </w:tblGrid>
      <w:tr w:rsidR="00F72B9A" w:rsidRPr="006177E4" w14:paraId="494DDA94" w14:textId="77777777" w:rsidTr="001C3054">
        <w:trPr>
          <w:trHeight w:val="1056"/>
        </w:trPr>
        <w:tc>
          <w:tcPr>
            <w:tcW w:w="159" w:type="pct"/>
          </w:tcPr>
          <w:p w14:paraId="0C6E319B" w14:textId="77777777" w:rsidR="00F72B9A" w:rsidRPr="006177E4" w:rsidRDefault="00F72B9A" w:rsidP="00263B16">
            <w:pPr>
              <w:spacing w:line="480" w:lineRule="auto"/>
              <w:rPr>
                <w:rFonts w:cs="Times New Roman"/>
                <w:b/>
                <w:szCs w:val="24"/>
                <w:u w:color="000000"/>
                <w:lang w:val="es-ES_tradnl"/>
              </w:rPr>
            </w:pPr>
            <w:proofErr w:type="spellStart"/>
            <w:r w:rsidRPr="006177E4">
              <w:rPr>
                <w:rFonts w:cs="Times New Roman"/>
                <w:b/>
                <w:szCs w:val="24"/>
                <w:u w:color="000000"/>
                <w:lang w:val="es-ES_tradnl"/>
              </w:rPr>
              <w:t>Nª</w:t>
            </w:r>
            <w:proofErr w:type="spellEnd"/>
          </w:p>
        </w:tc>
        <w:tc>
          <w:tcPr>
            <w:tcW w:w="517" w:type="pct"/>
          </w:tcPr>
          <w:p w14:paraId="7A71CFE9"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Tipo de producto</w:t>
            </w:r>
          </w:p>
        </w:tc>
        <w:tc>
          <w:tcPr>
            <w:tcW w:w="965" w:type="pct"/>
          </w:tcPr>
          <w:p w14:paraId="7B421E38"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Título del producto</w:t>
            </w:r>
          </w:p>
        </w:tc>
        <w:tc>
          <w:tcPr>
            <w:tcW w:w="582" w:type="pct"/>
          </w:tcPr>
          <w:p w14:paraId="328E3EDC"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Autor (es) o grupo de investigación</w:t>
            </w:r>
          </w:p>
        </w:tc>
        <w:tc>
          <w:tcPr>
            <w:tcW w:w="523" w:type="pct"/>
          </w:tcPr>
          <w:p w14:paraId="160E42C9"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Localización</w:t>
            </w:r>
          </w:p>
        </w:tc>
        <w:tc>
          <w:tcPr>
            <w:tcW w:w="485" w:type="pct"/>
          </w:tcPr>
          <w:p w14:paraId="3C24C9B9"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Metodología utilizada</w:t>
            </w:r>
          </w:p>
        </w:tc>
        <w:tc>
          <w:tcPr>
            <w:tcW w:w="956" w:type="pct"/>
          </w:tcPr>
          <w:p w14:paraId="6A5B9A97"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Resultados relevantes</w:t>
            </w:r>
          </w:p>
        </w:tc>
        <w:tc>
          <w:tcPr>
            <w:tcW w:w="813" w:type="pct"/>
          </w:tcPr>
          <w:p w14:paraId="574691A2" w14:textId="77777777" w:rsidR="00F72B9A" w:rsidRPr="006177E4" w:rsidRDefault="00F72B9A" w:rsidP="00263B16">
            <w:pPr>
              <w:spacing w:line="480" w:lineRule="auto"/>
              <w:jc w:val="center"/>
              <w:rPr>
                <w:rFonts w:cs="Times New Roman"/>
                <w:b/>
                <w:szCs w:val="24"/>
                <w:u w:color="000000"/>
                <w:lang w:val="es-ES_tradnl"/>
              </w:rPr>
            </w:pPr>
            <w:r w:rsidRPr="006177E4">
              <w:rPr>
                <w:rFonts w:cs="Times New Roman"/>
                <w:b/>
                <w:szCs w:val="24"/>
                <w:u w:color="000000"/>
                <w:lang w:val="es-ES_tradnl"/>
              </w:rPr>
              <w:t>Aportes</w:t>
            </w:r>
          </w:p>
        </w:tc>
      </w:tr>
      <w:tr w:rsidR="00F72B9A" w:rsidRPr="006177E4" w14:paraId="47453DF2" w14:textId="77777777" w:rsidTr="001C3054">
        <w:trPr>
          <w:trHeight w:val="3192"/>
        </w:trPr>
        <w:tc>
          <w:tcPr>
            <w:tcW w:w="159" w:type="pct"/>
          </w:tcPr>
          <w:p w14:paraId="4AC73ABA" w14:textId="77777777" w:rsidR="00F72B9A" w:rsidRPr="006177E4" w:rsidRDefault="00F72B9A" w:rsidP="00263B16">
            <w:pPr>
              <w:spacing w:line="480" w:lineRule="auto"/>
              <w:jc w:val="center"/>
              <w:rPr>
                <w:rFonts w:cs="Times New Roman"/>
                <w:bCs/>
                <w:szCs w:val="24"/>
                <w:u w:color="000000"/>
                <w:lang w:val="es-ES_tradnl"/>
              </w:rPr>
            </w:pPr>
            <w:r w:rsidRPr="006177E4">
              <w:rPr>
                <w:rFonts w:cs="Times New Roman"/>
                <w:bCs/>
                <w:szCs w:val="24"/>
                <w:u w:color="000000"/>
                <w:lang w:val="es-ES_tradnl"/>
              </w:rPr>
              <w:t>1</w:t>
            </w:r>
          </w:p>
        </w:tc>
        <w:tc>
          <w:tcPr>
            <w:tcW w:w="517" w:type="pct"/>
          </w:tcPr>
          <w:p w14:paraId="5824DF0A"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Tesis de Maestría en derecho del Estado con énfasis en derecho  </w:t>
            </w:r>
          </w:p>
        </w:tc>
        <w:tc>
          <w:tcPr>
            <w:tcW w:w="965" w:type="pct"/>
          </w:tcPr>
          <w:p w14:paraId="198D6AF0"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Ineficacia de las declaraciones de retención en la fuente. Un análisis comparativo frente a los cambios normativos de los años 2011 al 2023 y su relación con la debida gestión de cobro por parte de la </w:t>
            </w:r>
            <w:r w:rsidRPr="006177E4">
              <w:rPr>
                <w:rFonts w:cs="Times New Roman"/>
                <w:bCs/>
                <w:szCs w:val="24"/>
                <w:u w:color="000000"/>
                <w:lang w:val="es-ES_tradnl"/>
              </w:rPr>
              <w:lastRenderedPageBreak/>
              <w:t>DIAN seccional Villavicencio</w:t>
            </w:r>
          </w:p>
        </w:tc>
        <w:tc>
          <w:tcPr>
            <w:tcW w:w="582" w:type="pct"/>
          </w:tcPr>
          <w:p w14:paraId="614C26AB" w14:textId="422FD39C" w:rsidR="00F72B9A" w:rsidRPr="006177E4" w:rsidRDefault="00674D57" w:rsidP="00263B16">
            <w:pPr>
              <w:spacing w:line="480" w:lineRule="auto"/>
              <w:rPr>
                <w:rFonts w:cs="Times New Roman"/>
                <w:bCs/>
                <w:szCs w:val="24"/>
                <w:u w:color="000000"/>
                <w:lang w:val="es-ES_tradnl"/>
              </w:rPr>
            </w:pPr>
            <w:sdt>
              <w:sdtPr>
                <w:rPr>
                  <w:rFonts w:cs="Times New Roman"/>
                  <w:bCs/>
                  <w:color w:val="000000"/>
                  <w:szCs w:val="24"/>
                  <w:u w:color="000000"/>
                  <w:lang w:val="es-ES_tradnl"/>
                </w:rPr>
                <w:tag w:val="MENDELEY_CITATION_v3_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"/>
                <w:id w:val="1895701293"/>
                <w:placeholder>
                  <w:docPart w:val="0F144165463C4ED8988724A0EE3F9C50"/>
                </w:placeholder>
              </w:sdtPr>
              <w:sdtEndPr/>
              <w:sdtContent>
                <w:r w:rsidR="009A1775" w:rsidRPr="006177E4">
                  <w:rPr>
                    <w:rFonts w:cs="Times New Roman"/>
                    <w:bCs/>
                    <w:color w:val="000000"/>
                    <w:szCs w:val="24"/>
                    <w:u w:color="000000"/>
                    <w:lang w:val="es-ES_tradnl"/>
                  </w:rPr>
                  <w:t>(Saldarriaga Ramírez, 2024)</w:t>
                </w:r>
              </w:sdtContent>
            </w:sdt>
          </w:p>
        </w:tc>
        <w:tc>
          <w:tcPr>
            <w:tcW w:w="523" w:type="pct"/>
          </w:tcPr>
          <w:p w14:paraId="417451C7"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Bogotá D.C Cundinamarca </w:t>
            </w:r>
          </w:p>
        </w:tc>
        <w:tc>
          <w:tcPr>
            <w:tcW w:w="485" w:type="pct"/>
          </w:tcPr>
          <w:p w14:paraId="26720919"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Estudio de caso y análisis comparativo</w:t>
            </w:r>
          </w:p>
        </w:tc>
        <w:tc>
          <w:tcPr>
            <w:tcW w:w="956" w:type="pct"/>
          </w:tcPr>
          <w:p w14:paraId="7FD3DAB2" w14:textId="77777777" w:rsidR="00F72B9A" w:rsidRPr="006177E4" w:rsidRDefault="00F72B9A" w:rsidP="00263B16">
            <w:pPr>
              <w:spacing w:line="480" w:lineRule="auto"/>
              <w:rPr>
                <w:rFonts w:cs="Times New Roman"/>
                <w:bCs/>
                <w:szCs w:val="24"/>
                <w:u w:color="000000"/>
                <w:lang w:val="es-ES_tradnl"/>
              </w:rPr>
            </w:pPr>
            <w:r w:rsidRPr="006177E4">
              <w:rPr>
                <w:rFonts w:eastAsia="Times New Roman" w:cs="Times New Roman"/>
                <w:szCs w:val="24"/>
                <w:lang w:eastAsia="es-CO"/>
              </w:rPr>
              <w:t xml:space="preserve">Analiza la evolución normativa de la figura de la ineficacia y su impacto en la gestión de cobro coactivo de la DIAN, específicamente en la seccional de Villavicencio. Relevante para entender cómo los </w:t>
            </w:r>
            <w:r w:rsidRPr="006177E4">
              <w:rPr>
                <w:rFonts w:eastAsia="Times New Roman" w:cs="Times New Roman"/>
                <w:szCs w:val="24"/>
                <w:lang w:eastAsia="es-CO"/>
              </w:rPr>
              <w:lastRenderedPageBreak/>
              <w:t>cambios legislativos han afectado la eficacia en el recaudo tributario</w:t>
            </w:r>
          </w:p>
        </w:tc>
        <w:tc>
          <w:tcPr>
            <w:tcW w:w="813" w:type="pct"/>
          </w:tcPr>
          <w:p w14:paraId="7D79DDF7"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lastRenderedPageBreak/>
              <w:t>Proporciona un enfoque práctico sobre cómo la ineficacia afecta la gestión de cobro en una seccional específica de la DIAN.</w:t>
            </w:r>
          </w:p>
        </w:tc>
      </w:tr>
      <w:tr w:rsidR="00F72B9A" w:rsidRPr="006177E4" w14:paraId="6DCFD3F5" w14:textId="77777777" w:rsidTr="001C3054">
        <w:trPr>
          <w:trHeight w:val="2465"/>
        </w:trPr>
        <w:tc>
          <w:tcPr>
            <w:tcW w:w="159" w:type="pct"/>
          </w:tcPr>
          <w:p w14:paraId="46665870" w14:textId="77777777" w:rsidR="00F72B9A" w:rsidRPr="006177E4" w:rsidRDefault="00F72B9A" w:rsidP="00263B16">
            <w:pPr>
              <w:spacing w:line="480" w:lineRule="auto"/>
              <w:jc w:val="center"/>
              <w:rPr>
                <w:rFonts w:cs="Times New Roman"/>
                <w:bCs/>
                <w:szCs w:val="24"/>
                <w:u w:color="000000"/>
                <w:lang w:val="es-ES_tradnl"/>
              </w:rPr>
            </w:pPr>
            <w:r w:rsidRPr="006177E4">
              <w:rPr>
                <w:rFonts w:cs="Times New Roman"/>
                <w:bCs/>
                <w:szCs w:val="24"/>
                <w:u w:color="000000"/>
                <w:lang w:val="es-ES_tradnl"/>
              </w:rPr>
              <w:t>2</w:t>
            </w:r>
          </w:p>
        </w:tc>
        <w:tc>
          <w:tcPr>
            <w:tcW w:w="517" w:type="pct"/>
          </w:tcPr>
          <w:p w14:paraId="5F5B8D43"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Artículo de revista cintica de derecho fiscal </w:t>
            </w:r>
            <w:proofErr w:type="spellStart"/>
            <w:r w:rsidRPr="006177E4">
              <w:rPr>
                <w:rFonts w:cs="Times New Roman"/>
                <w:bCs/>
                <w:szCs w:val="24"/>
                <w:u w:color="000000"/>
                <w:lang w:val="es-ES_tradnl"/>
              </w:rPr>
              <w:t>Nª</w:t>
            </w:r>
            <w:proofErr w:type="spellEnd"/>
            <w:r w:rsidRPr="006177E4">
              <w:rPr>
                <w:rFonts w:cs="Times New Roman"/>
                <w:bCs/>
                <w:szCs w:val="24"/>
                <w:u w:color="000000"/>
                <w:lang w:val="es-ES_tradnl"/>
              </w:rPr>
              <w:t xml:space="preserve"> 19 de julio a diciembre del 2021  </w:t>
            </w:r>
          </w:p>
        </w:tc>
        <w:tc>
          <w:tcPr>
            <w:tcW w:w="965" w:type="pct"/>
          </w:tcPr>
          <w:p w14:paraId="5647359B"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Retención en la fuente para efectos del impuesto sobre la renta en ingresos de la cédula del trabajo: análisis del caso de los docentes catedráticos y personas naturales con vinculación </w:t>
            </w:r>
            <w:r w:rsidRPr="006177E4">
              <w:rPr>
                <w:rFonts w:cs="Times New Roman"/>
                <w:bCs/>
                <w:szCs w:val="24"/>
                <w:u w:color="000000"/>
                <w:lang w:val="es-ES_tradnl"/>
              </w:rPr>
              <w:lastRenderedPageBreak/>
              <w:t>múltiple en Colombia</w:t>
            </w:r>
          </w:p>
        </w:tc>
        <w:tc>
          <w:tcPr>
            <w:tcW w:w="582" w:type="pct"/>
          </w:tcPr>
          <w:p w14:paraId="04E0553A"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lastRenderedPageBreak/>
              <w:t>Camacho Tovar (2021)</w:t>
            </w:r>
          </w:p>
        </w:tc>
        <w:tc>
          <w:tcPr>
            <w:tcW w:w="523" w:type="pct"/>
          </w:tcPr>
          <w:p w14:paraId="2D324459"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Bogotá D.C Cundinamarca</w:t>
            </w:r>
          </w:p>
        </w:tc>
        <w:tc>
          <w:tcPr>
            <w:tcW w:w="485" w:type="pct"/>
          </w:tcPr>
          <w:p w14:paraId="7C74DF99"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Análisis de caso y revisión normativa</w:t>
            </w:r>
          </w:p>
        </w:tc>
        <w:tc>
          <w:tcPr>
            <w:tcW w:w="956" w:type="pct"/>
          </w:tcPr>
          <w:p w14:paraId="2AB2E58C"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La implementación del sistema cedular generó inestabilidad e incertidumbre jurídica para los agentes de retención.</w:t>
            </w:r>
          </w:p>
        </w:tc>
        <w:tc>
          <w:tcPr>
            <w:tcW w:w="813" w:type="pct"/>
          </w:tcPr>
          <w:p w14:paraId="2C1CF42B"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Aporta una perspectiva sobre cómo los cambios normativos afectan la aplicación de la retención en la fuente en casos específicos.</w:t>
            </w:r>
          </w:p>
        </w:tc>
      </w:tr>
      <w:tr w:rsidR="00F72B9A" w:rsidRPr="006177E4" w14:paraId="5F28618D" w14:textId="77777777" w:rsidTr="001C3054">
        <w:trPr>
          <w:trHeight w:val="2124"/>
        </w:trPr>
        <w:tc>
          <w:tcPr>
            <w:tcW w:w="159" w:type="pct"/>
          </w:tcPr>
          <w:p w14:paraId="59036300"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3</w:t>
            </w:r>
          </w:p>
        </w:tc>
        <w:tc>
          <w:tcPr>
            <w:tcW w:w="517" w:type="pct"/>
          </w:tcPr>
          <w:p w14:paraId="71F9E0B9"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Artículo de revista científica.</w:t>
            </w:r>
          </w:p>
        </w:tc>
        <w:tc>
          <w:tcPr>
            <w:tcW w:w="965" w:type="pct"/>
          </w:tcPr>
          <w:p w14:paraId="1A2EFE5D"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Cultura tributaria como estrategia para prevenir el incumplimiento de los deberes formales del contribuyente </w:t>
            </w:r>
          </w:p>
        </w:tc>
        <w:tc>
          <w:tcPr>
            <w:tcW w:w="582" w:type="pct"/>
          </w:tcPr>
          <w:p w14:paraId="17E0F1A8" w14:textId="06859191"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(2021)</w:t>
            </w:r>
            <w:sdt>
              <w:sdtPr>
                <w:rPr>
                  <w:rFonts w:cs="Times New Roman"/>
                  <w:bCs/>
                  <w:color w:val="000000"/>
                  <w:szCs w:val="24"/>
                  <w:u w:color="000000"/>
                  <w:lang w:val="es-ES_tradnl"/>
                </w:rPr>
                <w:tag w:val="MENDELEY_CITATION_v3_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"/>
                <w:id w:val="1406348934"/>
                <w:placeholder>
                  <w:docPart w:val="0F144165463C4ED8988724A0EE3F9C50"/>
                </w:placeholder>
              </w:sdtPr>
              <w:sdtEndPr/>
              <w:sdtContent>
                <w:r w:rsidR="009A1775" w:rsidRPr="006177E4">
                  <w:rPr>
                    <w:rFonts w:cs="Times New Roman"/>
                    <w:bCs/>
                    <w:color w:val="000000"/>
                    <w:szCs w:val="24"/>
                    <w:u w:color="000000"/>
                    <w:lang w:val="es-ES_tradnl"/>
                  </w:rPr>
                  <w:t>(Espinosa Díaz et al., 2021)</w:t>
                </w:r>
              </w:sdtContent>
            </w:sdt>
          </w:p>
        </w:tc>
        <w:tc>
          <w:tcPr>
            <w:tcW w:w="523" w:type="pct"/>
          </w:tcPr>
          <w:p w14:paraId="2BA37287"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Bogotá D.C Cundinamarca</w:t>
            </w:r>
          </w:p>
        </w:tc>
        <w:tc>
          <w:tcPr>
            <w:tcW w:w="485" w:type="pct"/>
          </w:tcPr>
          <w:p w14:paraId="386D7D3C"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La metodología que se utilizo </w:t>
            </w:r>
          </w:p>
        </w:tc>
        <w:tc>
          <w:tcPr>
            <w:tcW w:w="956" w:type="pct"/>
          </w:tcPr>
          <w:p w14:paraId="5B6A389E"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Existe una relación positiva entre la cultura tributaria y el cumplimiento de las obligaciones fiscales. Este artículo manifiesta que </w:t>
            </w:r>
            <w:r w:rsidRPr="006177E4">
              <w:rPr>
                <w:rFonts w:cs="Times New Roman"/>
                <w:szCs w:val="24"/>
              </w:rPr>
              <w:t xml:space="preserve">persisten desafíos como la corrupción, la economía informal y el acceso limitado a la educación, que </w:t>
            </w:r>
            <w:r w:rsidRPr="006177E4">
              <w:rPr>
                <w:rFonts w:cs="Times New Roman"/>
                <w:szCs w:val="24"/>
              </w:rPr>
              <w:lastRenderedPageBreak/>
              <w:t>dificultan consolidar una cultura tributaria estable. En general, fomentar la cultura tributaria es clave para aumentar el cumplimiento y mejorar los ingresos estatales.</w:t>
            </w:r>
          </w:p>
        </w:tc>
        <w:tc>
          <w:tcPr>
            <w:tcW w:w="813" w:type="pct"/>
          </w:tcPr>
          <w:p w14:paraId="150AECBA" w14:textId="77777777" w:rsidR="00F72B9A" w:rsidRPr="006177E4" w:rsidRDefault="00F72B9A" w:rsidP="00263B16">
            <w:pPr>
              <w:spacing w:line="480" w:lineRule="auto"/>
              <w:rPr>
                <w:rFonts w:cs="Times New Roman"/>
                <w:szCs w:val="24"/>
                <w:lang w:val="es-ES_tradnl" w:eastAsia="es-CO"/>
              </w:rPr>
            </w:pPr>
            <w:r w:rsidRPr="006177E4">
              <w:rPr>
                <w:rFonts w:cs="Times New Roman"/>
                <w:szCs w:val="24"/>
              </w:rPr>
              <w:lastRenderedPageBreak/>
              <w:t xml:space="preserve">En la construcción de este trabajo de investigación, este estudio aporta conocimientos que permiten argumentar que la ineficacia de las declaraciones de retención en la </w:t>
            </w:r>
            <w:r w:rsidRPr="006177E4">
              <w:rPr>
                <w:rFonts w:cs="Times New Roman"/>
                <w:szCs w:val="24"/>
              </w:rPr>
              <w:lastRenderedPageBreak/>
              <w:t>fuente, no solo es un problema normativo o administrativo, sino también, cultural y educativo</w:t>
            </w:r>
          </w:p>
        </w:tc>
      </w:tr>
      <w:tr w:rsidR="00F72B9A" w:rsidRPr="006177E4" w14:paraId="0A9EA73E" w14:textId="77777777" w:rsidTr="001C3054">
        <w:trPr>
          <w:trHeight w:val="2828"/>
        </w:trPr>
        <w:tc>
          <w:tcPr>
            <w:tcW w:w="159" w:type="pct"/>
          </w:tcPr>
          <w:p w14:paraId="2B335117" w14:textId="77777777" w:rsidR="00F72B9A" w:rsidRPr="006177E4" w:rsidRDefault="00F72B9A" w:rsidP="00263B16">
            <w:pPr>
              <w:spacing w:line="480" w:lineRule="auto"/>
              <w:jc w:val="center"/>
              <w:rPr>
                <w:rFonts w:cs="Times New Roman"/>
                <w:bCs/>
                <w:szCs w:val="24"/>
                <w:u w:color="000000"/>
                <w:lang w:val="es-ES_tradnl"/>
              </w:rPr>
            </w:pPr>
            <w:r w:rsidRPr="006177E4">
              <w:rPr>
                <w:rFonts w:cs="Times New Roman"/>
                <w:bCs/>
                <w:szCs w:val="24"/>
                <w:u w:color="000000"/>
                <w:lang w:val="es-ES_tradnl"/>
              </w:rPr>
              <w:lastRenderedPageBreak/>
              <w:t>4</w:t>
            </w:r>
          </w:p>
        </w:tc>
        <w:tc>
          <w:tcPr>
            <w:tcW w:w="517" w:type="pct"/>
          </w:tcPr>
          <w:p w14:paraId="6ABAA44A"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Artículo técnico </w:t>
            </w:r>
          </w:p>
        </w:tc>
        <w:tc>
          <w:tcPr>
            <w:tcW w:w="965" w:type="pct"/>
          </w:tcPr>
          <w:p w14:paraId="153D88EC"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Lo que debe saber de declaraciones tributarias ineficaces en Colombia</w:t>
            </w:r>
          </w:p>
        </w:tc>
        <w:tc>
          <w:tcPr>
            <w:tcW w:w="582" w:type="pct"/>
          </w:tcPr>
          <w:p w14:paraId="74BA77A2" w14:textId="77777777" w:rsidR="00F72B9A" w:rsidRPr="006177E4" w:rsidRDefault="00F72B9A" w:rsidP="00263B16">
            <w:pPr>
              <w:spacing w:line="480" w:lineRule="auto"/>
              <w:rPr>
                <w:rFonts w:cs="Times New Roman"/>
                <w:szCs w:val="24"/>
              </w:rPr>
            </w:pPr>
            <w:r w:rsidRPr="006177E4">
              <w:rPr>
                <w:rFonts w:cs="Times New Roman"/>
                <w:szCs w:val="24"/>
              </w:rPr>
              <w:t>Mendoza (2023)</w:t>
            </w:r>
          </w:p>
        </w:tc>
        <w:tc>
          <w:tcPr>
            <w:tcW w:w="523" w:type="pct"/>
          </w:tcPr>
          <w:p w14:paraId="308C8102"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Bogotá D.C</w:t>
            </w:r>
          </w:p>
        </w:tc>
        <w:tc>
          <w:tcPr>
            <w:tcW w:w="485" w:type="pct"/>
          </w:tcPr>
          <w:p w14:paraId="193DE6A5"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Análisis practico u normativo </w:t>
            </w:r>
          </w:p>
        </w:tc>
        <w:tc>
          <w:tcPr>
            <w:tcW w:w="956" w:type="pct"/>
          </w:tcPr>
          <w:p w14:paraId="76C61544" w14:textId="77777777" w:rsidR="00F72B9A" w:rsidRPr="006177E4" w:rsidRDefault="00F72B9A" w:rsidP="00263B16">
            <w:pPr>
              <w:spacing w:line="480" w:lineRule="auto"/>
              <w:rPr>
                <w:rFonts w:cs="Times New Roman"/>
                <w:bCs/>
                <w:szCs w:val="24"/>
                <w:u w:color="000000"/>
                <w:lang w:val="es-ES_tradnl"/>
              </w:rPr>
            </w:pPr>
            <w:r w:rsidRPr="006177E4">
              <w:rPr>
                <w:rFonts w:cs="Times New Roman"/>
                <w:bCs/>
                <w:szCs w:val="24"/>
                <w:u w:color="000000"/>
                <w:lang w:val="es-ES_tradnl"/>
              </w:rPr>
              <w:t xml:space="preserve">Describe las implicaciones de la ineficacia de las retenciones en la fuente y como abordad esta </w:t>
            </w:r>
            <w:r w:rsidRPr="006177E4">
              <w:rPr>
                <w:rFonts w:cs="Times New Roman"/>
                <w:bCs/>
                <w:szCs w:val="24"/>
                <w:u w:color="000000"/>
                <w:lang w:val="es-ES_tradnl"/>
              </w:rPr>
              <w:lastRenderedPageBreak/>
              <w:t xml:space="preserve">situación por parte de los contribuyentes. </w:t>
            </w:r>
          </w:p>
        </w:tc>
        <w:tc>
          <w:tcPr>
            <w:tcW w:w="813" w:type="pct"/>
          </w:tcPr>
          <w:p w14:paraId="282ABCED" w14:textId="77777777" w:rsidR="00F72B9A" w:rsidRPr="006177E4" w:rsidRDefault="00F72B9A" w:rsidP="00263B16">
            <w:pPr>
              <w:spacing w:line="480" w:lineRule="auto"/>
              <w:rPr>
                <w:rFonts w:cs="Times New Roman"/>
                <w:szCs w:val="24"/>
              </w:rPr>
            </w:pPr>
            <w:r w:rsidRPr="006177E4">
              <w:rPr>
                <w:rFonts w:cs="Times New Roman"/>
                <w:szCs w:val="24"/>
              </w:rPr>
              <w:lastRenderedPageBreak/>
              <w:t xml:space="preserve">Brinda una perspectiva </w:t>
            </w:r>
            <w:proofErr w:type="spellStart"/>
            <w:r w:rsidRPr="006177E4">
              <w:rPr>
                <w:rFonts w:cs="Times New Roman"/>
                <w:szCs w:val="24"/>
              </w:rPr>
              <w:t>mas</w:t>
            </w:r>
            <w:proofErr w:type="spellEnd"/>
            <w:r w:rsidRPr="006177E4">
              <w:rPr>
                <w:rFonts w:cs="Times New Roman"/>
                <w:szCs w:val="24"/>
              </w:rPr>
              <w:t xml:space="preserve"> clara acerca de la problemática de la ineficacia de las declaraciones, desde el punto de </w:t>
            </w:r>
            <w:r w:rsidRPr="006177E4">
              <w:rPr>
                <w:rFonts w:cs="Times New Roman"/>
                <w:szCs w:val="24"/>
              </w:rPr>
              <w:lastRenderedPageBreak/>
              <w:t xml:space="preserve">vista del contribuyente y complementa el análisis teórico de esta investigación. </w:t>
            </w:r>
          </w:p>
        </w:tc>
      </w:tr>
    </w:tbl>
    <w:p w14:paraId="0BEBD527" w14:textId="1DC0FCDB" w:rsidR="002D033A" w:rsidRPr="006177E4" w:rsidRDefault="00F72B9A" w:rsidP="00263B16">
      <w:pPr>
        <w:spacing w:line="480" w:lineRule="auto"/>
        <w:ind w:firstLine="720"/>
        <w:jc w:val="left"/>
        <w:rPr>
          <w:rFonts w:cs="Times New Roman"/>
          <w:bCs/>
          <w:szCs w:val="24"/>
          <w:u w:color="000000"/>
        </w:rPr>
        <w:sectPr w:rsidR="002D033A" w:rsidRPr="006177E4" w:rsidSect="00F913E9">
          <w:pgSz w:w="15840" w:h="12240" w:orient="landscape"/>
          <w:pgMar w:top="1440" w:right="1440" w:bottom="1440" w:left="1440" w:header="709" w:footer="709" w:gutter="0"/>
          <w:cols w:space="708"/>
          <w:docGrid w:linePitch="360"/>
        </w:sectPr>
      </w:pPr>
      <w:r w:rsidRPr="006177E4">
        <w:rPr>
          <w:rFonts w:cs="Times New Roman"/>
          <w:bCs/>
          <w:i/>
          <w:iCs/>
          <w:szCs w:val="24"/>
          <w:u w:color="000000"/>
        </w:rPr>
        <w:lastRenderedPageBreak/>
        <w:t>Nota</w:t>
      </w:r>
      <w:r w:rsidRPr="006177E4">
        <w:rPr>
          <w:rFonts w:cs="Times New Roman"/>
          <w:bCs/>
          <w:szCs w:val="24"/>
          <w:u w:color="000000"/>
        </w:rPr>
        <w:t>.</w:t>
      </w:r>
      <w:r w:rsidR="001C3054">
        <w:rPr>
          <w:rFonts w:cs="Times New Roman"/>
          <w:bCs/>
          <w:szCs w:val="24"/>
          <w:u w:color="000000"/>
        </w:rPr>
        <w:t xml:space="preserve"> </w:t>
      </w:r>
      <w:r w:rsidR="00E27C5F">
        <w:rPr>
          <w:rFonts w:cs="Times New Roman"/>
          <w:bCs/>
          <w:szCs w:val="24"/>
          <w:u w:color="000000"/>
        </w:rPr>
        <w:t>E</w:t>
      </w:r>
      <w:r w:rsidR="0004007D" w:rsidRPr="0004007D">
        <w:rPr>
          <w:rFonts w:cs="Times New Roman"/>
          <w:bCs/>
          <w:szCs w:val="24"/>
          <w:u w:color="000000"/>
        </w:rPr>
        <w:t>laboración propia.</w:t>
      </w:r>
      <w:r w:rsidR="001C3054" w:rsidRPr="0004007D">
        <w:rPr>
          <w:rFonts w:cs="Times New Roman"/>
          <w:bCs/>
          <w:szCs w:val="24"/>
          <w:u w:color="000000"/>
        </w:rPr>
        <w:t xml:space="preserve"> </w:t>
      </w:r>
      <w:r w:rsidRPr="006177E4">
        <w:rPr>
          <w:rFonts w:cs="Times New Roman"/>
          <w:bCs/>
          <w:szCs w:val="24"/>
          <w:u w:color="000000"/>
        </w:rPr>
        <w:t>(Acero y López, 2025)</w:t>
      </w:r>
    </w:p>
    <w:p w14:paraId="5BB84AE5" w14:textId="485977D4" w:rsidR="006301EA" w:rsidRPr="006177E4" w:rsidRDefault="006301EA" w:rsidP="008C471E">
      <w:pPr>
        <w:pStyle w:val="PrrAPA"/>
        <w:rPr>
          <w:b/>
          <w:u w:color="000000"/>
          <w:lang w:val="es-ES_tradnl"/>
        </w:rPr>
      </w:pPr>
      <w:r w:rsidRPr="006177E4">
        <w:rPr>
          <w:u w:color="000000"/>
          <w:lang w:val="es-ES_tradnl"/>
        </w:rPr>
        <w:lastRenderedPageBreak/>
        <w:t xml:space="preserve">En primer lugar, la tesis de maestría de </w:t>
      </w:r>
      <w:sdt>
        <w:sdtPr>
          <w:rPr>
            <w:color w:val="000000"/>
            <w:u w:color="000000"/>
            <w:lang w:val="es-ES_tradnl"/>
          </w:rPr>
          <w:tag w:val="MENDELEY_CITATION_v3_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"/>
          <w:id w:val="-1414467600"/>
          <w:placeholder>
            <w:docPart w:val="DefaultPlaceholder_-1854013440"/>
          </w:placeholder>
        </w:sdtPr>
        <w:sdtEndPr/>
        <w:sdtContent>
          <w:r w:rsidR="009A1775" w:rsidRPr="006177E4">
            <w:rPr>
              <w:color w:val="000000"/>
              <w:u w:color="000000"/>
              <w:lang w:val="es-ES_tradnl"/>
            </w:rPr>
            <w:t>Saldarriaga</w:t>
          </w:r>
          <w:r w:rsidR="00EB5F68">
            <w:rPr>
              <w:color w:val="000000"/>
              <w:u w:color="000000"/>
              <w:lang w:val="es-ES_tradnl"/>
            </w:rPr>
            <w:t xml:space="preserve"> (</w:t>
          </w:r>
          <w:r w:rsidR="009A1775" w:rsidRPr="006177E4">
            <w:rPr>
              <w:color w:val="000000"/>
              <w:u w:color="000000"/>
              <w:lang w:val="es-ES_tradnl"/>
            </w:rPr>
            <w:t>2024)</w:t>
          </w:r>
        </w:sdtContent>
      </w:sdt>
      <w:r w:rsidRPr="006177E4">
        <w:rPr>
          <w:color w:val="000000"/>
          <w:u w:color="000000"/>
          <w:lang w:val="es-ES_tradnl"/>
        </w:rPr>
        <w:t xml:space="preserve"> </w:t>
      </w:r>
      <w:r w:rsidRPr="006177E4">
        <w:rPr>
          <w:lang w:eastAsia="es-CO"/>
        </w:rPr>
        <w:t xml:space="preserve">constituye una de las investigaciones más completas y actuales sobre el tema, al realizar un análisis comparativo de la evolución normativa entre 2011 y 2023 y su impacto concreto en la gestión de cobro coactivo de la DIAN seccional Villavicencio. Esta obra proporcionó </w:t>
      </w:r>
      <w:r w:rsidRPr="006177E4">
        <w:rPr>
          <w:u w:color="000000"/>
          <w:lang w:val="es-ES_tradnl"/>
        </w:rPr>
        <w:t>un enfoque práctico sobre cómo la ineficacia afecta la gestión de cobro en una seccional específica de la DIAN.</w:t>
      </w:r>
    </w:p>
    <w:p w14:paraId="481E29A7" w14:textId="5A0DE219" w:rsidR="006301EA" w:rsidRPr="006177E4" w:rsidRDefault="006301EA" w:rsidP="008C471E">
      <w:pPr>
        <w:pStyle w:val="PrrAPA"/>
        <w:rPr>
          <w:lang w:eastAsia="es-CO"/>
        </w:rPr>
      </w:pPr>
      <w:r w:rsidRPr="006177E4">
        <w:rPr>
          <w:lang w:eastAsia="es-CO"/>
        </w:rPr>
        <w:t>Por otro lado, el artículo de</w:t>
      </w:r>
      <w:r w:rsidR="003C7DE8" w:rsidRPr="006177E4">
        <w:rPr>
          <w:lang w:eastAsia="es-CO"/>
        </w:rPr>
        <w:t xml:space="preserve"> </w:t>
      </w:r>
      <w:sdt>
        <w:sdtPr>
          <w:rPr>
            <w:color w:val="000000"/>
            <w:lang w:eastAsia="es-CO"/>
          </w:rPr>
          <w:tag w:val="MENDELEY_CITATION_v3_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"/>
          <w:id w:val="-2048896315"/>
          <w:placeholder>
            <w:docPart w:val="DefaultPlaceholder_-1854013440"/>
          </w:placeholder>
        </w:sdtPr>
        <w:sdtEndPr/>
        <w:sdtContent>
          <w:r w:rsidR="009A1775" w:rsidRPr="006177E4">
            <w:rPr>
              <w:color w:val="000000"/>
              <w:lang w:eastAsia="es-CO"/>
            </w:rPr>
            <w:t>Camacho (2021)</w:t>
          </w:r>
        </w:sdtContent>
      </w:sdt>
      <w:r w:rsidR="003C7DE8" w:rsidRPr="006177E4">
        <w:rPr>
          <w:lang w:eastAsia="es-CO"/>
        </w:rPr>
        <w:t xml:space="preserve">, </w:t>
      </w:r>
      <w:r w:rsidRPr="006177E4">
        <w:rPr>
          <w:lang w:eastAsia="es-CO"/>
        </w:rPr>
        <w:t>examina los efectos de la retención en la fuente dentro del sistema cedular, específicamente en el caso de docentes catedráticos y personas con vinculación múltiple. Aunque no se centra exclusivamente en la figura de la ineficacia, su análisis normativo revela cómo la complejidad legal puede generar inseguridad jurídica para los agentes retenedores, lo cual contribuye indirectamente al problema de ineficiencia en las declaraciones.</w:t>
      </w:r>
    </w:p>
    <w:p w14:paraId="4830CC2D" w14:textId="462101CF" w:rsidR="006301EA" w:rsidRPr="006177E4" w:rsidRDefault="006301EA" w:rsidP="008C471E">
      <w:pPr>
        <w:pStyle w:val="PrrAPA"/>
        <w:rPr>
          <w:lang w:eastAsia="es-CO"/>
        </w:rPr>
      </w:pPr>
      <w:r w:rsidRPr="006177E4">
        <w:rPr>
          <w:lang w:eastAsia="es-CO"/>
        </w:rPr>
        <w:t>Asimismo, el estudio de</w:t>
      </w:r>
      <w:r w:rsidR="00362598" w:rsidRPr="006177E4">
        <w:rPr>
          <w:lang w:eastAsia="es-CO"/>
        </w:rPr>
        <w:t xml:space="preserve"> </w:t>
      </w:r>
      <w:sdt>
        <w:sdtPr>
          <w:rPr>
            <w:color w:val="000000"/>
            <w:lang w:eastAsia="es-CO"/>
          </w:rPr>
          <w:tag w:val="MENDELEY_CITATION_v3_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S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
          <w:id w:val="1169989837"/>
          <w:placeholder>
            <w:docPart w:val="DefaultPlaceholder_-1854013440"/>
          </w:placeholder>
        </w:sdtPr>
        <w:sdtEndPr/>
        <w:sdtContent>
          <w:r w:rsidR="009A1775" w:rsidRPr="006177E4">
            <w:rPr>
              <w:color w:val="000000"/>
              <w:lang w:eastAsia="es-CO"/>
            </w:rPr>
            <w:t xml:space="preserve">Espinosa et al </w:t>
          </w:r>
          <w:r w:rsidR="001C012F">
            <w:rPr>
              <w:color w:val="000000"/>
              <w:lang w:eastAsia="es-CO"/>
            </w:rPr>
            <w:t>(</w:t>
          </w:r>
          <w:r w:rsidR="009A1775" w:rsidRPr="006177E4">
            <w:rPr>
              <w:color w:val="000000"/>
              <w:lang w:eastAsia="es-CO"/>
            </w:rPr>
            <w:t>2021)</w:t>
          </w:r>
        </w:sdtContent>
      </w:sdt>
      <w:r w:rsidRPr="006177E4">
        <w:rPr>
          <w:lang w:eastAsia="es-CO"/>
        </w:rPr>
        <w:t xml:space="preserve"> introduce un enfoque sociocultural al problema tributario, al demostrar la importancia de la cultura tributaria en el cumplimiento de las obligaciones fiscales. Este aporte resulta clave, ya que permite argumentar que la ineficacia no debe abordarse únicamente desde una óptica legal o procedimental, sino también, desde un enfoque educativo y ético, que incorpore factores como la informalidad, la corrupción y la falta de educación fiscal.</w:t>
      </w:r>
    </w:p>
    <w:p w14:paraId="04FEE568" w14:textId="77777777" w:rsidR="00F22BF4" w:rsidRDefault="006301EA" w:rsidP="008C471E">
      <w:pPr>
        <w:pStyle w:val="PrrAPA"/>
      </w:pPr>
      <w:r w:rsidRPr="006177E4">
        <w:rPr>
          <w:lang w:eastAsia="es-CO"/>
        </w:rPr>
        <w:t xml:space="preserve">Finalmente, el artículo técnico de </w:t>
      </w:r>
      <w:r w:rsidR="00823B4A" w:rsidRPr="006177E4">
        <w:rPr>
          <w:lang w:eastAsia="es-CO"/>
        </w:rPr>
        <w:t xml:space="preserve"> </w:t>
      </w:r>
      <w:sdt>
        <w:sdtPr>
          <w:rPr>
            <w:color w:val="000000"/>
            <w:lang w:eastAsia="es-CO"/>
          </w:rPr>
          <w:tag w:val="MENDELEY_CITATION_v3_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"/>
          <w:id w:val="899331858"/>
          <w:placeholder>
            <w:docPart w:val="DefaultPlaceholder_-1854013440"/>
          </w:placeholder>
        </w:sdtPr>
        <w:sdtEndPr/>
        <w:sdtContent>
          <w:r w:rsidR="009A1775" w:rsidRPr="006177E4">
            <w:rPr>
              <w:color w:val="000000"/>
              <w:lang w:eastAsia="es-CO"/>
            </w:rPr>
            <w:t>Mendoza (2023)</w:t>
          </w:r>
        </w:sdtContent>
      </w:sdt>
      <w:r w:rsidR="00823B4A" w:rsidRPr="006177E4">
        <w:rPr>
          <w:color w:val="000000"/>
          <w:lang w:eastAsia="es-CO"/>
        </w:rPr>
        <w:t xml:space="preserve"> </w:t>
      </w:r>
      <w:r w:rsidRPr="006177E4">
        <w:rPr>
          <w:lang w:eastAsia="es-CO"/>
        </w:rPr>
        <w:t xml:space="preserve">ofrece una visión práctica desde el punto de vista del contribuyente, abordando las implicaciones reales y operativas de una declaración ineficaz. Este análisis complementa el marco teórico al proporcionar claridad </w:t>
      </w:r>
      <w:r w:rsidRPr="006177E4">
        <w:t>acerca de la problemática de la ineficacia de las declaraciones, desde el punto de vista del contribuyente y complementa el análisis teórico de esta investigación.</w:t>
      </w:r>
    </w:p>
    <w:p w14:paraId="1C0FF70A" w14:textId="77777777" w:rsidR="001C012F" w:rsidRDefault="001C012F" w:rsidP="008C471E">
      <w:pPr>
        <w:pStyle w:val="PrrAPA"/>
      </w:pPr>
    </w:p>
    <w:p w14:paraId="7E878FAB" w14:textId="3AF1343D" w:rsidR="001C012F" w:rsidRPr="001C012F" w:rsidRDefault="001C012F" w:rsidP="00263B16">
      <w:pPr>
        <w:pStyle w:val="Ttulo4"/>
      </w:pPr>
      <w:bookmarkStart w:id="73" w:name="_Toc228250782"/>
      <w:bookmarkStart w:id="74" w:name="_Toc229077648"/>
      <w:r w:rsidRPr="001C012F">
        <w:rPr>
          <w:rStyle w:val="Ttulo4Car"/>
          <w:b/>
          <w:iCs/>
        </w:rPr>
        <w:t>Antecedentes Académicos Internacionales</w:t>
      </w:r>
      <w:bookmarkEnd w:id="73"/>
      <w:r w:rsidRPr="001C012F">
        <w:t>.</w:t>
      </w:r>
      <w:bookmarkEnd w:id="74"/>
      <w:r w:rsidRPr="001C012F">
        <w:t xml:space="preserve"> </w:t>
      </w:r>
    </w:p>
    <w:p w14:paraId="319F823E" w14:textId="77777777" w:rsidR="001C012F" w:rsidRPr="006177E4" w:rsidRDefault="001C012F" w:rsidP="008C471E">
      <w:pPr>
        <w:pStyle w:val="PrrAPA"/>
        <w:rPr>
          <w:b/>
          <w:lang w:eastAsia="es-CO"/>
        </w:rPr>
      </w:pPr>
      <w:r w:rsidRPr="006177E4">
        <w:rPr>
          <w:lang w:eastAsia="es-CO"/>
        </w:rPr>
        <w:t>En el análisis internacional, se   consultan   fuentes    que permiten contrastar la investigación tributaria con modelos fiscales extranjeros, que se asemejen al modelo colombiano y aportan enfoques y fuentes de análisis comparables a nivel internacional.</w:t>
      </w:r>
    </w:p>
    <w:p w14:paraId="39767A32" w14:textId="0B32494C" w:rsidR="001C012F" w:rsidRPr="006177E4" w:rsidRDefault="001C012F" w:rsidP="00263B16">
      <w:pPr>
        <w:spacing w:line="480" w:lineRule="auto"/>
        <w:ind w:firstLine="720"/>
        <w:jc w:val="left"/>
        <w:rPr>
          <w:rFonts w:cs="Times New Roman"/>
          <w:szCs w:val="24"/>
        </w:rPr>
        <w:sectPr w:rsidR="001C012F" w:rsidRPr="006177E4" w:rsidSect="00F913E9">
          <w:pgSz w:w="12240" w:h="15840"/>
          <w:pgMar w:top="1440" w:right="1440" w:bottom="1440" w:left="1440" w:header="709" w:footer="709" w:gutter="0"/>
          <w:cols w:space="708"/>
          <w:docGrid w:linePitch="360"/>
        </w:sectPr>
      </w:pPr>
    </w:p>
    <w:p w14:paraId="3CC585AE" w14:textId="77777777" w:rsidR="00EB5F68" w:rsidRDefault="00214AB2" w:rsidP="00263B16">
      <w:pPr>
        <w:pStyle w:val="Descripcin"/>
        <w:spacing w:after="0" w:line="480" w:lineRule="auto"/>
        <w:rPr>
          <w:rFonts w:cs="Times New Roman"/>
          <w:b/>
          <w:bCs/>
          <w:i w:val="0"/>
          <w:iCs w:val="0"/>
          <w:szCs w:val="24"/>
        </w:rPr>
      </w:pPr>
      <w:bookmarkStart w:id="75" w:name="_Toc227978304"/>
      <w:bookmarkStart w:id="76" w:name="_Toc229077702"/>
      <w:r w:rsidRPr="001C012F">
        <w:rPr>
          <w:rFonts w:cs="Times New Roman"/>
          <w:b/>
          <w:bCs/>
          <w:i w:val="0"/>
          <w:iCs w:val="0"/>
          <w:szCs w:val="24"/>
        </w:rPr>
        <w:lastRenderedPageBreak/>
        <w:t xml:space="preserve">Tabla </w:t>
      </w:r>
      <w:r w:rsidRPr="001C012F">
        <w:rPr>
          <w:rFonts w:cs="Times New Roman"/>
          <w:b/>
          <w:bCs/>
          <w:i w:val="0"/>
          <w:iCs w:val="0"/>
          <w:szCs w:val="24"/>
        </w:rPr>
        <w:fldChar w:fldCharType="begin"/>
      </w:r>
      <w:r w:rsidRPr="001C012F">
        <w:rPr>
          <w:rFonts w:cs="Times New Roman"/>
          <w:b/>
          <w:bCs/>
          <w:i w:val="0"/>
          <w:iCs w:val="0"/>
          <w:szCs w:val="24"/>
        </w:rPr>
        <w:instrText xml:space="preserve"> SEQ Tabla \* ARABIC </w:instrText>
      </w:r>
      <w:r w:rsidRPr="001C012F">
        <w:rPr>
          <w:rFonts w:cs="Times New Roman"/>
          <w:b/>
          <w:bCs/>
          <w:i w:val="0"/>
          <w:iCs w:val="0"/>
          <w:szCs w:val="24"/>
        </w:rPr>
        <w:fldChar w:fldCharType="separate"/>
      </w:r>
      <w:r w:rsidR="00D64F6E">
        <w:rPr>
          <w:rFonts w:cs="Times New Roman"/>
          <w:b/>
          <w:bCs/>
          <w:i w:val="0"/>
          <w:iCs w:val="0"/>
          <w:noProof/>
          <w:szCs w:val="24"/>
        </w:rPr>
        <w:t>3</w:t>
      </w:r>
      <w:bookmarkEnd w:id="75"/>
      <w:r w:rsidRPr="001C012F">
        <w:rPr>
          <w:rFonts w:cs="Times New Roman"/>
          <w:b/>
          <w:bCs/>
          <w:i w:val="0"/>
          <w:iCs w:val="0"/>
          <w:szCs w:val="24"/>
        </w:rPr>
        <w:fldChar w:fldCharType="end"/>
      </w:r>
      <w:r w:rsidR="001C012F">
        <w:rPr>
          <w:rFonts w:cs="Times New Roman"/>
          <w:b/>
          <w:bCs/>
          <w:i w:val="0"/>
          <w:iCs w:val="0"/>
          <w:szCs w:val="24"/>
        </w:rPr>
        <w:t xml:space="preserve"> </w:t>
      </w:r>
    </w:p>
    <w:p w14:paraId="47B2210A" w14:textId="2B56D210" w:rsidR="00D30F46" w:rsidRPr="001C012F" w:rsidRDefault="00D30F46" w:rsidP="00263B16">
      <w:pPr>
        <w:pStyle w:val="Descripcin"/>
        <w:spacing w:after="0" w:line="480" w:lineRule="auto"/>
        <w:rPr>
          <w:rFonts w:cs="Times New Roman"/>
          <w:b/>
          <w:bCs/>
          <w:i w:val="0"/>
          <w:iCs w:val="0"/>
          <w:szCs w:val="24"/>
        </w:rPr>
      </w:pPr>
      <w:r w:rsidRPr="006177E4">
        <w:rPr>
          <w:rFonts w:cs="Times New Roman"/>
          <w:szCs w:val="24"/>
        </w:rPr>
        <w:t>Antecedentes académicos Internacionales</w:t>
      </w:r>
      <w:bookmarkEnd w:id="76"/>
    </w:p>
    <w:tbl>
      <w:tblPr>
        <w:tblStyle w:val="Tablaconcuadrculaclara"/>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62"/>
        <w:gridCol w:w="1150"/>
        <w:gridCol w:w="2393"/>
        <w:gridCol w:w="1550"/>
        <w:gridCol w:w="1510"/>
        <w:gridCol w:w="1496"/>
        <w:gridCol w:w="2282"/>
        <w:gridCol w:w="2117"/>
      </w:tblGrid>
      <w:tr w:rsidR="009E27E2" w:rsidRPr="006177E4" w14:paraId="3B909FD7" w14:textId="77777777" w:rsidTr="005921E7">
        <w:trPr>
          <w:trHeight w:val="670"/>
        </w:trPr>
        <w:tc>
          <w:tcPr>
            <w:tcW w:w="159" w:type="pct"/>
          </w:tcPr>
          <w:p w14:paraId="4794EBC9" w14:textId="77777777" w:rsidR="00D30F46" w:rsidRPr="006177E4" w:rsidRDefault="00D30F46" w:rsidP="00263B16">
            <w:pPr>
              <w:spacing w:line="480" w:lineRule="auto"/>
              <w:jc w:val="left"/>
              <w:rPr>
                <w:rFonts w:cs="Times New Roman"/>
                <w:b/>
                <w:noProof/>
                <w:szCs w:val="24"/>
              </w:rPr>
            </w:pPr>
            <w:proofErr w:type="spellStart"/>
            <w:r w:rsidRPr="006177E4">
              <w:rPr>
                <w:rFonts w:cs="Times New Roman"/>
                <w:b/>
                <w:szCs w:val="24"/>
                <w:u w:color="000000"/>
                <w:lang w:val="es-ES_tradnl"/>
              </w:rPr>
              <w:t>Nª</w:t>
            </w:r>
            <w:proofErr w:type="spellEnd"/>
          </w:p>
        </w:tc>
        <w:tc>
          <w:tcPr>
            <w:tcW w:w="377" w:type="pct"/>
          </w:tcPr>
          <w:p w14:paraId="37266353"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Tipo de producto</w:t>
            </w:r>
          </w:p>
        </w:tc>
        <w:tc>
          <w:tcPr>
            <w:tcW w:w="1026" w:type="pct"/>
          </w:tcPr>
          <w:p w14:paraId="56BD30CE"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Título del producto</w:t>
            </w:r>
          </w:p>
        </w:tc>
        <w:tc>
          <w:tcPr>
            <w:tcW w:w="502" w:type="pct"/>
          </w:tcPr>
          <w:p w14:paraId="33063DE1"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Autor (es) o grupo de investigación</w:t>
            </w:r>
          </w:p>
        </w:tc>
        <w:tc>
          <w:tcPr>
            <w:tcW w:w="489" w:type="pct"/>
          </w:tcPr>
          <w:p w14:paraId="1180C1EC"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Localización</w:t>
            </w:r>
          </w:p>
        </w:tc>
        <w:tc>
          <w:tcPr>
            <w:tcW w:w="545" w:type="pct"/>
          </w:tcPr>
          <w:p w14:paraId="139C44C4"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Metodología utilizada</w:t>
            </w:r>
          </w:p>
        </w:tc>
        <w:tc>
          <w:tcPr>
            <w:tcW w:w="983" w:type="pct"/>
          </w:tcPr>
          <w:p w14:paraId="6D06D85C"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Resultados relevantes</w:t>
            </w:r>
          </w:p>
        </w:tc>
        <w:tc>
          <w:tcPr>
            <w:tcW w:w="919" w:type="pct"/>
          </w:tcPr>
          <w:p w14:paraId="3AA7345D" w14:textId="77777777" w:rsidR="00D30F46" w:rsidRPr="006177E4" w:rsidRDefault="00D30F46" w:rsidP="00263B16">
            <w:pPr>
              <w:spacing w:line="480" w:lineRule="auto"/>
              <w:jc w:val="left"/>
              <w:rPr>
                <w:rFonts w:cs="Times New Roman"/>
                <w:b/>
                <w:noProof/>
                <w:szCs w:val="24"/>
              </w:rPr>
            </w:pPr>
            <w:r w:rsidRPr="006177E4">
              <w:rPr>
                <w:rFonts w:cs="Times New Roman"/>
                <w:b/>
                <w:szCs w:val="24"/>
                <w:u w:color="000000"/>
                <w:lang w:val="es-ES_tradnl"/>
              </w:rPr>
              <w:t>Aportes</w:t>
            </w:r>
          </w:p>
        </w:tc>
      </w:tr>
      <w:tr w:rsidR="009E27E2" w:rsidRPr="006177E4" w14:paraId="32BF2454" w14:textId="77777777" w:rsidTr="005921E7">
        <w:trPr>
          <w:trHeight w:val="1115"/>
        </w:trPr>
        <w:tc>
          <w:tcPr>
            <w:tcW w:w="159" w:type="pct"/>
          </w:tcPr>
          <w:p w14:paraId="3650BC98"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1</w:t>
            </w:r>
          </w:p>
        </w:tc>
        <w:tc>
          <w:tcPr>
            <w:tcW w:w="377" w:type="pct"/>
          </w:tcPr>
          <w:p w14:paraId="525FE39E"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Tesis de grado</w:t>
            </w:r>
          </w:p>
        </w:tc>
        <w:tc>
          <w:tcPr>
            <w:tcW w:w="1026" w:type="pct"/>
          </w:tcPr>
          <w:p w14:paraId="43ABFA6B"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Evasión fiscal en Argentina y el rol del contador público como agente de cumplimiento tributario</w:t>
            </w:r>
          </w:p>
        </w:tc>
        <w:tc>
          <w:tcPr>
            <w:tcW w:w="502" w:type="pct"/>
          </w:tcPr>
          <w:p w14:paraId="37B2A26E" w14:textId="2B6D0982" w:rsidR="00D30F46" w:rsidRPr="006177E4" w:rsidRDefault="00D30F46" w:rsidP="00263B16">
            <w:pPr>
              <w:spacing w:line="480" w:lineRule="auto"/>
              <w:jc w:val="left"/>
              <w:rPr>
                <w:rFonts w:cs="Times New Roman"/>
                <w:bCs/>
                <w:noProof/>
                <w:szCs w:val="24"/>
              </w:rPr>
            </w:pPr>
            <w:r w:rsidRPr="006177E4">
              <w:rPr>
                <w:rFonts w:cs="Times New Roman"/>
                <w:bCs/>
                <w:noProof/>
                <w:szCs w:val="24"/>
              </w:rPr>
              <w:t xml:space="preserve">Barreite ( </w:t>
            </w:r>
            <w:r w:rsidR="00436226" w:rsidRPr="006177E4">
              <w:rPr>
                <w:rFonts w:cs="Times New Roman"/>
                <w:bCs/>
                <w:noProof/>
                <w:szCs w:val="24"/>
              </w:rPr>
              <w:t>2</w:t>
            </w:r>
            <w:r w:rsidRPr="006177E4">
              <w:rPr>
                <w:rFonts w:cs="Times New Roman"/>
                <w:bCs/>
                <w:noProof/>
                <w:szCs w:val="24"/>
              </w:rPr>
              <w:t xml:space="preserve">020)  </w:t>
            </w:r>
            <w:sdt>
              <w:sdtPr>
                <w:rPr>
                  <w:rFonts w:cs="Times New Roman"/>
                  <w:bCs/>
                  <w:noProof/>
                  <w:color w:val="000000"/>
                  <w:szCs w:val="24"/>
                </w:rPr>
                <w:tag w:val="MENDELEY_CITATION_v3_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"/>
                <w:id w:val="751082713"/>
                <w:placeholder>
                  <w:docPart w:val="DF46E68C75F04942B27A06B177074E2A"/>
                </w:placeholder>
              </w:sdtPr>
              <w:sdtEndPr/>
              <w:sdtContent>
                <w:r w:rsidR="009A1775" w:rsidRPr="006177E4">
                  <w:rPr>
                    <w:rFonts w:cs="Times New Roman"/>
                    <w:bCs/>
                    <w:noProof/>
                    <w:color w:val="000000"/>
                    <w:szCs w:val="24"/>
                  </w:rPr>
                  <w:t>(Debates De Derecho Tributario Y Financiero.)</w:t>
                </w:r>
              </w:sdtContent>
            </w:sdt>
          </w:p>
        </w:tc>
        <w:tc>
          <w:tcPr>
            <w:tcW w:w="489" w:type="pct"/>
          </w:tcPr>
          <w:p w14:paraId="5B0E1B58" w14:textId="1BE427C0" w:rsidR="00D30F46" w:rsidRPr="006177E4" w:rsidRDefault="00D30F46" w:rsidP="00263B16">
            <w:pPr>
              <w:spacing w:line="480" w:lineRule="auto"/>
              <w:jc w:val="left"/>
              <w:rPr>
                <w:rFonts w:cs="Times New Roman"/>
                <w:bCs/>
                <w:noProof/>
                <w:szCs w:val="24"/>
              </w:rPr>
            </w:pPr>
            <w:r w:rsidRPr="006177E4">
              <w:rPr>
                <w:rFonts w:cs="Times New Roman"/>
                <w:bCs/>
                <w:noProof/>
                <w:szCs w:val="24"/>
              </w:rPr>
              <w:t>Buenos Aieres Argentina</w:t>
            </w:r>
          </w:p>
        </w:tc>
        <w:tc>
          <w:tcPr>
            <w:tcW w:w="545" w:type="pct"/>
          </w:tcPr>
          <w:p w14:paraId="473BE073"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Análisis cualitativo de casos y revisión bibliográfica</w:t>
            </w:r>
          </w:p>
        </w:tc>
        <w:tc>
          <w:tcPr>
            <w:tcW w:w="983" w:type="pct"/>
          </w:tcPr>
          <w:p w14:paraId="5F1E81AE"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Identifica la falta de capacitación y control como factores clave en la evasión fiscal relacionada con las retenciones en la fuente</w:t>
            </w:r>
          </w:p>
        </w:tc>
        <w:tc>
          <w:tcPr>
            <w:tcW w:w="919" w:type="pct"/>
          </w:tcPr>
          <w:p w14:paraId="3061CB40"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Proporciona una perspectiva sobre la importancia del rol del contador en la eficacia de las retenciones</w:t>
            </w:r>
          </w:p>
        </w:tc>
      </w:tr>
      <w:tr w:rsidR="009E27E2" w:rsidRPr="006177E4" w14:paraId="3D771144" w14:textId="77777777" w:rsidTr="005921E7">
        <w:trPr>
          <w:trHeight w:val="593"/>
        </w:trPr>
        <w:tc>
          <w:tcPr>
            <w:tcW w:w="159" w:type="pct"/>
          </w:tcPr>
          <w:p w14:paraId="69E16854"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2</w:t>
            </w:r>
          </w:p>
        </w:tc>
        <w:tc>
          <w:tcPr>
            <w:tcW w:w="377" w:type="pct"/>
          </w:tcPr>
          <w:p w14:paraId="076C591A" w14:textId="77777777" w:rsidR="00D30F46" w:rsidRPr="006177E4" w:rsidRDefault="00D30F46" w:rsidP="00263B16">
            <w:pPr>
              <w:spacing w:line="480" w:lineRule="auto"/>
              <w:jc w:val="left"/>
              <w:rPr>
                <w:rFonts w:cs="Times New Roman"/>
                <w:bCs/>
                <w:szCs w:val="24"/>
                <w:u w:color="000000"/>
                <w:lang w:val="es-ES_tradnl"/>
              </w:rPr>
            </w:pPr>
            <w:r w:rsidRPr="006177E4">
              <w:rPr>
                <w:rFonts w:cs="Times New Roman"/>
                <w:bCs/>
                <w:szCs w:val="24"/>
                <w:u w:color="000000"/>
                <w:lang w:val="es-ES_tradnl"/>
              </w:rPr>
              <w:t>Artículo científico</w:t>
            </w:r>
          </w:p>
        </w:tc>
        <w:tc>
          <w:tcPr>
            <w:tcW w:w="1026" w:type="pct"/>
          </w:tcPr>
          <w:p w14:paraId="62A2F437"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La indispensable Reforma Tributaria en México para 2025</w:t>
            </w:r>
          </w:p>
        </w:tc>
        <w:tc>
          <w:tcPr>
            <w:tcW w:w="502" w:type="pct"/>
          </w:tcPr>
          <w:p w14:paraId="207FBD8C" w14:textId="61766C29" w:rsidR="00D30F46" w:rsidRPr="006177E4" w:rsidRDefault="00674D57" w:rsidP="00263B16">
            <w:pPr>
              <w:spacing w:line="480" w:lineRule="auto"/>
              <w:jc w:val="left"/>
              <w:rPr>
                <w:rFonts w:cs="Times New Roman"/>
                <w:bCs/>
                <w:noProof/>
                <w:szCs w:val="24"/>
              </w:rPr>
            </w:pPr>
            <w:sdt>
              <w:sdtPr>
                <w:rPr>
                  <w:rFonts w:cs="Times New Roman"/>
                  <w:bCs/>
                  <w:noProof/>
                  <w:color w:val="000000"/>
                  <w:szCs w:val="24"/>
                </w:rPr>
                <w:tag w:val="MENDELEY_CITATION_v3_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"/>
                <w:id w:val="1144088249"/>
                <w:placeholder>
                  <w:docPart w:val="DF46E68C75F04942B27A06B177074E2A"/>
                </w:placeholder>
              </w:sdtPr>
              <w:sdtEndPr/>
              <w:sdtContent>
                <w:r w:rsidR="009A1775" w:rsidRPr="006177E4">
                  <w:rPr>
                    <w:rFonts w:cs="Times New Roman"/>
                    <w:bCs/>
                    <w:noProof/>
                    <w:color w:val="000000"/>
                    <w:szCs w:val="24"/>
                  </w:rPr>
                  <w:t>(Villalobos, 2023a)</w:t>
                </w:r>
              </w:sdtContent>
            </w:sdt>
          </w:p>
        </w:tc>
        <w:tc>
          <w:tcPr>
            <w:tcW w:w="489" w:type="pct"/>
          </w:tcPr>
          <w:p w14:paraId="5F9755FC" w14:textId="1329DE47" w:rsidR="00D30F46" w:rsidRPr="006177E4" w:rsidRDefault="00D30F46" w:rsidP="00263B16">
            <w:pPr>
              <w:spacing w:line="480" w:lineRule="auto"/>
              <w:jc w:val="left"/>
              <w:rPr>
                <w:rFonts w:cs="Times New Roman"/>
                <w:bCs/>
                <w:noProof/>
                <w:szCs w:val="24"/>
              </w:rPr>
            </w:pPr>
            <w:r w:rsidRPr="006177E4">
              <w:rPr>
                <w:rFonts w:cs="Times New Roman"/>
                <w:bCs/>
                <w:noProof/>
                <w:szCs w:val="24"/>
              </w:rPr>
              <w:t>Mexico D-F</w:t>
            </w:r>
          </w:p>
        </w:tc>
        <w:tc>
          <w:tcPr>
            <w:tcW w:w="545" w:type="pct"/>
          </w:tcPr>
          <w:p w14:paraId="4BCA923E"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 xml:space="preserve">Enfoque cualitativo con análisis </w:t>
            </w:r>
            <w:r w:rsidRPr="006177E4">
              <w:rPr>
                <w:rFonts w:cs="Times New Roman"/>
                <w:bCs/>
                <w:noProof/>
                <w:szCs w:val="24"/>
              </w:rPr>
              <w:lastRenderedPageBreak/>
              <w:t>de políticas fiscales</w:t>
            </w:r>
          </w:p>
        </w:tc>
        <w:tc>
          <w:tcPr>
            <w:tcW w:w="983" w:type="pct"/>
          </w:tcPr>
          <w:p w14:paraId="35592B5E"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lastRenderedPageBreak/>
              <w:t xml:space="preserve">Discute la necesidad de reformar el sistema de </w:t>
            </w:r>
            <w:r w:rsidRPr="006177E4">
              <w:rPr>
                <w:rFonts w:cs="Times New Roman"/>
                <w:bCs/>
                <w:noProof/>
                <w:szCs w:val="24"/>
              </w:rPr>
              <w:lastRenderedPageBreak/>
              <w:t>retenciones para mejorar la recaudación y reducir la evasión</w:t>
            </w:r>
          </w:p>
        </w:tc>
        <w:tc>
          <w:tcPr>
            <w:tcW w:w="919" w:type="pct"/>
          </w:tcPr>
          <w:p w14:paraId="38E17CA1"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lastRenderedPageBreak/>
              <w:t xml:space="preserve">Ofrece un marco para entender las reformas necesarias </w:t>
            </w:r>
            <w:r w:rsidRPr="006177E4">
              <w:rPr>
                <w:rFonts w:cs="Times New Roman"/>
                <w:bCs/>
                <w:noProof/>
                <w:szCs w:val="24"/>
              </w:rPr>
              <w:lastRenderedPageBreak/>
              <w:t>en el sistema de retenciones mexicano</w:t>
            </w:r>
          </w:p>
        </w:tc>
      </w:tr>
      <w:tr w:rsidR="009E27E2" w:rsidRPr="006177E4" w14:paraId="52871F0D" w14:textId="77777777" w:rsidTr="005921E7">
        <w:trPr>
          <w:trHeight w:val="1583"/>
        </w:trPr>
        <w:tc>
          <w:tcPr>
            <w:tcW w:w="159" w:type="pct"/>
          </w:tcPr>
          <w:p w14:paraId="1BDE434F"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lastRenderedPageBreak/>
              <w:t>3</w:t>
            </w:r>
          </w:p>
        </w:tc>
        <w:tc>
          <w:tcPr>
            <w:tcW w:w="377" w:type="pct"/>
          </w:tcPr>
          <w:p w14:paraId="4E471926" w14:textId="77777777" w:rsidR="00D30F46" w:rsidRPr="006177E4" w:rsidRDefault="00D30F46" w:rsidP="00263B16">
            <w:pPr>
              <w:spacing w:line="480" w:lineRule="auto"/>
              <w:jc w:val="left"/>
              <w:rPr>
                <w:rFonts w:cs="Times New Roman"/>
                <w:bCs/>
                <w:szCs w:val="24"/>
                <w:u w:color="000000"/>
                <w:lang w:val="es-ES_tradnl"/>
              </w:rPr>
            </w:pPr>
            <w:r w:rsidRPr="006177E4">
              <w:rPr>
                <w:rFonts w:cs="Times New Roman"/>
                <w:bCs/>
                <w:szCs w:val="24"/>
                <w:u w:color="000000"/>
                <w:lang w:val="es-ES_tradnl"/>
              </w:rPr>
              <w:t>Artículo científico</w:t>
            </w:r>
          </w:p>
        </w:tc>
        <w:tc>
          <w:tcPr>
            <w:tcW w:w="1026" w:type="pct"/>
          </w:tcPr>
          <w:p w14:paraId="189CA91D" w14:textId="77777777" w:rsidR="00D30F46" w:rsidRPr="006177E4" w:rsidRDefault="00D30F46" w:rsidP="00263B16">
            <w:pPr>
              <w:spacing w:line="480" w:lineRule="auto"/>
              <w:jc w:val="left"/>
              <w:rPr>
                <w:rFonts w:cs="Times New Roman"/>
                <w:szCs w:val="24"/>
              </w:rPr>
            </w:pPr>
          </w:p>
          <w:p w14:paraId="4D107D00" w14:textId="77777777" w:rsidR="00D30F46" w:rsidRPr="006177E4" w:rsidRDefault="00D30F46" w:rsidP="00263B16">
            <w:pPr>
              <w:spacing w:line="480" w:lineRule="auto"/>
              <w:jc w:val="left"/>
              <w:rPr>
                <w:rFonts w:cs="Times New Roman"/>
                <w:bCs/>
                <w:noProof/>
                <w:szCs w:val="24"/>
              </w:rPr>
            </w:pPr>
            <w:r w:rsidRPr="006177E4">
              <w:rPr>
                <w:rFonts w:cs="Times New Roman"/>
                <w:szCs w:val="24"/>
              </w:rPr>
              <w:t>Retos actuales del Derecho Financiero y Tributario VII Reunión de profesores de Derecho Financiero y Tributario</w:t>
            </w:r>
          </w:p>
        </w:tc>
        <w:tc>
          <w:tcPr>
            <w:tcW w:w="502" w:type="pct"/>
          </w:tcPr>
          <w:p w14:paraId="0C983D13" w14:textId="77777777" w:rsidR="00D30F46" w:rsidRPr="006177E4" w:rsidRDefault="00D30F46" w:rsidP="00263B16">
            <w:pPr>
              <w:spacing w:line="480" w:lineRule="auto"/>
              <w:jc w:val="left"/>
              <w:rPr>
                <w:rFonts w:cs="Times New Roman"/>
                <w:bCs/>
                <w:noProof/>
                <w:szCs w:val="24"/>
              </w:rPr>
            </w:pPr>
          </w:p>
          <w:sdt>
            <w:sdtPr>
              <w:rPr>
                <w:rFonts w:cs="Times New Roman"/>
                <w:bCs/>
                <w:noProof/>
                <w:color w:val="000000"/>
                <w:szCs w:val="24"/>
              </w:rPr>
              <w:tag w:val="MENDELEY_CITATION_v3_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"/>
              <w:id w:val="-869992451"/>
              <w:placeholder>
                <w:docPart w:val="DF46E68C75F04942B27A06B177074E2A"/>
              </w:placeholder>
            </w:sdtPr>
            <w:sdtEndPr/>
            <w:sdtContent>
              <w:p w14:paraId="476BADBC" w14:textId="45FE87C3" w:rsidR="00D30F46" w:rsidRPr="006177E4" w:rsidRDefault="009A1775" w:rsidP="00263B16">
                <w:pPr>
                  <w:spacing w:line="480" w:lineRule="auto"/>
                  <w:jc w:val="left"/>
                  <w:rPr>
                    <w:rFonts w:cs="Times New Roman"/>
                    <w:bCs/>
                    <w:noProof/>
                    <w:szCs w:val="24"/>
                  </w:rPr>
                </w:pPr>
                <w:r w:rsidRPr="006177E4">
                  <w:rPr>
                    <w:rFonts w:cs="Times New Roman"/>
                    <w:bCs/>
                    <w:noProof/>
                    <w:color w:val="000000"/>
                    <w:szCs w:val="24"/>
                  </w:rPr>
                  <w:t>(Ief, s/f)</w:t>
                </w:r>
              </w:p>
            </w:sdtContent>
          </w:sdt>
          <w:p w14:paraId="08F4E91B" w14:textId="77777777" w:rsidR="00D30F46" w:rsidRPr="006177E4" w:rsidRDefault="00D30F46" w:rsidP="00263B16">
            <w:pPr>
              <w:spacing w:line="480" w:lineRule="auto"/>
              <w:jc w:val="left"/>
              <w:rPr>
                <w:rFonts w:cs="Times New Roman"/>
                <w:bCs/>
                <w:noProof/>
                <w:szCs w:val="24"/>
              </w:rPr>
            </w:pPr>
          </w:p>
        </w:tc>
        <w:tc>
          <w:tcPr>
            <w:tcW w:w="489" w:type="pct"/>
          </w:tcPr>
          <w:p w14:paraId="369F6230" w14:textId="77777777" w:rsidR="00D30F46" w:rsidRPr="006177E4" w:rsidRDefault="00D30F46" w:rsidP="00263B16">
            <w:pPr>
              <w:spacing w:line="480" w:lineRule="auto"/>
              <w:jc w:val="left"/>
              <w:rPr>
                <w:rFonts w:cs="Times New Roman"/>
                <w:bCs/>
                <w:noProof/>
                <w:szCs w:val="24"/>
              </w:rPr>
            </w:pPr>
          </w:p>
          <w:p w14:paraId="1B8699D1" w14:textId="4BBDE138" w:rsidR="00D30F46" w:rsidRPr="006177E4" w:rsidRDefault="00D30F46" w:rsidP="00263B16">
            <w:pPr>
              <w:spacing w:line="480" w:lineRule="auto"/>
              <w:jc w:val="left"/>
              <w:rPr>
                <w:rFonts w:cs="Times New Roman"/>
                <w:bCs/>
                <w:noProof/>
                <w:szCs w:val="24"/>
              </w:rPr>
            </w:pPr>
            <w:r w:rsidRPr="006177E4">
              <w:rPr>
                <w:rFonts w:cs="Times New Roman"/>
                <w:bCs/>
                <w:noProof/>
                <w:szCs w:val="24"/>
              </w:rPr>
              <w:t>Santiago de Compostela- España</w:t>
            </w:r>
          </w:p>
        </w:tc>
        <w:tc>
          <w:tcPr>
            <w:tcW w:w="545" w:type="pct"/>
          </w:tcPr>
          <w:p w14:paraId="2575735A"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Análisis descriptivo y revisión de políticas fiscales</w:t>
            </w:r>
          </w:p>
        </w:tc>
        <w:tc>
          <w:tcPr>
            <w:tcW w:w="983" w:type="pct"/>
          </w:tcPr>
          <w:p w14:paraId="25D6FEF7"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Examina las dificultades en la carrera académica en Derecho Financiero y Tributario, incluyendo aspectos de retenciones</w:t>
            </w:r>
          </w:p>
        </w:tc>
        <w:tc>
          <w:tcPr>
            <w:tcW w:w="919" w:type="pct"/>
          </w:tcPr>
          <w:p w14:paraId="44001735"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Aporta información sobre los desafíos en la formación de profesionales en tributación y su impacto en la eficacia de las retenciones</w:t>
            </w:r>
          </w:p>
        </w:tc>
      </w:tr>
      <w:tr w:rsidR="009E27E2" w:rsidRPr="006177E4" w14:paraId="792CA730" w14:textId="77777777" w:rsidTr="005921E7">
        <w:trPr>
          <w:trHeight w:val="1583"/>
        </w:trPr>
        <w:tc>
          <w:tcPr>
            <w:tcW w:w="159" w:type="pct"/>
          </w:tcPr>
          <w:p w14:paraId="24BF048D"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4</w:t>
            </w:r>
          </w:p>
        </w:tc>
        <w:tc>
          <w:tcPr>
            <w:tcW w:w="377" w:type="pct"/>
          </w:tcPr>
          <w:p w14:paraId="4F1E4BFF" w14:textId="77777777" w:rsidR="00D30F46" w:rsidRPr="006177E4" w:rsidRDefault="00D30F46" w:rsidP="00263B16">
            <w:pPr>
              <w:spacing w:line="480" w:lineRule="auto"/>
              <w:jc w:val="left"/>
              <w:rPr>
                <w:rFonts w:cs="Times New Roman"/>
                <w:bCs/>
                <w:szCs w:val="24"/>
                <w:u w:color="000000"/>
                <w:lang w:val="es-ES_tradnl"/>
              </w:rPr>
            </w:pPr>
          </w:p>
          <w:p w14:paraId="58564702" w14:textId="77777777" w:rsidR="00D30F46" w:rsidRPr="006177E4" w:rsidRDefault="00D30F46" w:rsidP="00263B16">
            <w:pPr>
              <w:spacing w:line="480" w:lineRule="auto"/>
              <w:jc w:val="left"/>
              <w:rPr>
                <w:rFonts w:cs="Times New Roman"/>
                <w:bCs/>
                <w:szCs w:val="24"/>
                <w:u w:color="000000"/>
                <w:lang w:val="es-ES_tradnl"/>
              </w:rPr>
            </w:pPr>
            <w:r w:rsidRPr="006177E4">
              <w:rPr>
                <w:rFonts w:cs="Times New Roman"/>
                <w:bCs/>
                <w:szCs w:val="24"/>
                <w:u w:color="000000"/>
                <w:lang w:val="es-ES_tradnl"/>
              </w:rPr>
              <w:t>Artículo científico</w:t>
            </w:r>
          </w:p>
        </w:tc>
        <w:tc>
          <w:tcPr>
            <w:tcW w:w="1026" w:type="pct"/>
          </w:tcPr>
          <w:p w14:paraId="00EEFB9C" w14:textId="77777777" w:rsidR="00D30F46" w:rsidRPr="006177E4" w:rsidRDefault="00D30F46" w:rsidP="00263B16">
            <w:pPr>
              <w:spacing w:line="480" w:lineRule="auto"/>
              <w:jc w:val="left"/>
              <w:rPr>
                <w:rFonts w:cs="Times New Roman"/>
                <w:bCs/>
                <w:noProof/>
                <w:szCs w:val="24"/>
              </w:rPr>
            </w:pPr>
          </w:p>
          <w:p w14:paraId="6B374804"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 xml:space="preserve">Estrategias para abordar la evasión </w:t>
            </w:r>
            <w:r w:rsidRPr="006177E4">
              <w:rPr>
                <w:rFonts w:cs="Times New Roman"/>
                <w:bCs/>
                <w:noProof/>
                <w:szCs w:val="24"/>
              </w:rPr>
              <w:lastRenderedPageBreak/>
              <w:t>tributaria en América Latina y el Caribe</w:t>
            </w:r>
          </w:p>
        </w:tc>
        <w:tc>
          <w:tcPr>
            <w:tcW w:w="502" w:type="pct"/>
          </w:tcPr>
          <w:p w14:paraId="42D2B212" w14:textId="0B413D98" w:rsidR="00D30F46" w:rsidRPr="006177E4" w:rsidRDefault="00674D57" w:rsidP="00263B16">
            <w:pPr>
              <w:spacing w:line="480" w:lineRule="auto"/>
              <w:jc w:val="left"/>
              <w:rPr>
                <w:rFonts w:cs="Times New Roman"/>
                <w:bCs/>
                <w:noProof/>
                <w:szCs w:val="24"/>
              </w:rPr>
            </w:pPr>
            <w:sdt>
              <w:sdtPr>
                <w:rPr>
                  <w:rFonts w:cs="Times New Roman"/>
                  <w:bCs/>
                  <w:noProof/>
                  <w:color w:val="000000"/>
                  <w:szCs w:val="24"/>
                </w:rPr>
                <w:tag w:val="MENDELEY_CITATION_v3_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"/>
                <w:id w:val="459923460"/>
                <w:placeholder>
                  <w:docPart w:val="DF46E68C75F04942B27A06B177074E2A"/>
                </w:placeholder>
              </w:sdtPr>
              <w:sdtEndPr/>
              <w:sdtContent>
                <w:r w:rsidR="009A1775" w:rsidRPr="006177E4">
                  <w:rPr>
                    <w:rFonts w:cs="Times New Roman"/>
                    <w:bCs/>
                    <w:noProof/>
                    <w:color w:val="000000"/>
                    <w:szCs w:val="24"/>
                  </w:rPr>
                  <w:t>(Unidas, 2030)</w:t>
                </w:r>
              </w:sdtContent>
            </w:sdt>
          </w:p>
        </w:tc>
        <w:tc>
          <w:tcPr>
            <w:tcW w:w="489" w:type="pct"/>
          </w:tcPr>
          <w:p w14:paraId="28064238" w14:textId="5844CB95" w:rsidR="00D30F46" w:rsidRPr="006177E4" w:rsidRDefault="00D30F46" w:rsidP="00263B16">
            <w:pPr>
              <w:spacing w:line="480" w:lineRule="auto"/>
              <w:jc w:val="left"/>
              <w:rPr>
                <w:rFonts w:cs="Times New Roman"/>
                <w:bCs/>
                <w:noProof/>
                <w:szCs w:val="24"/>
              </w:rPr>
            </w:pPr>
            <w:r w:rsidRPr="006177E4">
              <w:rPr>
                <w:rFonts w:cs="Times New Roman"/>
                <w:bCs/>
                <w:noProof/>
                <w:szCs w:val="24"/>
              </w:rPr>
              <w:t>Madrid- España</w:t>
            </w:r>
          </w:p>
        </w:tc>
        <w:tc>
          <w:tcPr>
            <w:tcW w:w="545" w:type="pct"/>
          </w:tcPr>
          <w:p w14:paraId="1327247B"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Revisión de políticas y análisis comparativo</w:t>
            </w:r>
          </w:p>
        </w:tc>
        <w:tc>
          <w:tcPr>
            <w:tcW w:w="983" w:type="pct"/>
          </w:tcPr>
          <w:p w14:paraId="5FAF36C2"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t xml:space="preserve">Propone estrategias para mejorar el cumplimiento tributario, </w:t>
            </w:r>
            <w:r w:rsidRPr="006177E4">
              <w:rPr>
                <w:rFonts w:cs="Times New Roman"/>
                <w:bCs/>
                <w:noProof/>
                <w:szCs w:val="24"/>
              </w:rPr>
              <w:lastRenderedPageBreak/>
              <w:t>incluyendo la eficacia de las retenciones en la fuente</w:t>
            </w:r>
          </w:p>
        </w:tc>
        <w:tc>
          <w:tcPr>
            <w:tcW w:w="919" w:type="pct"/>
          </w:tcPr>
          <w:p w14:paraId="5FD49388" w14:textId="77777777" w:rsidR="00D30F46" w:rsidRPr="006177E4" w:rsidRDefault="00D30F46" w:rsidP="00263B16">
            <w:pPr>
              <w:spacing w:line="480" w:lineRule="auto"/>
              <w:jc w:val="left"/>
              <w:rPr>
                <w:rFonts w:cs="Times New Roman"/>
                <w:bCs/>
                <w:noProof/>
                <w:szCs w:val="24"/>
              </w:rPr>
            </w:pPr>
            <w:r w:rsidRPr="006177E4">
              <w:rPr>
                <w:rFonts w:cs="Times New Roman"/>
                <w:bCs/>
                <w:noProof/>
                <w:szCs w:val="24"/>
              </w:rPr>
              <w:lastRenderedPageBreak/>
              <w:t xml:space="preserve">Ofrece recomendaciones aplicables al contexto </w:t>
            </w:r>
            <w:r w:rsidRPr="006177E4">
              <w:rPr>
                <w:rFonts w:cs="Times New Roman"/>
                <w:bCs/>
                <w:noProof/>
                <w:szCs w:val="24"/>
              </w:rPr>
              <w:lastRenderedPageBreak/>
              <w:t>colombiano para mejorar la eficacia de las retenciones</w:t>
            </w:r>
          </w:p>
        </w:tc>
      </w:tr>
    </w:tbl>
    <w:p w14:paraId="2D39CAE1" w14:textId="1A684873" w:rsidR="00CF20F3" w:rsidRPr="006177E4" w:rsidRDefault="00F22BF4" w:rsidP="00263B16">
      <w:pPr>
        <w:spacing w:line="480" w:lineRule="auto"/>
        <w:jc w:val="left"/>
        <w:rPr>
          <w:rFonts w:eastAsia="Times New Roman" w:cs="Times New Roman"/>
          <w:szCs w:val="24"/>
          <w:lang w:eastAsia="es-CO"/>
        </w:rPr>
      </w:pPr>
      <w:r w:rsidRPr="006177E4">
        <w:rPr>
          <w:rFonts w:eastAsia="Times New Roman" w:cs="Times New Roman"/>
          <w:szCs w:val="24"/>
          <w:lang w:eastAsia="es-CO"/>
        </w:rPr>
        <w:lastRenderedPageBreak/>
        <w:t xml:space="preserve">Nota. </w:t>
      </w:r>
      <w:r w:rsidR="00E27C5F">
        <w:rPr>
          <w:rFonts w:eastAsia="Times New Roman" w:cs="Times New Roman"/>
          <w:szCs w:val="24"/>
          <w:lang w:eastAsia="es-CO"/>
        </w:rPr>
        <w:t>E</w:t>
      </w:r>
      <w:r w:rsidR="00214AB2" w:rsidRPr="006177E4">
        <w:rPr>
          <w:rFonts w:eastAsia="Times New Roman" w:cs="Times New Roman"/>
          <w:szCs w:val="24"/>
          <w:lang w:eastAsia="es-CO"/>
        </w:rPr>
        <w:t>laboración propia (Acero y López, 2026)</w:t>
      </w:r>
    </w:p>
    <w:p w14:paraId="2E062F7A" w14:textId="77777777" w:rsidR="00214AB2" w:rsidRPr="006177E4" w:rsidRDefault="00214AB2" w:rsidP="00263B16">
      <w:pPr>
        <w:spacing w:line="480" w:lineRule="auto"/>
        <w:jc w:val="left"/>
        <w:rPr>
          <w:rFonts w:eastAsia="Times New Roman" w:cs="Times New Roman"/>
          <w:szCs w:val="24"/>
          <w:lang w:eastAsia="es-CO"/>
        </w:rPr>
      </w:pPr>
    </w:p>
    <w:p w14:paraId="6EDF8C08" w14:textId="2DBEC6DB" w:rsidR="00F22BF4" w:rsidRPr="006177E4" w:rsidRDefault="006301EA" w:rsidP="00263B16">
      <w:pPr>
        <w:spacing w:line="480" w:lineRule="auto"/>
        <w:jc w:val="left"/>
        <w:rPr>
          <w:rFonts w:eastAsia="Times New Roman" w:cs="Times New Roman"/>
          <w:szCs w:val="24"/>
          <w:lang w:eastAsia="es-CO"/>
        </w:rPr>
        <w:sectPr w:rsidR="00F22BF4" w:rsidRPr="006177E4" w:rsidSect="00F913E9">
          <w:pgSz w:w="15840" w:h="12240" w:orient="landscape"/>
          <w:pgMar w:top="1440" w:right="1440" w:bottom="1440" w:left="1440" w:header="709" w:footer="709" w:gutter="0"/>
          <w:cols w:space="708"/>
          <w:docGrid w:linePitch="360"/>
        </w:sectPr>
      </w:pPr>
      <w:r w:rsidRPr="006177E4">
        <w:rPr>
          <w:rFonts w:eastAsia="Times New Roman" w:cs="Times New Roman"/>
          <w:szCs w:val="24"/>
          <w:lang w:eastAsia="es-CO"/>
        </w:rPr>
        <w:t xml:space="preserve"> </w:t>
      </w:r>
    </w:p>
    <w:p w14:paraId="6346961D" w14:textId="77777777" w:rsidR="005921E7" w:rsidRDefault="005921E7" w:rsidP="008C471E">
      <w:pPr>
        <w:pStyle w:val="PrrAPA"/>
        <w:rPr>
          <w:lang w:eastAsia="es-CO"/>
        </w:rPr>
      </w:pPr>
      <w:r w:rsidRPr="005921E7">
        <w:rPr>
          <w:lang w:eastAsia="es-CO"/>
        </w:rPr>
        <w:lastRenderedPageBreak/>
        <w:t xml:space="preserve">El estudio de </w:t>
      </w:r>
      <w:proofErr w:type="spellStart"/>
      <w:r w:rsidRPr="005921E7">
        <w:rPr>
          <w:lang w:eastAsia="es-CO"/>
        </w:rPr>
        <w:t>Barreira</w:t>
      </w:r>
      <w:proofErr w:type="spellEnd"/>
      <w:r w:rsidRPr="005921E7">
        <w:rPr>
          <w:lang w:eastAsia="es-CO"/>
        </w:rPr>
        <w:t xml:space="preserve"> (2020) en Argentina ofrece una mirada profunda al rol del contador público como agente clave en el cumplimiento tributario. A través de un análisis cualitativo y revisión bibliográfica, se identifica que la falta de capacitación profesional y el débil control institucional constituyen factores determinantes de la evasión fiscal asociada a retenciones en la fuente. Este enfoque resulta especialmente valioso para esta investigación, ya que introduce una dimensión profesional y ética que trasciende lo meramente normativo, señalando que la eficacia de las retenciones también depende de los actores encargados de su aplicación.</w:t>
      </w:r>
    </w:p>
    <w:p w14:paraId="2333847D" w14:textId="25F9CAD3" w:rsidR="00F22BF4" w:rsidRPr="006177E4" w:rsidRDefault="005921E7" w:rsidP="008C471E">
      <w:pPr>
        <w:pStyle w:val="PrrAPA"/>
        <w:rPr>
          <w:lang w:eastAsia="es-CO"/>
        </w:rPr>
      </w:pPr>
      <w:r w:rsidRPr="005921E7">
        <w:rPr>
          <w:lang w:eastAsia="es-CO"/>
        </w:rPr>
        <w:t xml:space="preserve">Por su parte, el artículo de Villalobos (2023) sobre la situación fiscal en México plantea la urgencia de una reforma estructural del sistema de retenciones, como medida clave para fortalecer la recaudación y reducir la evasión. Su enfoque cualitativo centrado en análisis de política fiscal permite identificar debilidades similares a las del caso colombiano, lo que enriquece el marco comparativo de </w:t>
      </w:r>
      <w:r w:rsidR="006301EA" w:rsidRPr="006177E4">
        <w:rPr>
          <w:lang w:eastAsia="es-CO"/>
        </w:rPr>
        <w:t>esta tesis. Este trabajo aporta, además, una base conceptual para reflexionar sobre posibles reformas normativas que optimicen la operatividad del mecanismo de retención.</w:t>
      </w:r>
    </w:p>
    <w:p w14:paraId="0CD227FA" w14:textId="77777777" w:rsidR="00CF20F3" w:rsidRPr="006177E4" w:rsidRDefault="006301EA" w:rsidP="008C471E">
      <w:pPr>
        <w:pStyle w:val="PrrAPA"/>
        <w:rPr>
          <w:lang w:eastAsia="es-CO"/>
        </w:rPr>
      </w:pPr>
      <w:r w:rsidRPr="006177E4">
        <w:rPr>
          <w:lang w:eastAsia="es-CO"/>
        </w:rPr>
        <w:t xml:space="preserve">Desde una perspectiva más académica, el artículo desarrollado por el Instituto de </w:t>
      </w:r>
    </w:p>
    <w:p w14:paraId="440A7143" w14:textId="6B94C932" w:rsidR="006301EA" w:rsidRPr="006177E4" w:rsidRDefault="006301EA" w:rsidP="008C471E">
      <w:pPr>
        <w:pStyle w:val="PrrAPA"/>
        <w:rPr>
          <w:lang w:eastAsia="es-CO"/>
        </w:rPr>
      </w:pPr>
      <w:r w:rsidRPr="006177E4">
        <w:rPr>
          <w:lang w:eastAsia="es-CO"/>
        </w:rPr>
        <w:t>Estudios Fiscales (IEF) durante la VII Reunión de Profesores de Derecho Financiero y Tributario en España, resalta los desafíos en la formación profesional en materia tributaria, haciendo énfasis en cómo ello repercute en la correcta aplicación de figuras como la retención en la fuente. La falta de formación especializada impacta negativamente en la eficacia del sistema, ya que impide que tanto funcionarios como contribuyentes comprendan integralmente sus obligaciones.</w:t>
      </w:r>
    </w:p>
    <w:p w14:paraId="3C80EBBD" w14:textId="2C8C236E" w:rsidR="008705DA" w:rsidRPr="006177E4" w:rsidRDefault="006301EA" w:rsidP="008C471E">
      <w:pPr>
        <w:pStyle w:val="PrrAPA"/>
        <w:rPr>
          <w:lang w:eastAsia="es-CO"/>
        </w:rPr>
      </w:pPr>
      <w:r w:rsidRPr="006177E4">
        <w:rPr>
          <w:lang w:eastAsia="es-CO"/>
        </w:rPr>
        <w:t xml:space="preserve">Finalmente, el informe de </w:t>
      </w:r>
      <w:sdt>
        <w:sdtPr>
          <w:rPr>
            <w:color w:val="000000"/>
            <w:lang w:eastAsia="es-CO"/>
          </w:rPr>
          <w:tag w:val="MENDELEY_CITATION_v3_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"/>
          <w:id w:val="-13392868"/>
          <w:placeholder>
            <w:docPart w:val="DefaultPlaceholder_-1854013440"/>
          </w:placeholder>
        </w:sdtPr>
        <w:sdtEndPr/>
        <w:sdtContent>
          <w:r w:rsidR="009A1775" w:rsidRPr="006177E4">
            <w:rPr>
              <w:color w:val="000000"/>
            </w:rPr>
            <w:t xml:space="preserve">Gómez </w:t>
          </w:r>
          <w:r w:rsidR="005921E7">
            <w:rPr>
              <w:color w:val="000000"/>
            </w:rPr>
            <w:t>y</w:t>
          </w:r>
          <w:r w:rsidR="009A1775" w:rsidRPr="006177E4">
            <w:rPr>
              <w:color w:val="000000"/>
            </w:rPr>
            <w:t xml:space="preserve"> Dalmiro (2020)</w:t>
          </w:r>
        </w:sdtContent>
      </w:sdt>
      <w:r w:rsidR="00843A00" w:rsidRPr="006177E4">
        <w:rPr>
          <w:lang w:eastAsia="es-CO"/>
        </w:rPr>
        <w:t xml:space="preserve"> </w:t>
      </w:r>
      <w:r w:rsidRPr="006177E4">
        <w:rPr>
          <w:lang w:eastAsia="es-CO"/>
        </w:rPr>
        <w:t xml:space="preserve">propone una serie de estrategias regionales para combatir la evasión tributaria en América Latina y el Caribe, reconociendo que la eficacia de las retenciones en la fuente constituye un eje fundamental para mejorar el cumplimiento fiscal. Este documento ofrece un análisis comparativo entre países y propone recomendaciones prácticas que pueden ser adaptadas al contexto colombiano, fortaleciendo así la dimensión propositiva de esta </w:t>
      </w:r>
      <w:r w:rsidR="00EF7C3F" w:rsidRPr="006177E4">
        <w:rPr>
          <w:lang w:eastAsia="es-CO"/>
        </w:rPr>
        <w:t>tesis. En</w:t>
      </w:r>
      <w:r w:rsidRPr="006177E4">
        <w:rPr>
          <w:lang w:eastAsia="es-CO"/>
        </w:rPr>
        <w:t xml:space="preserve"> conjunto, estas referencias internacionales permiten concluir que la problemática de la ineficacia de las declaraciones de retención en la fuente no es exclusiva de Colombia. Por el contrario, se inserta en un debate global sobre la necesidad de profesionalización, reforma normativa, control institucional y educación fiscal, elementos que deben considerarse integralmente para mejorar la eficiencia del sistema tributario.</w:t>
      </w:r>
    </w:p>
    <w:p w14:paraId="0B1A50E9" w14:textId="77777777" w:rsidR="00CF20F3" w:rsidRPr="006177E4" w:rsidRDefault="00CF20F3" w:rsidP="00263B16">
      <w:pPr>
        <w:spacing w:line="480" w:lineRule="auto"/>
        <w:jc w:val="left"/>
        <w:rPr>
          <w:rFonts w:eastAsia="Times New Roman" w:cs="Times New Roman"/>
          <w:szCs w:val="24"/>
          <w:lang w:eastAsia="es-CO"/>
        </w:rPr>
      </w:pPr>
    </w:p>
    <w:p w14:paraId="7022F4E9" w14:textId="2E28DB2D" w:rsidR="008705DA" w:rsidRPr="005921E7" w:rsidRDefault="008705DA" w:rsidP="00263B16">
      <w:pPr>
        <w:pStyle w:val="Ttulo2"/>
      </w:pPr>
      <w:bookmarkStart w:id="77" w:name="_Toc228250783"/>
      <w:bookmarkStart w:id="78" w:name="_Toc229077649"/>
      <w:r w:rsidRPr="005921E7">
        <w:lastRenderedPageBreak/>
        <w:t>Marco conceptual</w:t>
      </w:r>
      <w:bookmarkEnd w:id="77"/>
      <w:bookmarkEnd w:id="78"/>
      <w:r w:rsidRPr="005921E7">
        <w:t xml:space="preserve"> </w:t>
      </w:r>
    </w:p>
    <w:p w14:paraId="6681F84E" w14:textId="77777777" w:rsidR="005921E7" w:rsidRDefault="008705DA" w:rsidP="008C471E">
      <w:pPr>
        <w:pStyle w:val="PrrAPA"/>
      </w:pPr>
      <w:r w:rsidRPr="006177E4">
        <w:t>El marco conceptual es de vital importancia, toda vez que permite interpretar, relacionar y definir con precisión los términos y conceptos que orientan la investigación. A través de este recorrido académico, se presentan las principales definiciones y enfoques asociados al desarrollo de la investigación de la ineficacia de las declaraciones de retención en la fuente.</w:t>
      </w:r>
    </w:p>
    <w:p w14:paraId="13232A21" w14:textId="77777777" w:rsidR="005921E7" w:rsidRDefault="008705DA" w:rsidP="008C471E">
      <w:pPr>
        <w:pStyle w:val="PrrAPA"/>
      </w:pPr>
      <w:r w:rsidRPr="006177E4">
        <w:t xml:space="preserve">Teniendo en cuenta lo anterior mente expuesto y entrando en materia, se aborda el primer concepto que son las declaraciones tributarias, que se consideran como el acto mediante el cual el contribuyente o agente retenedor informa a la administración tributaria los hechos económicos sujetos a imposición, determina el impuesto a cargo y cumple con la obligación formal de declarar. De acuerdo con </w:t>
      </w:r>
      <w:sdt>
        <w:sdtPr>
          <w:rPr>
            <w:color w:val="000000"/>
          </w:rPr>
          <w:tag w:val="MENDELEY_CITATION_v3_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"/>
          <w:id w:val="404041654"/>
          <w:placeholder>
            <w:docPart w:val="0F8A00C57FAE4C64B520A4A5CC868D5A"/>
          </w:placeholder>
        </w:sdtPr>
        <w:sdtEndPr/>
        <w:sdtContent>
          <w:r w:rsidR="009A1775" w:rsidRPr="006177E4">
            <w:rPr>
              <w:color w:val="000000"/>
            </w:rPr>
            <w:t xml:space="preserve">Fonrouge </w:t>
          </w:r>
          <w:r w:rsidR="005921E7">
            <w:rPr>
              <w:color w:val="000000"/>
            </w:rPr>
            <w:t>(</w:t>
          </w:r>
          <w:r w:rsidR="009A1775" w:rsidRPr="006177E4">
            <w:rPr>
              <w:color w:val="000000"/>
            </w:rPr>
            <w:t>1975)</w:t>
          </w:r>
        </w:sdtContent>
      </w:sdt>
      <w:r w:rsidRPr="006177E4">
        <w:t>, la declaración es un acto jurídico unilateral que produce efectos frente al Estado, siempre que cumpla las condiciones establecidas en la ley.</w:t>
      </w:r>
    </w:p>
    <w:p w14:paraId="4976947E" w14:textId="749BAAFB" w:rsidR="005921E7" w:rsidRDefault="008705DA" w:rsidP="008C471E">
      <w:pPr>
        <w:pStyle w:val="PrrAPA"/>
      </w:pPr>
      <w:r w:rsidRPr="006177E4">
        <w:t xml:space="preserve">En esta misma línea, se aborda el concepto de retención en la fuente, el cual es un mecanismo de recaudo anticipado mediante que le permite al Estado asegura, en el momento del pago o abono en cuenta, la percepción parcial del impuesto de renta y o ventas, correspondiente a un periodo o año gravable. Según el estatuto tributario colombiano en su artículo 368 del  </w:t>
      </w:r>
      <w:sdt>
        <w:sdtPr>
          <w:rPr>
            <w:color w:val="000000"/>
          </w:rPr>
          <w:tag w:val="MENDELEY_CITATION_v3_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0sImNvbnRhaW5lci10aXRsZS1zaG9ydCI6IiJ9LCJpc1RlbXBvcmFyeSI6ZmFsc2V9XX0="/>
          <w:id w:val="-1645262383"/>
          <w:placeholder>
            <w:docPart w:val="0F8A00C57FAE4C64B520A4A5CC868D5A"/>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716203870"/>
              <w:placeholder>
                <w:docPart w:val="0A54DB8A3D564FFDAE639402EEB50CEB"/>
              </w:placeholder>
            </w:sdtPr>
            <w:sdtEndPr/>
            <w:sdtContent>
              <w:r w:rsidR="00EA5A29" w:rsidRPr="00465317">
                <w:t>Decreto 624 (1989</w:t>
              </w:r>
              <w:r w:rsidR="00EA5A29" w:rsidRPr="006177E4">
                <w:rPr>
                  <w:color w:val="000000"/>
                </w:rPr>
                <w:t>)</w:t>
              </w:r>
            </w:sdtContent>
          </w:sdt>
        </w:sdtContent>
      </w:sdt>
      <w:r w:rsidRPr="006177E4">
        <w:t xml:space="preserve"> las personas o entidades designadas como agentes de retención tienen la obligación de descontar del pago o abono en cuenta los valores que, posteriormente, deben ser consignados a favor de la Nación. En términos prácticos, este mecanismo busca garantizar la oportunidad y eficiencia del recaudo reduciendo la evasión y facilitando la administración de los tributos. Sin embargo, su correcta ejecución depende de la diligencia de los agentes retenedores y del cumplimiento de los requisitos formales exigidos por la normativa vigente.</w:t>
      </w:r>
    </w:p>
    <w:p w14:paraId="4FF2F625" w14:textId="77777777" w:rsidR="005921E7" w:rsidRDefault="008705DA" w:rsidP="008C471E">
      <w:pPr>
        <w:pStyle w:val="PrrAPA"/>
      </w:pPr>
      <w:r w:rsidRPr="006177E4">
        <w:t xml:space="preserve">Según </w:t>
      </w:r>
      <w:sdt>
        <w:sdtPr>
          <w:rPr>
            <w:color w:val="000000"/>
          </w:rPr>
          <w:tag w:val="MENDELEY_CITATION_v3_eyJjaXRhdGlvbklEIjoiTUVOREVMRVlfQ0lUQVRJT05fZWFhNzJiNWItMzVhMy00NTM1LTg3NzItM2VkYWRjMmU4MTk4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
          <w:id w:val="409655493"/>
          <w:placeholder>
            <w:docPart w:val="D9448890D5CA4AAEB709B07D45FD7AE4"/>
          </w:placeholder>
        </w:sdtPr>
        <w:sdtEndPr/>
        <w:sdtContent>
          <w:proofErr w:type="spellStart"/>
          <w:r w:rsidR="009A1775" w:rsidRPr="006177E4">
            <w:rPr>
              <w:color w:val="000000"/>
            </w:rPr>
            <w:t>Jarach</w:t>
          </w:r>
          <w:proofErr w:type="spellEnd"/>
          <w:r w:rsidR="009A1775" w:rsidRPr="006177E4">
            <w:rPr>
              <w:color w:val="000000"/>
            </w:rPr>
            <w:t xml:space="preserve"> (1951)</w:t>
          </w:r>
        </w:sdtContent>
      </w:sdt>
      <w:r w:rsidRPr="006177E4">
        <w:t xml:space="preserve"> este instrumento tiene una doble finalidad: facilitar la administración tributaria y garantizar la oportunidad del ingreso fiscal. En su estructura, la retención en la fuente no constituye un impuesto independiente, sino un anticipo del tributo definitivo que será consolidado por el contribuyente en su declaración. Desde la perspectiva económica, autores como </w:t>
      </w:r>
      <w:sdt>
        <w:sdtPr>
          <w:rPr>
            <w:color w:val="000000"/>
          </w:rPr>
          <w:tag w:val="MENDELEY_CITATION_v3_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"/>
          <w:id w:val="1885058285"/>
          <w:placeholder>
            <w:docPart w:val="0F8A00C57FAE4C64B520A4A5CC868D5A"/>
          </w:placeholder>
        </w:sdtPr>
        <w:sdtEndPr/>
        <w:sdtContent>
          <w:r w:rsidR="009A1775" w:rsidRPr="006177E4">
            <w:rPr>
              <w:color w:val="000000"/>
            </w:rPr>
            <w:t xml:space="preserve">Rosen </w:t>
          </w:r>
          <w:r w:rsidR="005921E7">
            <w:rPr>
              <w:color w:val="000000"/>
            </w:rPr>
            <w:t>(</w:t>
          </w:r>
          <w:r w:rsidR="009A1775" w:rsidRPr="006177E4">
            <w:rPr>
              <w:color w:val="000000"/>
            </w:rPr>
            <w:t>2008)</w:t>
          </w:r>
        </w:sdtContent>
      </w:sdt>
      <w:r w:rsidRPr="006177E4">
        <w:t xml:space="preserve"> y </w:t>
      </w:r>
      <w:sdt>
        <w:sdtPr>
          <w:rPr>
            <w:color w:val="000000"/>
          </w:rPr>
          <w:tag w:val="MENDELEY_CITATION_v3_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"/>
          <w:id w:val="1596822591"/>
          <w:placeholder>
            <w:docPart w:val="0F8A00C57FAE4C64B520A4A5CC868D5A"/>
          </w:placeholder>
        </w:sdtPr>
        <w:sdtEndPr/>
        <w:sdtContent>
          <w:r w:rsidR="005921E7">
            <w:rPr>
              <w:color w:val="000000"/>
            </w:rPr>
            <w:t xml:space="preserve"> </w:t>
          </w:r>
          <w:r w:rsidR="009A1775" w:rsidRPr="006177E4">
            <w:rPr>
              <w:color w:val="000000"/>
            </w:rPr>
            <w:t>Musgrave</w:t>
          </w:r>
          <w:r w:rsidR="005921E7">
            <w:rPr>
              <w:color w:val="000000"/>
            </w:rPr>
            <w:t xml:space="preserve"> (</w:t>
          </w:r>
          <w:r w:rsidR="009A1775" w:rsidRPr="006177E4">
            <w:rPr>
              <w:color w:val="000000"/>
            </w:rPr>
            <w:t>1959)</w:t>
          </w:r>
        </w:sdtContent>
      </w:sdt>
      <w:r w:rsidRPr="006177E4">
        <w:t xml:space="preserve"> sostienen que la retención en la fuente responde al principio de eficiencia en la recaudación, en tanto reduce los costos de cumplimiento y mejora la capacidad del Estado para controlar la evasión. Para </w:t>
      </w:r>
      <w:sdt>
        <w:sdtPr>
          <w:rPr>
            <w:color w:val="000000"/>
          </w:rPr>
          <w:tag w:val="MENDELEY_CITATION_v3_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"/>
          <w:id w:val="-1551384355"/>
          <w:placeholder>
            <w:docPart w:val="0F8A00C57FAE4C64B520A4A5CC868D5A"/>
          </w:placeholder>
        </w:sdtPr>
        <w:sdtEndPr/>
        <w:sdtContent>
          <w:r w:rsidR="009A1775" w:rsidRPr="006177E4">
            <w:rPr>
              <w:color w:val="000000"/>
            </w:rPr>
            <w:t>Rosen</w:t>
          </w:r>
          <w:r w:rsidR="005921E7">
            <w:rPr>
              <w:color w:val="000000"/>
            </w:rPr>
            <w:t xml:space="preserve"> (</w:t>
          </w:r>
          <w:r w:rsidR="009A1775" w:rsidRPr="006177E4">
            <w:rPr>
              <w:color w:val="000000"/>
            </w:rPr>
            <w:t>2008)</w:t>
          </w:r>
        </w:sdtContent>
      </w:sdt>
      <w:r w:rsidRPr="006177E4">
        <w:t xml:space="preserve">, este mecanismo contribuye a la “neutralidad fiscal” al minimizar las distorsiones en las decisiones de los agentes económicos. Por su parte, </w:t>
      </w:r>
      <w:sdt>
        <w:sdtPr>
          <w:rPr>
            <w:color w:val="000000"/>
          </w:rPr>
          <w:tag w:val="MENDELEY_CITATION_v3_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"/>
          <w:id w:val="1183398427"/>
          <w:placeholder>
            <w:docPart w:val="0F8A00C57FAE4C64B520A4A5CC868D5A"/>
          </w:placeholder>
        </w:sdtPr>
        <w:sdtEndPr/>
        <w:sdtContent>
          <w:r w:rsidR="009A1775" w:rsidRPr="006177E4">
            <w:rPr>
              <w:color w:val="000000"/>
            </w:rPr>
            <w:t>Musgrave</w:t>
          </w:r>
          <w:r w:rsidR="005921E7">
            <w:rPr>
              <w:color w:val="000000"/>
            </w:rPr>
            <w:t xml:space="preserve"> (</w:t>
          </w:r>
          <w:r w:rsidR="009A1775" w:rsidRPr="006177E4">
            <w:rPr>
              <w:color w:val="000000"/>
            </w:rPr>
            <w:t>1959)</w:t>
          </w:r>
        </w:sdtContent>
      </w:sdt>
      <w:r w:rsidRPr="006177E4">
        <w:rPr>
          <w:color w:val="000000"/>
        </w:rPr>
        <w:t xml:space="preserve"> </w:t>
      </w:r>
      <w:r w:rsidRPr="006177E4">
        <w:t>subraya que la eficiencia del sistema depende de la forma en que las normas logran vincular el deber jurídico con la capacidad contributiva real.</w:t>
      </w:r>
    </w:p>
    <w:p w14:paraId="688C1958" w14:textId="77777777" w:rsidR="005921E7" w:rsidRDefault="008705DA" w:rsidP="008C471E">
      <w:pPr>
        <w:pStyle w:val="PrrAPA"/>
      </w:pPr>
      <w:r w:rsidRPr="006177E4">
        <w:lastRenderedPageBreak/>
        <w:t xml:space="preserve">En el contexto colombiano, la retención en la fuente ha sido concebida como una obligación a cargo de los agentes retenedores, quienes actúan como colaboradores de la administración tributaria. Como explica </w:t>
      </w:r>
      <w:sdt>
        <w:sdtPr>
          <w:rPr>
            <w:color w:val="000000"/>
          </w:rPr>
          <w:tag w:val="MENDELEY_CITATION_v3_eyJjaXRhdGlvbklEIjoiTUVOREVMRVlfQ0lUQVRJT05fZGIyYzEyYjMtNmEwOS00OTU4LWEwNDAtZWQ1OTNmNTgyYmYx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
          <w:id w:val="2056113704"/>
          <w:placeholder>
            <w:docPart w:val="D9448890D5CA4AAEB709B07D45FD7AE4"/>
          </w:placeholder>
        </w:sdtPr>
        <w:sdtEndPr/>
        <w:sdtContent>
          <w:r w:rsidR="009A1775" w:rsidRPr="006177E4">
            <w:rPr>
              <w:color w:val="000000"/>
            </w:rPr>
            <w:t>Restrepo (2014)</w:t>
          </w:r>
        </w:sdtContent>
      </w:sdt>
      <w:r w:rsidRPr="006177E4">
        <w:rPr>
          <w:color w:val="000000"/>
        </w:rPr>
        <w:t xml:space="preserve"> </w:t>
      </w:r>
      <w:r w:rsidRPr="006177E4">
        <w:t>esta figura permite que el Estado ejerza una función de control previo al recaudo, aunque su efectividad depende de la correcta presentación y veracidad de las declaraciones. En este punto, la relación entre norma y realidad adquiere relevancia, pues la declaración de retención puede perder eficacia jurídica si no cumple con las condiciones formales o sustanciales previstas por la ley.</w:t>
      </w:r>
    </w:p>
    <w:p w14:paraId="31047F23" w14:textId="766DDA69" w:rsidR="005921E7" w:rsidRDefault="008705DA" w:rsidP="008C471E">
      <w:pPr>
        <w:pStyle w:val="PrrAPA"/>
      </w:pPr>
      <w:r w:rsidRPr="006177E4">
        <w:t xml:space="preserve">El concepto de ineficacia de las declaraciones </w:t>
      </w:r>
      <w:r w:rsidR="005921E7" w:rsidRPr="006177E4">
        <w:t>tributarias</w:t>
      </w:r>
      <w:r w:rsidRPr="006177E4">
        <w:t xml:space="preserve"> hace referencia a la ausencia de efectos jurídicos válidos de un acto administrativo o tributario, aun cuando este haya sido formalmente presentado. En el ámbito tributario, la ineficacia de una declaración implica que el documento carece de validez legal y, por tanto, no produce efectos frente a la Administración. El artículo 580-1 del </w:t>
      </w:r>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21563952"/>
          <w:placeholder>
            <w:docPart w:val="5C444781DAF54E308FAD4527A38899B2"/>
          </w:placeholder>
        </w:sdtPr>
        <w:sdtEndPr/>
        <w:sdtContent>
          <w:r w:rsidR="00EA5A29" w:rsidRPr="00465317">
            <w:t>Decreto 624 (1989</w:t>
          </w:r>
          <w:r w:rsidR="00EA5A29" w:rsidRPr="006177E4">
            <w:rPr>
              <w:color w:val="000000"/>
            </w:rPr>
            <w:t>)</w:t>
          </w:r>
        </w:sdtContent>
      </w:sdt>
      <w:r w:rsidR="00EA5A29" w:rsidRPr="006177E4">
        <w:t xml:space="preserve"> </w:t>
      </w:r>
      <w:r w:rsidRPr="006177E4">
        <w:t>estatuto tributario establece las causales específicas de ineficacia, entre ellas, la no presentación por los canales dispuestos, la omisión de la firma del declarante o contador, la falta de pago cuando es exigible, o el incumplimiento de los requisitos de forma. En consecuencia, una declaración ineficaz equivale jurídicamente a no haber sido presentada, lo que genera consecuencias como sanciones, pérdida del derecho a imputar valores retenidos y afectación de la relación jurídica entre el contribuyente y el Estado.</w:t>
      </w:r>
    </w:p>
    <w:p w14:paraId="50FD5520" w14:textId="77777777" w:rsidR="005921E7" w:rsidRDefault="008705DA" w:rsidP="008C471E">
      <w:pPr>
        <w:pStyle w:val="PrrAPA"/>
      </w:pPr>
      <w:r w:rsidRPr="006177E4">
        <w:rPr>
          <w:rFonts w:eastAsia="Times New Roman"/>
          <w:lang w:eastAsia="es-CO"/>
        </w:rPr>
        <w:t xml:space="preserve">Pero la ineficacia no puede entenderse solo desde la norma. Tiene raíces más profundas que se relacionan con la cultura tributaria, es decir, con el conjunto de valores, creencias y actitudes que influyen en la forma en que los ciudadanos asumen sus obligaciones fiscales. De acuerdo con </w:t>
      </w:r>
      <w:sdt>
        <w:sdtPr>
          <w:rPr>
            <w:rFonts w:eastAsia="Times New Roman"/>
            <w:color w:val="000000"/>
            <w:lang w:eastAsia="es-CO"/>
          </w:rPr>
          <w:tag w:val="MENDELEY_CITATION_v3_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i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
          <w:id w:val="-710339339"/>
          <w:placeholder>
            <w:docPart w:val="D9448890D5CA4AAEB709B07D45FD7AE4"/>
          </w:placeholder>
        </w:sdtPr>
        <w:sdtEndPr/>
        <w:sdtContent>
          <w:r w:rsidR="009A1775" w:rsidRPr="006177E4">
            <w:rPr>
              <w:rFonts w:eastAsia="Times New Roman"/>
              <w:color w:val="000000"/>
              <w:lang w:eastAsia="es-CO"/>
            </w:rPr>
            <w:t>Espinosa y Rodríguez (2022)</w:t>
          </w:r>
        </w:sdtContent>
      </w:sdt>
      <w:r w:rsidRPr="006177E4">
        <w:rPr>
          <w:rFonts w:eastAsia="Times New Roman"/>
          <w:lang w:eastAsia="es-CO"/>
        </w:rPr>
        <w:t xml:space="preserve"> y </w:t>
      </w:r>
      <w:sdt>
        <w:sdtPr>
          <w:rPr>
            <w:rFonts w:eastAsia="Times New Roman"/>
            <w:color w:val="000000"/>
            <w:lang w:eastAsia="es-CO"/>
          </w:rPr>
          <w:tag w:val="MENDELEY_CITATION_v3_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"/>
          <w:id w:val="1091275259"/>
          <w:placeholder>
            <w:docPart w:val="D9448890D5CA4AAEB709B07D45FD7AE4"/>
          </w:placeholder>
        </w:sdtPr>
        <w:sdtEndPr/>
        <w:sdtContent>
          <w:r w:rsidR="009A1775" w:rsidRPr="006177E4">
            <w:rPr>
              <w:rFonts w:eastAsia="Times New Roman"/>
              <w:color w:val="000000"/>
              <w:lang w:eastAsia="es-CO"/>
            </w:rPr>
            <w:t>Rincón (2018)</w:t>
          </w:r>
        </w:sdtContent>
      </w:sdt>
      <w:r w:rsidRPr="006177E4">
        <w:rPr>
          <w:rFonts w:eastAsia="Times New Roman"/>
          <w:lang w:eastAsia="es-CO"/>
        </w:rPr>
        <w:t xml:space="preserve"> la cultura tributaria es el reflejo del compromiso ciudadano con el bienestar colectivo, pues los impuestos son el medio a través del cual se financian los servicios públicos que todos disfrutamos. En Colombia, la falta de educación fiscal, la percepción de corrupción y la desconfianza hacia las instituciones han contribuido a debilitar esa cultura, generando incumplimientos frecuentes y poca conciencia sobre el impacto social de la evasión.</w:t>
      </w:r>
    </w:p>
    <w:p w14:paraId="0E63ECDB" w14:textId="77777777" w:rsidR="005921E7" w:rsidRDefault="008705DA" w:rsidP="008C471E">
      <w:pPr>
        <w:pStyle w:val="PrrAPA"/>
      </w:pPr>
      <w:r w:rsidRPr="006177E4">
        <w:rPr>
          <w:rFonts w:eastAsia="Times New Roman"/>
          <w:lang w:eastAsia="es-CO"/>
        </w:rPr>
        <w:t xml:space="preserve">Por otra </w:t>
      </w:r>
      <w:r w:rsidR="005921E7" w:rsidRPr="006177E4">
        <w:rPr>
          <w:lang w:eastAsia="es-CO"/>
        </w:rPr>
        <w:t>parte,</w:t>
      </w:r>
      <w:r w:rsidRPr="006177E4">
        <w:rPr>
          <w:lang w:eastAsia="es-CO"/>
        </w:rPr>
        <w:t xml:space="preserve"> la</w:t>
      </w:r>
      <w:r w:rsidRPr="006177E4">
        <w:rPr>
          <w:rFonts w:eastAsia="Times New Roman"/>
          <w:lang w:eastAsia="es-CO"/>
        </w:rPr>
        <w:t xml:space="preserve"> </w:t>
      </w:r>
      <w:r w:rsidRPr="006177E4">
        <w:rPr>
          <w:lang w:eastAsia="es-CO"/>
        </w:rPr>
        <w:t>investigación</w:t>
      </w:r>
      <w:r w:rsidRPr="006177E4">
        <w:rPr>
          <w:rFonts w:eastAsia="Times New Roman"/>
          <w:lang w:eastAsia="es-CO"/>
        </w:rPr>
        <w:t xml:space="preserve"> </w:t>
      </w:r>
      <w:r w:rsidRPr="006177E4">
        <w:rPr>
          <w:lang w:eastAsia="es-CO"/>
        </w:rPr>
        <w:t>también</w:t>
      </w:r>
      <w:r w:rsidRPr="006177E4">
        <w:rPr>
          <w:rFonts w:eastAsia="Times New Roman"/>
          <w:lang w:eastAsia="es-CO"/>
        </w:rPr>
        <w:t xml:space="preserve"> aborda el concepto de</w:t>
      </w:r>
      <w:r w:rsidRPr="006177E4">
        <w:rPr>
          <w:lang w:eastAsia="es-CO"/>
        </w:rPr>
        <w:t xml:space="preserve"> la</w:t>
      </w:r>
      <w:r w:rsidRPr="006177E4">
        <w:rPr>
          <w:rFonts w:eastAsia="Times New Roman"/>
          <w:lang w:eastAsia="es-CO"/>
        </w:rPr>
        <w:t xml:space="preserve"> eficacia tributaria y se describe como </w:t>
      </w:r>
      <w:r w:rsidRPr="006177E4">
        <w:t xml:space="preserve">la capacidad del sistema fiscal para cumplir sus fines recaudatorios, garantizando la obtención oportuna y suficiente de los recursos necesarios para financiar el gasto público. Según </w:t>
      </w:r>
      <w:sdt>
        <w:sdtPr>
          <w:rPr>
            <w:color w:val="000000"/>
          </w:rPr>
          <w:tag w:val="MENDELEY_CITATION_v3_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"/>
          <w:id w:val="-1157526730"/>
          <w:placeholder>
            <w:docPart w:val="0F8A00C57FAE4C64B520A4A5CC868D5A"/>
          </w:placeholder>
        </w:sdtPr>
        <w:sdtEndPr/>
        <w:sdtContent>
          <w:r w:rsidR="009A1775" w:rsidRPr="006177E4">
            <w:rPr>
              <w:color w:val="000000"/>
            </w:rPr>
            <w:t>Musgrave</w:t>
          </w:r>
          <w:r w:rsidR="005921E7">
            <w:rPr>
              <w:color w:val="000000"/>
            </w:rPr>
            <w:t xml:space="preserve"> (</w:t>
          </w:r>
          <w:r w:rsidR="009A1775" w:rsidRPr="006177E4">
            <w:rPr>
              <w:color w:val="000000"/>
            </w:rPr>
            <w:t>1959)</w:t>
          </w:r>
        </w:sdtContent>
      </w:sdt>
      <w:r w:rsidRPr="006177E4">
        <w:t xml:space="preserve">, la eficacia de un sistema tributario se mide por su capacidad para generar ingresos sin distorsionar la economía ni vulnerar los principios de equidad y justicia fiscal. En el </w:t>
      </w:r>
      <w:r w:rsidRPr="006177E4">
        <w:lastRenderedPageBreak/>
        <w:t>contexto de esta investigación, la eficacia se vincula directamente con la validez y cumplimiento de las declaraciones de retención en la fuente. Una declaración eficaz es aquella que cumple plenamente con las condiciones legales y administrativas, permitiendo que los recursos retenidos sean efectivamente transferidos al Estado.</w:t>
      </w:r>
    </w:p>
    <w:p w14:paraId="76868362" w14:textId="77777777" w:rsidR="005921E7" w:rsidRDefault="008705DA" w:rsidP="008C471E">
      <w:pPr>
        <w:pStyle w:val="PrrAPA"/>
      </w:pPr>
      <w:r w:rsidRPr="006177E4">
        <w:t xml:space="preserve">Desde el ámbito jurídico, </w:t>
      </w:r>
      <w:sdt>
        <w:sdtPr>
          <w:rPr>
            <w:color w:val="000000"/>
          </w:rPr>
          <w:tag w:val="MENDELEY_CITATION_v3_eyJjaXRhdGlvbklEIjoiTUVOREVMRVlfQ0lUQVRJT05fNWFmZjNkMTgtMTcwMi00NDEyLWJjYmItMTdhZjg5ZTQ3ZmQ1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
          <w:id w:val="-402603908"/>
          <w:placeholder>
            <w:docPart w:val="D9448890D5CA4AAEB709B07D45FD7AE4"/>
          </w:placeholder>
        </w:sdtPr>
        <w:sdtEndPr/>
        <w:sdtContent>
          <w:r w:rsidR="009A1775" w:rsidRPr="006177E4">
            <w:rPr>
              <w:color w:val="000000"/>
            </w:rPr>
            <w:t>Kelsen (1934)</w:t>
          </w:r>
        </w:sdtContent>
      </w:sdt>
      <w:r w:rsidRPr="006177E4">
        <w:t xml:space="preserve">  distingue entre la validez y la eficacia de una norma, mientras la validez se refiere a su existencia dentro del ordenamiento jurídico, la eficacia alude a su cumplimiento en la realidad social. En este sentido, una norma tributaria puede ser válida, pero ineficaz si no produce los efectos esperados, como sucede cuando las declaraciones de retención son presentadas con errores o incumplen requisitos legales. A si mismo </w:t>
      </w:r>
      <w:sdt>
        <w:sdtPr>
          <w:rPr>
            <w:color w:val="000000"/>
          </w:rPr>
          <w:tag w:val="MENDELEY_CITATION_v3_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"/>
          <w:id w:val="-1067342253"/>
          <w:placeholder>
            <w:docPart w:val="D9448890D5CA4AAEB709B07D45FD7AE4"/>
          </w:placeholder>
        </w:sdtPr>
        <w:sdtEndPr/>
        <w:sdtContent>
          <w:r w:rsidR="009A1775" w:rsidRPr="006177E4">
            <w:rPr>
              <w:color w:val="000000"/>
            </w:rPr>
            <w:t>Stiglitz (2002)</w:t>
          </w:r>
        </w:sdtContent>
      </w:sdt>
      <w:r w:rsidRPr="006177E4">
        <w:rPr>
          <w:color w:val="000000"/>
        </w:rPr>
        <w:t xml:space="preserve"> </w:t>
      </w:r>
      <w:r w:rsidRPr="006177E4">
        <w:t>complementa esta visión al afirmar que la eficacia de un sistema tributario depende tanto del diseño normativo como de la confianza y la cooperación de los contribuyentes. Cuando las normas resultan confusas o contradictorias, se debilita la legitimidad del sistema y se incrementan los niveles de incumplimiento.</w:t>
      </w:r>
    </w:p>
    <w:p w14:paraId="0A639F25" w14:textId="77777777" w:rsidR="005921E7" w:rsidRDefault="008705DA" w:rsidP="008C471E">
      <w:pPr>
        <w:pStyle w:val="PrrAPA"/>
      </w:pPr>
      <w:r w:rsidRPr="006177E4">
        <w:t xml:space="preserve">De igual forma es fundamental mencionar el concepto de obligaciones tributarias; debido a que es el vínculo jurídico que surge entre el Estado, en calidad de acreedor, y el contribuyente o responsable, en calidad de deudor. Conforme a la teoría de  </w:t>
      </w:r>
      <w:sdt>
        <w:sdtPr>
          <w:rPr>
            <w:color w:val="000000"/>
          </w:rPr>
          <w:tag w:val="MENDELEY_CITATION_v3_eyJjaXRhdGlvbklEIjoiTUVOREVMRVlfQ0lUQVRJT05fMTdiMjcxOWQtNTJkYy00ZjZmLWFjYWMtYzYwZDY2NTk2ZmRj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
          <w:id w:val="661132111"/>
          <w:placeholder>
            <w:docPart w:val="D9448890D5CA4AAEB709B07D45FD7AE4"/>
          </w:placeholder>
        </w:sdtPr>
        <w:sdtEndPr/>
        <w:sdtContent>
          <w:r w:rsidR="009A1775" w:rsidRPr="006177E4">
            <w:rPr>
              <w:color w:val="000000"/>
            </w:rPr>
            <w:t>Kelsen (1934)</w:t>
          </w:r>
        </w:sdtContent>
      </w:sdt>
      <w:r w:rsidRPr="006177E4">
        <w:t xml:space="preserve">  y los aportes de  </w:t>
      </w:r>
      <w:sdt>
        <w:sdtPr>
          <w:rPr>
            <w:color w:val="000000"/>
          </w:rPr>
          <w:tag w:val="MENDELEY_CITATION_v3_eyJjaXRhdGlvbklEIjoiTUVOREVMRVlfQ0lUQVRJT05fMDlhOGZhMTktMDkzNy00ODg4LWExYjQtZTAyY2RhYWM2ZTVk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
          <w:id w:val="141636278"/>
          <w:placeholder>
            <w:docPart w:val="D9448890D5CA4AAEB709B07D45FD7AE4"/>
          </w:placeholder>
        </w:sdtPr>
        <w:sdtEndPr/>
        <w:sdtContent>
          <w:proofErr w:type="spellStart"/>
          <w:r w:rsidR="009A1775" w:rsidRPr="006177E4">
            <w:rPr>
              <w:color w:val="000000"/>
            </w:rPr>
            <w:t>Jarach</w:t>
          </w:r>
          <w:proofErr w:type="spellEnd"/>
          <w:r w:rsidR="009A1775" w:rsidRPr="006177E4">
            <w:rPr>
              <w:color w:val="000000"/>
            </w:rPr>
            <w:t xml:space="preserve"> (1951)</w:t>
          </w:r>
        </w:sdtContent>
      </w:sdt>
      <w:r w:rsidRPr="006177E4">
        <w:t>, esta relación se fundamenta en una norma jurídica que impone la obligación de contribuir al sostenimiento del gasto público.</w:t>
      </w:r>
    </w:p>
    <w:p w14:paraId="7966A268" w14:textId="77777777" w:rsidR="005921E7" w:rsidRDefault="008705DA" w:rsidP="008C471E">
      <w:pPr>
        <w:pStyle w:val="PrrAPA"/>
      </w:pPr>
      <w:r w:rsidRPr="006177E4">
        <w:t>La obligación tributaria comprende tanto los deberes sustanciales (pago del impuesto). como los deberes formales (presentación de declaraciones, conservación de documentos y cumplimiento de requisitos administrativos). La ineficacia de una declaración afecta directamente esta relación jurídica, pues impide la existencia de un acto válido que respalde el cumplimiento de la obligación.</w:t>
      </w:r>
    </w:p>
    <w:p w14:paraId="72C24C68" w14:textId="77777777" w:rsidR="005921E7" w:rsidRDefault="008705DA" w:rsidP="008C471E">
      <w:pPr>
        <w:pStyle w:val="PrrAPA"/>
      </w:pPr>
      <w:r w:rsidRPr="006177E4">
        <w:t xml:space="preserve">Para </w:t>
      </w:r>
      <w:sdt>
        <w:sdtPr>
          <w:rPr>
            <w:color w:val="000000"/>
          </w:rPr>
          <w:tag w:val="MENDELEY_CITATION_v3_eyJjaXRhdGlvbklEIjoiTUVOREVMRVlfQ0lUQVRJT05fMTliNWU0ZWQtN2NlMi00ODk3LWIzYzQtOTU1MDNlYjY2NTUy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
          <w:id w:val="-1263908653"/>
          <w:placeholder>
            <w:docPart w:val="D9448890D5CA4AAEB709B07D45FD7AE4"/>
          </w:placeholder>
        </w:sdtPr>
        <w:sdtEndPr/>
        <w:sdtContent>
          <w:r w:rsidR="009A1775" w:rsidRPr="006177E4">
            <w:rPr>
              <w:color w:val="000000"/>
            </w:rPr>
            <w:t>Restrepo (2014)</w:t>
          </w:r>
        </w:sdtContent>
      </w:sdt>
      <w:r w:rsidRPr="006177E4">
        <w:t xml:space="preserve"> resalta que el sistema tributario colombiano se fundamenta en la confianza legítima entre la administración y los contribuyentes, por lo que el cumplimiento de las obligaciones formales no puede reducirse a un requisito burocrático, sino que constituye una garantía de seguridad jurídica. La ausencia de formalidad o la presentación extemporánea de la declaración puede acarrear la ineficacia del acto, lo cual impide que este produzca los efectos legales previstos, especialmente en materia de imputación y control fiscal.</w:t>
      </w:r>
    </w:p>
    <w:p w14:paraId="6D3E3B86" w14:textId="77777777" w:rsidR="005921E7" w:rsidRDefault="008705DA" w:rsidP="008C471E">
      <w:pPr>
        <w:pStyle w:val="PrrAPA"/>
      </w:pPr>
      <w:r w:rsidRPr="006177E4">
        <w:t xml:space="preserve">De igual forma cabe mencionar en todos estos conceptos uno de ellos no menos importante como es la cultura tributaria que hace referencia al conjunto de valores, actitudes y </w:t>
      </w:r>
      <w:r w:rsidRPr="006177E4">
        <w:lastRenderedPageBreak/>
        <w:t xml:space="preserve">comportamientos de los ciudadanos frente al cumplimiento de sus deberes fiscales. De acuerdo con </w:t>
      </w:r>
      <w:sdt>
        <w:sdtPr>
          <w:rPr>
            <w:color w:val="000000"/>
          </w:rPr>
          <w:tag w:val="MENDELEY_CITATION_v3_eyJjaXRhdGlvbklEIjoiTUVOREVMRVlfQ0lUQVRJT05fZjAyY2FmODAtYTA5Yy00NmEyLWE2ZDYtYmEzM2M2ZTY5NGRh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
          <w:id w:val="339508635"/>
          <w:placeholder>
            <w:docPart w:val="D9448890D5CA4AAEB709B07D45FD7AE4"/>
          </w:placeholder>
        </w:sdtPr>
        <w:sdtEndPr/>
        <w:sdtContent>
          <w:r w:rsidR="009A1775" w:rsidRPr="006177E4">
            <w:rPr>
              <w:color w:val="000000"/>
            </w:rPr>
            <w:t>Restrepo (2014)</w:t>
          </w:r>
        </w:sdtContent>
      </w:sdt>
      <w:r w:rsidRPr="006177E4">
        <w:t>, la cultura tributaria refleja el grado de confianza de la sociedad en las instituciones y su percepción sobre el uso de los recursos públicos.</w:t>
      </w:r>
    </w:p>
    <w:p w14:paraId="3D359ADF" w14:textId="77777777" w:rsidR="005921E7" w:rsidRDefault="008705DA" w:rsidP="008C471E">
      <w:pPr>
        <w:pStyle w:val="PrrAPA"/>
      </w:pPr>
      <w:r w:rsidRPr="006177E4">
        <w:t>En Colombia, la debilidad de la cultura tributaria se manifiesta en el incumplimiento de obligaciones, la evasión y la falta de comprensión del papel social del impuesto. Este concepto resulta fundamental en la investigación, ya que la ineficacia de las declaraciones de retención en la fuente no solo responde a errores normativos, sino también a la falta de conciencia y educación fiscal por parte de los contribuyentes y agentes retenedores.</w:t>
      </w:r>
    </w:p>
    <w:p w14:paraId="140C9D4E" w14:textId="77777777" w:rsidR="005921E7" w:rsidRDefault="008705DA" w:rsidP="008C471E">
      <w:pPr>
        <w:pStyle w:val="PrrAPA"/>
      </w:pPr>
      <w:r w:rsidRPr="006177E4">
        <w:rPr>
          <w:lang w:eastAsia="es-CO"/>
        </w:rPr>
        <w:t>Otro</w:t>
      </w:r>
      <w:r w:rsidRPr="006177E4">
        <w:rPr>
          <w:rFonts w:eastAsia="Times New Roman"/>
          <w:lang w:eastAsia="es-CO"/>
        </w:rPr>
        <w:t xml:space="preserve"> factor </w:t>
      </w:r>
      <w:r w:rsidRPr="006177E4">
        <w:rPr>
          <w:lang w:eastAsia="es-CO"/>
        </w:rPr>
        <w:t>esencial</w:t>
      </w:r>
      <w:r w:rsidRPr="006177E4">
        <w:rPr>
          <w:rFonts w:eastAsia="Times New Roman"/>
          <w:lang w:eastAsia="es-CO"/>
        </w:rPr>
        <w:t xml:space="preserve"> es la</w:t>
      </w:r>
      <w:r w:rsidRPr="006177E4">
        <w:rPr>
          <w:lang w:eastAsia="es-CO"/>
        </w:rPr>
        <w:t xml:space="preserve"> plantación y educación fiscal. Para </w:t>
      </w:r>
      <w:sdt>
        <w:sdtPr>
          <w:rPr>
            <w:color w:val="000000"/>
            <w:lang w:eastAsia="es-CO"/>
          </w:rPr>
          <w:tag w:val="MENDELEY_CITATION_v3_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"/>
          <w:id w:val="3323454"/>
          <w:placeholder>
            <w:docPart w:val="D9448890D5CA4AAEB709B07D45FD7AE4"/>
          </w:placeholder>
        </w:sdtPr>
        <w:sdtEndPr/>
        <w:sdtContent>
          <w:r w:rsidR="009A1775" w:rsidRPr="006177E4">
            <w:rPr>
              <w:color w:val="000000"/>
              <w:lang w:eastAsia="es-CO"/>
            </w:rPr>
            <w:t>Galván</w:t>
          </w:r>
          <w:r w:rsidR="005921E7">
            <w:rPr>
              <w:color w:val="000000"/>
              <w:lang w:eastAsia="es-CO"/>
            </w:rPr>
            <w:t xml:space="preserve"> y </w:t>
          </w:r>
          <w:r w:rsidR="009A1775" w:rsidRPr="006177E4">
            <w:rPr>
              <w:color w:val="000000"/>
              <w:lang w:eastAsia="es-CO"/>
            </w:rPr>
            <w:t>Romero (2024)</w:t>
          </w:r>
        </w:sdtContent>
      </w:sdt>
      <w:r w:rsidRPr="006177E4">
        <w:rPr>
          <w:lang w:eastAsia="es-CO"/>
        </w:rPr>
        <w:t xml:space="preserve"> u</w:t>
      </w:r>
      <w:r w:rsidRPr="006177E4">
        <w:rPr>
          <w:rFonts w:eastAsia="Times New Roman"/>
          <w:lang w:eastAsia="es-CO"/>
        </w:rPr>
        <w:t xml:space="preserve">na </w:t>
      </w:r>
      <w:r w:rsidRPr="006177E4">
        <w:rPr>
          <w:lang w:eastAsia="es-CO"/>
        </w:rPr>
        <w:t>buena</w:t>
      </w:r>
      <w:r w:rsidRPr="006177E4">
        <w:rPr>
          <w:rFonts w:eastAsia="Times New Roman"/>
          <w:lang w:eastAsia="es-CO"/>
        </w:rPr>
        <w:t xml:space="preserve"> planeación tributaria no significa evadir impuestos, sino organizar las obligaciones de manera responsable, aprovechando los mecanismos legales para cumplir sin afectar la estabilidad financiera. Una cultura de planeación reduce los errores, mejora el control sobre los flujos de pago y previene que las declaraciones se tornen ineficaces. Esto, sumado a una educación fiscal sólida desde los espacios escolares y universitarios, fomenta el respeto por la ley y la conciencia del papel que cumplen los impuestos en</w:t>
      </w:r>
      <w:r w:rsidRPr="006177E4">
        <w:rPr>
          <w:lang w:eastAsia="es-CO"/>
        </w:rPr>
        <w:t xml:space="preserve"> e</w:t>
      </w:r>
      <w:r w:rsidRPr="006177E4">
        <w:rPr>
          <w:rFonts w:eastAsia="Times New Roman"/>
          <w:lang w:eastAsia="es-CO"/>
        </w:rPr>
        <w:t>l desarrollo del país.</w:t>
      </w:r>
    </w:p>
    <w:p w14:paraId="3FFBDC7C" w14:textId="77777777" w:rsidR="005921E7" w:rsidRDefault="008705DA" w:rsidP="008C471E">
      <w:pPr>
        <w:pStyle w:val="PrrAPA"/>
      </w:pPr>
      <w:r w:rsidRPr="006177E4">
        <w:rPr>
          <w:lang w:eastAsia="es-CO"/>
        </w:rPr>
        <w:t xml:space="preserve">A si mismo la gestión tributaria </w:t>
      </w:r>
      <w:r w:rsidRPr="006177E4">
        <w:t xml:space="preserve">comprende el conjunto de acciones y procedimientos desarrollados por la Administración Fiscal para garantizar el cumplimiento de las obligaciones tributarias, incluyendo la recaudación, fiscalización y control. Según </w:t>
      </w:r>
      <w:sdt>
        <w:sdtPr>
          <w:rPr>
            <w:color w:val="000000"/>
          </w:rPr>
          <w:tag w:val="MENDELEY_CITATION_v3_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"/>
          <w:id w:val="-842623847"/>
          <w:placeholder>
            <w:docPart w:val="0F8A00C57FAE4C64B520A4A5CC868D5A"/>
          </w:placeholder>
        </w:sdtPr>
        <w:sdtEndPr/>
        <w:sdtContent>
          <w:r w:rsidR="009A1775" w:rsidRPr="006177E4">
            <w:rPr>
              <w:color w:val="000000"/>
            </w:rPr>
            <w:t>Rosen (2008)</w:t>
          </w:r>
        </w:sdtContent>
      </w:sdt>
      <w:r w:rsidRPr="006177E4">
        <w:rPr>
          <w:color w:val="000000"/>
        </w:rPr>
        <w:t>,</w:t>
      </w:r>
      <w:r w:rsidRPr="006177E4">
        <w:t xml:space="preserve"> una gestión tributaria eficiente requiere procedimientos claros, tecnología adecuada y comunicación efectiva con los contribuyentes.</w:t>
      </w:r>
    </w:p>
    <w:p w14:paraId="56B28088" w14:textId="77777777" w:rsidR="005921E7" w:rsidRDefault="008705DA" w:rsidP="008C471E">
      <w:pPr>
        <w:pStyle w:val="PrrAPA"/>
      </w:pPr>
      <w:r w:rsidRPr="006177E4">
        <w:t>En el caso de la DIAN, la gestión tributaria tiene como desafío principal equilibrar la función de control con la promoción del cumplimiento voluntario. Una gestión débil o ineficiente puede derivar en la presentación de declaraciones erróneas o ineficaces, afectando la recaudación y la confianza institucional</w:t>
      </w:r>
    </w:p>
    <w:p w14:paraId="2CFED81B" w14:textId="77777777" w:rsidR="005921E7" w:rsidRDefault="008705DA" w:rsidP="008C471E">
      <w:pPr>
        <w:pStyle w:val="PrrAPA"/>
      </w:pPr>
      <w:r w:rsidRPr="006177E4">
        <w:t xml:space="preserve">Finamente y no menos importante, es necesario hablar de un concepto fundamental en el desarrollo de esta investigación, se trate de los efectos jurídicos los cuales son de naturales unilateral mediante el cual el agente retenedor manifiesta su voluntad de cumplir con la obligación fiscal, según </w:t>
      </w:r>
      <w:sdt>
        <w:sdtPr>
          <w:rPr>
            <w:color w:val="000000"/>
          </w:rPr>
          <w:tag w:val="MENDELEY_CITATION_v3_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"/>
          <w:id w:val="222024138"/>
          <w:placeholder>
            <w:docPart w:val="D9448890D5CA4AAEB709B07D45FD7AE4"/>
          </w:placeholder>
        </w:sdtPr>
        <w:sdtEndPr/>
        <w:sdtContent>
          <w:r w:rsidR="009A1775" w:rsidRPr="006177E4">
            <w:rPr>
              <w:color w:val="000000"/>
            </w:rPr>
            <w:t>Kelsen (1934,)</w:t>
          </w:r>
        </w:sdtContent>
      </w:sdt>
      <w:r w:rsidRPr="006177E4">
        <w:t xml:space="preserve">  considera que todo acto jurídico es válido si se ajusta a la norma que lo autoriza; de lo contrario, pierde su eficacia. En el ámbito tributario, la declaración tiene efectos constitutivos, pues determina la existencia, cuantía y exigibilidad de la obligación, siempre que cumpla los requisitos de validez previstos en la ley.</w:t>
      </w:r>
    </w:p>
    <w:p w14:paraId="40679453" w14:textId="090F55FB" w:rsidR="005921E7" w:rsidRDefault="008705DA" w:rsidP="008C471E">
      <w:pPr>
        <w:pStyle w:val="PrrAPA"/>
      </w:pPr>
      <w:r w:rsidRPr="006177E4">
        <w:lastRenderedPageBreak/>
        <w:t xml:space="preserve">Para </w:t>
      </w:r>
      <w:sdt>
        <w:sdtPr>
          <w:rPr>
            <w:color w:val="000000"/>
          </w:rPr>
          <w:tag w:val="MENDELEY_CITATION_v3_eyJjaXRhdGlvbklEIjoiTUVOREVMRVlfQ0lUQVRJT05fNDMyYjIwNTMtYTZiYy00YTc4LWJkOTUtOTc2ZGY0ODgzY2U4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
          <w:id w:val="-1607343433"/>
          <w:placeholder>
            <w:docPart w:val="D9448890D5CA4AAEB709B07D45FD7AE4"/>
          </w:placeholder>
        </w:sdtPr>
        <w:sdtEndPr/>
        <w:sdtContent>
          <w:proofErr w:type="spellStart"/>
          <w:r w:rsidR="009A1775" w:rsidRPr="006177E4">
            <w:rPr>
              <w:color w:val="000000"/>
            </w:rPr>
            <w:t>Jarach</w:t>
          </w:r>
          <w:proofErr w:type="spellEnd"/>
          <w:r w:rsidR="009A1775" w:rsidRPr="006177E4">
            <w:rPr>
              <w:color w:val="000000"/>
            </w:rPr>
            <w:t xml:space="preserve"> (1951)</w:t>
          </w:r>
        </w:sdtContent>
      </w:sdt>
      <w:r w:rsidRPr="006177E4">
        <w:t xml:space="preserve"> la declaración expresa no solo la voluntad del contribuyente, sino que también es una parte necesaria del procedimiento fiscal, ya que asocia un hecho económico con una norma legal. Pero en el caso de que el acto declarativo esté viciado, por ejemplo, debido a datos incorrectos o incumplimiento de formalidades, es ineficaz, y su efectividad como fuente de efectos frente a la administración tributaria es rechazada. En estos casos, los impuestos retenidos no se considerarían debidamente declarados, lo que desencadena consecuencias legales y económicas tanto para el retenedor como para el Estado.</w:t>
      </w:r>
    </w:p>
    <w:p w14:paraId="36AD3191" w14:textId="1055A354" w:rsidR="008705DA" w:rsidRPr="006177E4" w:rsidRDefault="008705DA" w:rsidP="008C471E">
      <w:pPr>
        <w:pStyle w:val="PrrAPA"/>
      </w:pPr>
      <w:r w:rsidRPr="006177E4">
        <w:t xml:space="preserve">Finamente se muestra como el marco conceptual permite establecer claridad sobre los conceptos que explican el fenómeno de las retenciones en la fuente, las declaraciones tributarias, la ineficacia de las declaraciones, la eficacia tributaria, la obligación tributaria, la cultura tributaria, la gestión tributaria y los efectos jurídicos. A partir de estos conceptos se reconoce que la ineficacia de las declaraciones de retención en la fuente es un fenómeno múltiple que involucra elementos jurídicos, económicos y culturales, y cuya solución requiere tanto fortalecimiento normativo como mejoras en la gestión tributaria y la educación fiscal. </w:t>
      </w:r>
    </w:p>
    <w:p w14:paraId="3E92473A" w14:textId="77777777" w:rsidR="00887BE9" w:rsidRPr="006177E4" w:rsidRDefault="00887BE9" w:rsidP="00263B16">
      <w:pPr>
        <w:spacing w:line="480" w:lineRule="auto"/>
        <w:ind w:left="360" w:firstLine="720"/>
        <w:jc w:val="left"/>
        <w:rPr>
          <w:rFonts w:cs="Times New Roman"/>
          <w:szCs w:val="24"/>
        </w:rPr>
      </w:pPr>
    </w:p>
    <w:p w14:paraId="25DBFD0A" w14:textId="22E7B002" w:rsidR="008B7891" w:rsidRPr="005921E7" w:rsidRDefault="008B7891" w:rsidP="00263B16">
      <w:pPr>
        <w:pStyle w:val="Ttulo2"/>
      </w:pPr>
      <w:r w:rsidRPr="005921E7">
        <w:t xml:space="preserve"> </w:t>
      </w:r>
      <w:bookmarkStart w:id="79" w:name="_Toc228250784"/>
      <w:bookmarkStart w:id="80" w:name="_Toc229077650"/>
      <w:r w:rsidRPr="005921E7">
        <w:t>Marco Teórico</w:t>
      </w:r>
      <w:bookmarkEnd w:id="79"/>
      <w:bookmarkEnd w:id="80"/>
    </w:p>
    <w:p w14:paraId="1D1B65EE" w14:textId="799E0C0A" w:rsidR="00FD05F7" w:rsidRPr="006177E4" w:rsidRDefault="00FD05F7" w:rsidP="008C471E">
      <w:pPr>
        <w:pStyle w:val="PrrAPA"/>
        <w:rPr>
          <w:u w:color="000000"/>
          <w:lang w:val="es-ES_tradnl"/>
        </w:rPr>
      </w:pPr>
      <w:r w:rsidRPr="006177E4">
        <w:rPr>
          <w:u w:color="000000"/>
          <w:lang w:val="es-ES_tradnl"/>
        </w:rPr>
        <w:t xml:space="preserve">El presente marco teórico tiene como finalidad llevar a cabo una investigación de la ineficacia de las declaraciones de retención en la fuente partiendo de la de la revisión de los fundamentos doctrinales, normativos, tributarios y demás, que permiten comprender naturaleza, alcance e impacto en el sistema tributario. </w:t>
      </w:r>
    </w:p>
    <w:p w14:paraId="3F2227BD" w14:textId="2BB2008E" w:rsidR="00FD05F7" w:rsidRPr="006177E4" w:rsidRDefault="00FD05F7" w:rsidP="008C471E">
      <w:pPr>
        <w:pStyle w:val="PrrAPA"/>
        <w:rPr>
          <w:u w:color="000000"/>
          <w:lang w:val="es-ES_tradnl"/>
        </w:rPr>
      </w:pPr>
      <w:r w:rsidRPr="006177E4">
        <w:rPr>
          <w:u w:color="000000"/>
          <w:lang w:val="es-ES_tradnl"/>
        </w:rPr>
        <w:t>En este orden de ideas, para explicar y desarrollar el marco teórico, se presenta a continuación la ilustración que resume, las teoría</w:t>
      </w:r>
      <w:r w:rsidR="008705DA" w:rsidRPr="006177E4">
        <w:rPr>
          <w:u w:color="000000"/>
          <w:lang w:val="es-ES_tradnl"/>
        </w:rPr>
        <w:t xml:space="preserve">s de </w:t>
      </w:r>
      <w:r w:rsidR="0060220B" w:rsidRPr="006177E4">
        <w:rPr>
          <w:u w:color="000000"/>
          <w:lang w:val="es-ES_tradnl"/>
        </w:rPr>
        <w:t>Eficiencia Tributaria, Teoría de Hacienda Pública y Teoría de Obligación Tributaria.</w:t>
      </w:r>
    </w:p>
    <w:p w14:paraId="66CC2279" w14:textId="40536276" w:rsidR="00CF20F3" w:rsidRPr="006177E4" w:rsidRDefault="00CF20F3" w:rsidP="00263B16">
      <w:pPr>
        <w:spacing w:line="480" w:lineRule="auto"/>
        <w:ind w:firstLine="720"/>
        <w:jc w:val="left"/>
        <w:rPr>
          <w:rFonts w:cs="Times New Roman"/>
          <w:bCs/>
          <w:szCs w:val="24"/>
          <w:u w:color="000000"/>
          <w:lang w:val="es-ES_tradnl"/>
        </w:rPr>
      </w:pPr>
    </w:p>
    <w:p w14:paraId="59F50EED" w14:textId="294A6D92" w:rsidR="00CF20F3" w:rsidRPr="006177E4" w:rsidRDefault="00CF20F3" w:rsidP="00263B16">
      <w:pPr>
        <w:spacing w:line="480" w:lineRule="auto"/>
        <w:ind w:firstLine="720"/>
        <w:jc w:val="left"/>
        <w:rPr>
          <w:rFonts w:cs="Times New Roman"/>
          <w:bCs/>
          <w:szCs w:val="24"/>
          <w:u w:color="000000"/>
          <w:lang w:val="es-ES_tradnl"/>
        </w:rPr>
      </w:pPr>
    </w:p>
    <w:p w14:paraId="275A3ADB" w14:textId="4B909B9B" w:rsidR="00CF20F3" w:rsidRPr="006177E4" w:rsidRDefault="00CF20F3" w:rsidP="00263B16">
      <w:pPr>
        <w:spacing w:line="480" w:lineRule="auto"/>
        <w:ind w:firstLine="720"/>
        <w:jc w:val="left"/>
        <w:rPr>
          <w:rFonts w:cs="Times New Roman"/>
          <w:bCs/>
          <w:szCs w:val="24"/>
          <w:u w:color="000000"/>
          <w:lang w:val="es-ES_tradnl"/>
        </w:rPr>
      </w:pPr>
    </w:p>
    <w:p w14:paraId="7B7A0A08" w14:textId="77777777" w:rsidR="005921E7" w:rsidRDefault="005921E7" w:rsidP="00263B16">
      <w:pPr>
        <w:pStyle w:val="Descripcin"/>
        <w:spacing w:after="0" w:line="480" w:lineRule="auto"/>
        <w:rPr>
          <w:rFonts w:cs="Times New Roman"/>
          <w:b/>
          <w:bCs/>
          <w:szCs w:val="24"/>
        </w:rPr>
      </w:pPr>
      <w:bookmarkStart w:id="81" w:name="_Toc227978314"/>
    </w:p>
    <w:p w14:paraId="08B408DB" w14:textId="77777777" w:rsidR="008C471E" w:rsidRDefault="008C471E">
      <w:pPr>
        <w:spacing w:after="160" w:line="259" w:lineRule="auto"/>
        <w:jc w:val="left"/>
        <w:rPr>
          <w:rFonts w:cs="Times New Roman"/>
          <w:b/>
          <w:bCs/>
          <w:szCs w:val="24"/>
        </w:rPr>
      </w:pPr>
      <w:r>
        <w:rPr>
          <w:rFonts w:cs="Times New Roman"/>
          <w:b/>
          <w:bCs/>
          <w:i/>
          <w:iCs/>
          <w:szCs w:val="24"/>
        </w:rPr>
        <w:br w:type="page"/>
      </w:r>
    </w:p>
    <w:p w14:paraId="4FC15EED" w14:textId="392983DA" w:rsidR="00EB5F68" w:rsidRDefault="007C3CFD" w:rsidP="00263B16">
      <w:pPr>
        <w:pStyle w:val="Descripcin"/>
        <w:spacing w:after="0" w:line="480" w:lineRule="auto"/>
        <w:rPr>
          <w:rFonts w:cs="Times New Roman"/>
          <w:szCs w:val="24"/>
        </w:rPr>
      </w:pPr>
      <w:r w:rsidRPr="00703C19">
        <w:rPr>
          <w:rFonts w:cs="Times New Roman"/>
          <w:b/>
          <w:bCs/>
          <w:i w:val="0"/>
          <w:iCs w:val="0"/>
          <w:szCs w:val="24"/>
        </w:rPr>
        <w:lastRenderedPageBreak/>
        <w:t xml:space="preserve">Figura </w:t>
      </w:r>
      <w:r w:rsidRPr="00703C19">
        <w:rPr>
          <w:rFonts w:cs="Times New Roman"/>
          <w:b/>
          <w:bCs/>
          <w:i w:val="0"/>
          <w:iCs w:val="0"/>
          <w:szCs w:val="24"/>
        </w:rPr>
        <w:fldChar w:fldCharType="begin"/>
      </w:r>
      <w:r w:rsidRPr="00703C19">
        <w:rPr>
          <w:rFonts w:cs="Times New Roman"/>
          <w:b/>
          <w:bCs/>
          <w:i w:val="0"/>
          <w:iCs w:val="0"/>
          <w:szCs w:val="24"/>
        </w:rPr>
        <w:instrText xml:space="preserve"> SEQ Figura \* ARABIC </w:instrText>
      </w:r>
      <w:r w:rsidRPr="00703C19">
        <w:rPr>
          <w:rFonts w:cs="Times New Roman"/>
          <w:b/>
          <w:bCs/>
          <w:i w:val="0"/>
          <w:iCs w:val="0"/>
          <w:szCs w:val="24"/>
        </w:rPr>
        <w:fldChar w:fldCharType="separate"/>
      </w:r>
      <w:r w:rsidR="00D26571" w:rsidRPr="00703C19">
        <w:rPr>
          <w:rFonts w:cs="Times New Roman"/>
          <w:b/>
          <w:bCs/>
          <w:i w:val="0"/>
          <w:iCs w:val="0"/>
          <w:noProof/>
          <w:szCs w:val="24"/>
        </w:rPr>
        <w:t>3</w:t>
      </w:r>
      <w:bookmarkEnd w:id="81"/>
      <w:r w:rsidRPr="00703C19">
        <w:rPr>
          <w:rFonts w:cs="Times New Roman"/>
          <w:b/>
          <w:bCs/>
          <w:i w:val="0"/>
          <w:iCs w:val="0"/>
          <w:szCs w:val="24"/>
        </w:rPr>
        <w:fldChar w:fldCharType="end"/>
      </w:r>
      <w:r w:rsidRPr="00703C19">
        <w:rPr>
          <w:rFonts w:cs="Times New Roman"/>
          <w:szCs w:val="24"/>
        </w:rPr>
        <w:t xml:space="preserve"> </w:t>
      </w:r>
    </w:p>
    <w:p w14:paraId="1DAD786D" w14:textId="2C623CC0" w:rsidR="004C11CA" w:rsidRPr="006177E4" w:rsidRDefault="00C84D4A" w:rsidP="00263B16">
      <w:pPr>
        <w:pStyle w:val="Descripcin"/>
        <w:spacing w:after="0" w:line="480" w:lineRule="auto"/>
        <w:rPr>
          <w:rFonts w:cs="Times New Roman"/>
          <w:szCs w:val="24"/>
        </w:rPr>
      </w:pPr>
      <w:r w:rsidRPr="006177E4">
        <w:rPr>
          <w:rFonts w:cs="Times New Roman"/>
          <w:szCs w:val="24"/>
        </w:rPr>
        <w:t>Marco Teórico</w:t>
      </w:r>
      <w:r w:rsidR="00703C19">
        <w:rPr>
          <w:rFonts w:cs="Times New Roman"/>
          <w:szCs w:val="24"/>
        </w:rPr>
        <w:t>.</w:t>
      </w:r>
    </w:p>
    <w:p w14:paraId="4D27BAAD" w14:textId="32EC60E1" w:rsidR="008705DA" w:rsidRPr="006177E4" w:rsidRDefault="008705DA" w:rsidP="00263B16">
      <w:pPr>
        <w:pStyle w:val="NormalWeb"/>
        <w:spacing w:before="0" w:beforeAutospacing="0" w:after="0" w:afterAutospacing="0" w:line="480" w:lineRule="auto"/>
      </w:pPr>
      <w:r w:rsidRPr="006177E4">
        <w:rPr>
          <w:noProof/>
        </w:rPr>
        <w:drawing>
          <wp:inline distT="0" distB="0" distL="0" distR="0" wp14:anchorId="3C3B61E7" wp14:editId="20A541B4">
            <wp:extent cx="6293239" cy="23850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2627"/>
                    <a:stretch/>
                  </pic:blipFill>
                  <pic:spPr bwMode="auto">
                    <a:xfrm>
                      <a:off x="0" y="0"/>
                      <a:ext cx="6298699" cy="2387129"/>
                    </a:xfrm>
                    <a:prstGeom prst="rect">
                      <a:avLst/>
                    </a:prstGeom>
                    <a:noFill/>
                    <a:ln>
                      <a:noFill/>
                    </a:ln>
                    <a:extLst>
                      <a:ext uri="{53640926-AAD7-44D8-BBD7-CCE9431645EC}">
                        <a14:shadowObscured xmlns:a14="http://schemas.microsoft.com/office/drawing/2010/main"/>
                      </a:ext>
                    </a:extLst>
                  </pic:spPr>
                </pic:pic>
              </a:graphicData>
            </a:graphic>
          </wp:inline>
        </w:drawing>
      </w:r>
    </w:p>
    <w:p w14:paraId="0900FD53" w14:textId="49CE3DDA" w:rsidR="004C11CA" w:rsidRPr="006177E4" w:rsidRDefault="004C11CA" w:rsidP="00263B16">
      <w:pPr>
        <w:spacing w:line="480" w:lineRule="auto"/>
        <w:jc w:val="left"/>
        <w:rPr>
          <w:rFonts w:cs="Times New Roman"/>
          <w:szCs w:val="24"/>
        </w:rPr>
      </w:pPr>
      <w:r w:rsidRPr="006177E4">
        <w:rPr>
          <w:rFonts w:cs="Times New Roman"/>
          <w:i/>
          <w:szCs w:val="24"/>
        </w:rPr>
        <w:t>Nota.</w:t>
      </w:r>
      <w:r w:rsidR="00872EA0">
        <w:rPr>
          <w:rFonts w:cs="Times New Roman"/>
          <w:i/>
          <w:szCs w:val="24"/>
        </w:rPr>
        <w:t xml:space="preserve"> </w:t>
      </w:r>
      <w:r w:rsidR="00E27C5F" w:rsidRPr="00E27C5F">
        <w:rPr>
          <w:rFonts w:cs="Times New Roman"/>
          <w:iCs/>
          <w:szCs w:val="24"/>
        </w:rPr>
        <w:t>E</w:t>
      </w:r>
      <w:r w:rsidR="00872EA0" w:rsidRPr="0004007D">
        <w:rPr>
          <w:rFonts w:cs="Times New Roman"/>
          <w:iCs/>
          <w:szCs w:val="24"/>
        </w:rPr>
        <w:t>laboración</w:t>
      </w:r>
      <w:r w:rsidR="00872EA0" w:rsidRPr="006177E4">
        <w:rPr>
          <w:rFonts w:cs="Times New Roman"/>
          <w:szCs w:val="24"/>
        </w:rPr>
        <w:t xml:space="preserve"> propia</w:t>
      </w:r>
      <w:r w:rsidR="004E1DC6">
        <w:rPr>
          <w:rFonts w:cs="Times New Roman"/>
          <w:szCs w:val="24"/>
        </w:rPr>
        <w:t>.</w:t>
      </w:r>
      <w:r w:rsidR="007C3CFD" w:rsidRPr="006177E4">
        <w:rPr>
          <w:rFonts w:cs="Times New Roman"/>
          <w:szCs w:val="24"/>
        </w:rPr>
        <w:t xml:space="preserve"> (Acero y López, 2026)</w:t>
      </w:r>
    </w:p>
    <w:p w14:paraId="6F3A1D50" w14:textId="77777777" w:rsidR="00703C19" w:rsidRDefault="00052017" w:rsidP="008C471E">
      <w:pPr>
        <w:pStyle w:val="PrrAPA"/>
      </w:pPr>
      <w:r w:rsidRPr="006177E4">
        <w:t>En las</w:t>
      </w:r>
      <w:r w:rsidR="008705A0" w:rsidRPr="006177E4">
        <w:t xml:space="preserve"> siguientes líneas </w:t>
      </w:r>
      <w:r w:rsidRPr="006177E4">
        <w:t xml:space="preserve">se </w:t>
      </w:r>
      <w:r w:rsidR="008705A0" w:rsidRPr="006177E4">
        <w:t xml:space="preserve">reflejan las teorías </w:t>
      </w:r>
      <w:r w:rsidRPr="006177E4">
        <w:t xml:space="preserve">que hacer parte de la investigación </w:t>
      </w:r>
      <w:r w:rsidR="008705A0" w:rsidRPr="006177E4">
        <w:t>tales como; la teoría de la eficiencia tributaria, que se centra en lograr que el sistema fiscal cumpla su propósito recaudatorio con el menor costo posible, la teoría de hacienda pública, que ofrece una perspectiva económica y social del sistema tributario, al entender los tributos como el principal instrumento de financiación del Estado y finalmente la teoría de la obligación tributaria,  que estudia la relación jurídica entre Estado y contribuyente.</w:t>
      </w:r>
    </w:p>
    <w:p w14:paraId="43DAE9B4" w14:textId="77777777" w:rsidR="00703C19" w:rsidRDefault="00AF1C18" w:rsidP="008C471E">
      <w:pPr>
        <w:pStyle w:val="PrrAPA"/>
      </w:pPr>
      <w:r w:rsidRPr="006177E4">
        <w:t xml:space="preserve">El </w:t>
      </w:r>
      <w:r w:rsidR="00E6137E" w:rsidRPr="006177E4">
        <w:t>análisis se</w:t>
      </w:r>
      <w:r w:rsidRPr="006177E4">
        <w:t xml:space="preserve"> apoya en tres </w:t>
      </w:r>
      <w:r w:rsidR="00B37C48" w:rsidRPr="006177E4">
        <w:t>teorías</w:t>
      </w:r>
      <w:r w:rsidRPr="006177E4">
        <w:t xml:space="preserve"> complementarias. La primera, la teoría de la eficiencia tributaria, proviene de la economía del bienestar y de la economía pública, y estudia cómo los tributos afectan decisiones, asignación de recursos y costos sociales del recaudo. La segunda, la teoría de la hacienda pública, examina el papel fiscal del Estado y la lógica económica e institucional del presupuesto público, incluyendo bienes públicos, equidad y estabilización. La tercera, la teoría de la obligación tributaria, se desarrolla principalmente en la dogmática jurídico-tributaria y explica la estructura de la relación jurídico-fiscal, el hecho imponible y los elementos del gravamen, así como su conexión con principios constitucionales y garantías. En conjunto, estas teorías permiten construir un marco conceptual robusto para investigaciones tributarias de nivel de maestría, al articular la dimensión económica</w:t>
      </w:r>
      <w:r w:rsidR="00E6137E" w:rsidRPr="006177E4">
        <w:t xml:space="preserve">, </w:t>
      </w:r>
      <w:r w:rsidRPr="006177E4">
        <w:t>fiscal-institucional y jurídica</w:t>
      </w:r>
      <w:r w:rsidR="00703C19">
        <w:t>.</w:t>
      </w:r>
    </w:p>
    <w:p w14:paraId="5ECB95FE" w14:textId="77777777" w:rsidR="00703C19" w:rsidRDefault="002A1D23" w:rsidP="008C471E">
      <w:pPr>
        <w:pStyle w:val="PrrAPA"/>
      </w:pPr>
      <w:r w:rsidRPr="006177E4">
        <w:lastRenderedPageBreak/>
        <w:t>A</w:t>
      </w:r>
      <w:r w:rsidR="008705A0" w:rsidRPr="006177E4">
        <w:t>l hablar de la teoría de la eficiencia tributaria se infiere en que la misma se centra en lograr que el sistema fiscal cumpla su propósito recaudatorio con el menor costo posible, tanto para la administración tributaria como para los contribuyentes. Su objetivo es que los impuestos sean fáciles de cumplir, fáciles de administrar y de controlar, evitando distorsiones económicas o pérdidas innecesarias de recursos.</w:t>
      </w:r>
    </w:p>
    <w:p w14:paraId="46EC5231" w14:textId="77777777" w:rsidR="00703C19" w:rsidRDefault="008705A0" w:rsidP="008C471E">
      <w:pPr>
        <w:pStyle w:val="PrrAPA"/>
      </w:pPr>
      <w:r w:rsidRPr="006177E4">
        <w:t xml:space="preserve">Para analizar desde el punto teórico los supuestos entorno a los impuestos y en este caso a las retenciones, se toman como referente las teorías de, </w:t>
      </w:r>
      <w:r w:rsidRPr="006177E4">
        <w:rPr>
          <w:lang w:val="es-ES"/>
        </w:rPr>
        <w:t xml:space="preserve">Frank Ramsey, </w:t>
      </w:r>
      <w:r w:rsidRPr="006177E4">
        <w:t xml:space="preserve">Harvey Rosen, Stiglitz, Dino </w:t>
      </w:r>
      <w:proofErr w:type="spellStart"/>
      <w:r w:rsidRPr="006177E4">
        <w:t>Jarach</w:t>
      </w:r>
      <w:proofErr w:type="spellEnd"/>
      <w:r w:rsidRPr="006177E4">
        <w:t xml:space="preserve"> y Juan Camilo Restrepo. </w:t>
      </w:r>
    </w:p>
    <w:p w14:paraId="60CC3A01" w14:textId="77777777" w:rsidR="00703C19" w:rsidRDefault="008705A0" w:rsidP="008C471E">
      <w:pPr>
        <w:pStyle w:val="PrrAPA"/>
      </w:pPr>
      <w:r w:rsidRPr="006177E4">
        <w:rPr>
          <w:lang w:val="es-ES"/>
        </w:rPr>
        <w:t xml:space="preserve">De acuerdo con </w:t>
      </w:r>
      <w:r w:rsidR="0095618A" w:rsidRPr="006177E4">
        <w:rPr>
          <w:lang w:val="es-ES"/>
        </w:rPr>
        <w:t xml:space="preserve"> </w:t>
      </w:r>
      <w:sdt>
        <w:sdtPr>
          <w:rPr>
            <w:color w:val="000000"/>
            <w:lang w:val="es-ES"/>
          </w:rPr>
          <w:tag w:val="MENDELEY_CITATION_v3_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"/>
          <w:id w:val="1588653991"/>
          <w:placeholder>
            <w:docPart w:val="DefaultPlaceholder_-1854013440"/>
          </w:placeholder>
        </w:sdtPr>
        <w:sdtEndPr/>
        <w:sdtContent>
          <w:r w:rsidR="009A1775" w:rsidRPr="006177E4">
            <w:rPr>
              <w:color w:val="000000"/>
              <w:lang w:val="es-ES"/>
            </w:rPr>
            <w:t>Ramsey (1927)</w:t>
          </w:r>
        </w:sdtContent>
      </w:sdt>
      <w:r w:rsidRPr="006177E4">
        <w:rPr>
          <w:lang w:val="es-ES"/>
        </w:rPr>
        <w:t xml:space="preserve"> desarrolla la teoría de eficiencia tributaria con el concepto del “peso muerto”, la cual</w:t>
      </w:r>
      <w:r w:rsidRPr="006177E4">
        <w:t xml:space="preserve"> busca la máxima eficiencia en la recaudación de impuestos indirectos, causando el menor daño posible a la economía. Su concepto define el costo social del impuesto y la pérdida de eficiencia que un impuesto causa a la sociedad; el autor busca diseñar un sistema que recaude los ingresos necesarios para el estado sin afectar el curso de la economía.</w:t>
      </w:r>
    </w:p>
    <w:p w14:paraId="0691CDDF" w14:textId="77777777" w:rsidR="00703C19" w:rsidRDefault="008705A0" w:rsidP="008C471E">
      <w:pPr>
        <w:pStyle w:val="PrrAPA"/>
      </w:pPr>
      <w:r w:rsidRPr="006177E4">
        <w:t xml:space="preserve">En palabras del autor </w:t>
      </w:r>
      <w:sdt>
        <w:sdtPr>
          <w:rPr>
            <w:color w:val="000000"/>
          </w:rPr>
          <w:tag w:val="MENDELEY_CITATION_v3_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"/>
          <w:id w:val="-161316050"/>
          <w:placeholder>
            <w:docPart w:val="DefaultPlaceholder_-1854013440"/>
          </w:placeholder>
        </w:sdtPr>
        <w:sdtEndPr/>
        <w:sdtContent>
          <w:r w:rsidR="009A1775" w:rsidRPr="006177E4">
            <w:rPr>
              <w:color w:val="000000"/>
            </w:rPr>
            <w:t>Rosen</w:t>
          </w:r>
          <w:r w:rsidR="00703C19">
            <w:rPr>
              <w:color w:val="000000"/>
            </w:rPr>
            <w:t xml:space="preserve"> (</w:t>
          </w:r>
          <w:r w:rsidR="009A1775" w:rsidRPr="006177E4">
            <w:rPr>
              <w:color w:val="000000"/>
            </w:rPr>
            <w:t>2005)</w:t>
          </w:r>
        </w:sdtContent>
      </w:sdt>
      <w:r w:rsidRPr="006177E4">
        <w:t xml:space="preserve"> economista, quien presentó sus estudios enfocados en el análisis económico moderno de la tributación. El autor basándose en la teoría de</w:t>
      </w:r>
      <w:r w:rsidR="0095618A" w:rsidRPr="006177E4">
        <w:t xml:space="preserve"> </w:t>
      </w:r>
      <w:sdt>
        <w:sdtPr>
          <w:rPr>
            <w:color w:val="000000"/>
          </w:rPr>
          <w:tag w:val="MENDELEY_CITATION_v3_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"/>
          <w:id w:val="-716972972"/>
          <w:placeholder>
            <w:docPart w:val="DefaultPlaceholder_-1854013440"/>
          </w:placeholder>
        </w:sdtPr>
        <w:sdtEndPr/>
        <w:sdtContent>
          <w:r w:rsidR="009A1775" w:rsidRPr="006177E4">
            <w:rPr>
              <w:color w:val="000000"/>
            </w:rPr>
            <w:t>Ramsey</w:t>
          </w:r>
          <w:r w:rsidR="00703C19">
            <w:rPr>
              <w:color w:val="000000"/>
            </w:rPr>
            <w:t xml:space="preserve"> (</w:t>
          </w:r>
          <w:r w:rsidR="009A1775" w:rsidRPr="006177E4">
            <w:rPr>
              <w:color w:val="000000"/>
            </w:rPr>
            <w:t>1927)</w:t>
          </w:r>
        </w:sdtContent>
      </w:sdt>
      <w:r w:rsidRPr="006177E4">
        <w:t>, busca diseñar un sistema tributario que minimice las distorsiones económicas y se obtenga el nivel de recaudo esperado. A diferencia de</w:t>
      </w:r>
      <w:r w:rsidR="0095618A" w:rsidRPr="006177E4">
        <w:t xml:space="preserve"> </w:t>
      </w:r>
      <w:sdt>
        <w:sdtPr>
          <w:rPr>
            <w:color w:val="000000"/>
          </w:rPr>
          <w:tag w:val="MENDELEY_CITATION_v3_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"/>
          <w:id w:val="527144517"/>
          <w:placeholder>
            <w:docPart w:val="DefaultPlaceholder_-1854013440"/>
          </w:placeholder>
        </w:sdtPr>
        <w:sdtEndPr/>
        <w:sdtContent>
          <w:r w:rsidR="009A1775" w:rsidRPr="006177E4">
            <w:rPr>
              <w:color w:val="000000"/>
            </w:rPr>
            <w:t>Ramsey</w:t>
          </w:r>
          <w:r w:rsidR="00703C19">
            <w:rPr>
              <w:color w:val="000000"/>
            </w:rPr>
            <w:t xml:space="preserve"> (</w:t>
          </w:r>
          <w:r w:rsidR="009A1775" w:rsidRPr="006177E4">
            <w:rPr>
              <w:color w:val="000000"/>
            </w:rPr>
            <w:t>1927)</w:t>
          </w:r>
        </w:sdtContent>
      </w:sdt>
      <w:r w:rsidRPr="006177E4">
        <w:t>, estudio tanto impuestos directos como indirectos.</w:t>
      </w:r>
    </w:p>
    <w:p w14:paraId="4CBB56F4" w14:textId="77777777" w:rsidR="00703C19" w:rsidRDefault="008705A0" w:rsidP="008C471E">
      <w:pPr>
        <w:pStyle w:val="PrrAPA"/>
      </w:pPr>
      <w:r w:rsidRPr="006177E4">
        <w:t xml:space="preserve">En el contexto colombiano, </w:t>
      </w:r>
      <w:sdt>
        <w:sdtPr>
          <w:rPr>
            <w:color w:val="000000"/>
          </w:rPr>
          <w:tag w:val="MENDELEY_CITATION_v3_eyJjaXRhdGlvbklEIjoiTUVOREVMRVlfQ0lUQVRJT05fNWU1NGEwOGQtYTFjMC00ZGE1LWI3ZWQtN2E5YjRiYWIwYmZi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
          <w:id w:val="-646521849"/>
          <w:placeholder>
            <w:docPart w:val="D96D9B7653FE487EAF154F11B57DE6F2"/>
          </w:placeholder>
        </w:sdtPr>
        <w:sdtEndPr/>
        <w:sdtContent>
          <w:r w:rsidR="009A1775" w:rsidRPr="006177E4">
            <w:rPr>
              <w:color w:val="000000"/>
            </w:rPr>
            <w:t>Restrepo (2014)</w:t>
          </w:r>
        </w:sdtContent>
      </w:sdt>
      <w:r w:rsidRPr="006177E4">
        <w:t xml:space="preserve"> manifiesta que la eficiencia tributaria está relacionada con la simplicidad normativa, la transparencia en los procedimientos y la confianza del contribuyente en la administración fiscal. Cuando estos elementos se deterioran, se incrementa el riesgo de errores e ineficacia, afectando la capacidad del Estado para cumplir sus funciones esenciales.</w:t>
      </w:r>
    </w:p>
    <w:p w14:paraId="757B034B" w14:textId="3D42F4F3" w:rsidR="00703C19" w:rsidRDefault="008705A0" w:rsidP="008C471E">
      <w:pPr>
        <w:pStyle w:val="PrrAPA"/>
      </w:pPr>
      <w:r w:rsidRPr="006177E4">
        <w:t xml:space="preserve">El economista </w:t>
      </w:r>
      <w:sdt>
        <w:sdtPr>
          <w:rPr>
            <w:color w:val="000000"/>
          </w:rPr>
          <w:tag w:val="MENDELEY_CITATION_v3_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"/>
          <w:id w:val="1953437148"/>
          <w:placeholder>
            <w:docPart w:val="D4912901F0A04688A8A791776B49D2A9"/>
          </w:placeholder>
        </w:sdtPr>
        <w:sdtEndPr/>
        <w:sdtContent>
          <w:r w:rsidR="009A1775" w:rsidRPr="006177E4">
            <w:rPr>
              <w:color w:val="000000"/>
            </w:rPr>
            <w:t>Stiglitz (2002)</w:t>
          </w:r>
        </w:sdtContent>
      </w:sdt>
      <w:r w:rsidRPr="006177E4">
        <w:t xml:space="preserve"> también aporta a esta visión, al señalar que la eficiencia tributaria debe equilibrar dos principios: la eficiencia económica y la equidad social. Si un sistema tributario genera ineficacia en sus declaraciones, se pierde eficiencia (porque el Estado recauda menos) y se pierde equidad (porque se afecta la redistribución del ingreso). En consecuencia, la ineficacia de las declaraciones de retención en la fuente no solo representa un problema técnico, sino un obstáculo para el desarrollo económico del país</w:t>
      </w:r>
      <w:r w:rsidR="00703C19">
        <w:t>.</w:t>
      </w:r>
    </w:p>
    <w:p w14:paraId="1549E7DB" w14:textId="77777777" w:rsidR="00703C19" w:rsidRDefault="008705A0" w:rsidP="008C471E">
      <w:pPr>
        <w:pStyle w:val="PrrAPA"/>
      </w:pPr>
      <w:r w:rsidRPr="006177E4">
        <w:t>Por último, el autor</w:t>
      </w:r>
      <w:r w:rsidR="00F179CD" w:rsidRPr="006177E4">
        <w:t xml:space="preserve"> </w:t>
      </w:r>
      <w:sdt>
        <w:sdtPr>
          <w:rPr>
            <w:color w:val="000000"/>
          </w:rPr>
          <w:tag w:val="MENDELEY_CITATION_v3_eyJjaXRhdGlvbklEIjoiTUVOREVMRVlfQ0lUQVRJT05fMWE4NGE3M2MtN2YyYS00MTBlLTlhODMtNDdhNWY1NGM5NWIz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
          <w:id w:val="707151762"/>
          <w:placeholder>
            <w:docPart w:val="D96D9B7653FE487EAF154F11B57DE6F2"/>
          </w:placeholder>
        </w:sdtPr>
        <w:sdtEndPr/>
        <w:sdtContent>
          <w:proofErr w:type="spellStart"/>
          <w:r w:rsidR="009A1775" w:rsidRPr="006177E4">
            <w:rPr>
              <w:color w:val="000000"/>
            </w:rPr>
            <w:t>Jarach</w:t>
          </w:r>
          <w:proofErr w:type="spellEnd"/>
          <w:r w:rsidR="009A1775" w:rsidRPr="006177E4">
            <w:rPr>
              <w:color w:val="000000"/>
            </w:rPr>
            <w:t xml:space="preserve"> (1951)</w:t>
          </w:r>
        </w:sdtContent>
      </w:sdt>
      <w:r w:rsidRPr="006177E4">
        <w:t xml:space="preserve"> establece que la obligación nace con el hecho imponible. El hecho imponible es el pago o abono en cuenta realizado por el agente retenedor. La ineficacia </w:t>
      </w:r>
      <w:r w:rsidRPr="006177E4">
        <w:lastRenderedPageBreak/>
        <w:t xml:space="preserve">se produce cuando el agente realiza el hecho imponible, pero omite o evade la consecuencia jurídica accesoria como el pago del impuesto. Esto altera la función del agente retenedor como colaborador fiscal, transformando una obligación de hacer, en un incumplimiento que afecta el recaudo de los tributos. </w:t>
      </w:r>
    </w:p>
    <w:p w14:paraId="6028A8F7" w14:textId="77777777" w:rsidR="00703C19" w:rsidRDefault="008705A0" w:rsidP="008C471E">
      <w:pPr>
        <w:pStyle w:val="PrrAPA"/>
      </w:pPr>
      <w:r w:rsidRPr="006177E4">
        <w:t>En síntesis, la Teoría de la Eficiencia Tributaria aporta una mirada práctica y equilibrada que  permite comprender que la ineficacia de las declaraciones de retención en la fuente, no solo como un fallo formal, sino como una señal de debilidad en la gestión tributaria y la estructura del cumplimiento fiscal, Esta teoría refuerza la importancia de diseñar procedimientos claros, accesibles y coherentes, donde la educación tributaria y la simplificación administrativa se conviertan en herramientas para fortalecer la eficiencia y legitimidad del sistema impositivo.</w:t>
      </w:r>
    </w:p>
    <w:p w14:paraId="1A9B84C7" w14:textId="77777777" w:rsidR="00703C19" w:rsidRDefault="008705A0" w:rsidP="008C471E">
      <w:pPr>
        <w:pStyle w:val="PrrAPA"/>
      </w:pPr>
      <w:r w:rsidRPr="006177E4">
        <w:t>La teoría de la Hacienda Pública ofrece una perspectiva económica y social del sistema tributario; resalta la importancia de la eficiencia administrativa y la transparencia fiscal. al entender los tributos como el principal instrumento de financiación del Estado y de realización del bien común. Desde este enfoque, la ineficacia de las declaraciones de retención en la fuente   representa una falla estructural en el proceso de recaudación, pues implica pérdida de recursos fiscales que deberían destinarse al cumplimiento de los fines públicos: salud, educación, infraestructura y bienestar general.</w:t>
      </w:r>
    </w:p>
    <w:p w14:paraId="5AFCAF46" w14:textId="77777777" w:rsidR="00703C19" w:rsidRDefault="008705A0" w:rsidP="008C471E">
      <w:pPr>
        <w:pStyle w:val="PrrAPA"/>
      </w:pPr>
      <w:r w:rsidRPr="006177E4">
        <w:t xml:space="preserve">De acuerdo con </w:t>
      </w:r>
      <w:sdt>
        <w:sdtPr>
          <w:rPr>
            <w:color w:val="000000"/>
          </w:rPr>
          <w:tag w:val="MENDELEY_CITATION_v3_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"/>
          <w:id w:val="-1585989443"/>
          <w:placeholder>
            <w:docPart w:val="DefaultPlaceholder_-1854013440"/>
          </w:placeholder>
        </w:sdtPr>
        <w:sdtEndPr/>
        <w:sdtContent>
          <w:r w:rsidR="009A1775" w:rsidRPr="006177E4">
            <w:rPr>
              <w:color w:val="000000"/>
            </w:rPr>
            <w:t>Musgrave (1959)</w:t>
          </w:r>
        </w:sdtContent>
      </w:sdt>
      <w:r w:rsidR="001A44F9" w:rsidRPr="006177E4">
        <w:rPr>
          <w:color w:val="000000"/>
        </w:rPr>
        <w:t xml:space="preserve"> </w:t>
      </w:r>
      <w:r w:rsidRPr="006177E4">
        <w:t>la hacienda pública tiene tres funciones esenciales: la asignativa, la distributiva y la estabilizadora. La ineficacia tributaria afecta directamente la primera, al impedir que los recursos se asignen eficientemente, y también la función redistributiva, al limitar la capacidad del Estado para corregir desigualdades sociales. Así, las declaraciones ineficaces no son simples errores administrativos, sino manifestaciones de una deficiencia que compromete la sostenibilidad fiscal y la justicia social.</w:t>
      </w:r>
    </w:p>
    <w:p w14:paraId="42A7DE9F" w14:textId="77777777" w:rsidR="00703C19" w:rsidRDefault="008705A0" w:rsidP="008C471E">
      <w:pPr>
        <w:pStyle w:val="PrrAPA"/>
      </w:pPr>
      <w:r w:rsidRPr="006177E4">
        <w:t xml:space="preserve">Por su parte, </w:t>
      </w:r>
      <w:sdt>
        <w:sdtPr>
          <w:rPr>
            <w:color w:val="000000"/>
          </w:rPr>
          <w:tag w:val="MENDELEY_CITATION_v3_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"/>
          <w:id w:val="-1813091768"/>
          <w:placeholder>
            <w:docPart w:val="DefaultPlaceholder_-1854013440"/>
          </w:placeholder>
        </w:sdtPr>
        <w:sdtEndPr/>
        <w:sdtContent>
          <w:r w:rsidR="009A1775" w:rsidRPr="006177E4">
            <w:rPr>
              <w:color w:val="000000"/>
            </w:rPr>
            <w:t>Rosen</w:t>
          </w:r>
          <w:r w:rsidR="00703C19">
            <w:rPr>
              <w:color w:val="000000"/>
            </w:rPr>
            <w:t xml:space="preserve"> (</w:t>
          </w:r>
          <w:r w:rsidR="009A1775" w:rsidRPr="006177E4">
            <w:rPr>
              <w:color w:val="000000"/>
            </w:rPr>
            <w:t>2008)</w:t>
          </w:r>
        </w:sdtContent>
      </w:sdt>
      <w:r w:rsidR="00246281" w:rsidRPr="006177E4">
        <w:rPr>
          <w:rStyle w:val="Textoennegrita"/>
        </w:rPr>
        <w:t xml:space="preserve"> </w:t>
      </w:r>
      <w:r w:rsidRPr="006177E4">
        <w:t>sostiene que la eficiencia en la recaudación depende tanto del diseño de las normas tributarias como del cumplimiento voluntario de los contribuyentes. En este sentido, la ineficacia de las declaraciones refleja una brecha entre la norma tributaria y la conducta económica real, lo que genera pérdidas recaudatorias y distorsiona el equilibrio presupuestal.</w:t>
      </w:r>
    </w:p>
    <w:p w14:paraId="7793769B" w14:textId="77777777" w:rsidR="00703C19" w:rsidRDefault="008705A0" w:rsidP="008C471E">
      <w:pPr>
        <w:pStyle w:val="PrrAPA"/>
      </w:pPr>
      <w:r w:rsidRPr="006177E4">
        <w:t xml:space="preserve">Con respecto al desempeño del sistema tributario colombiano, </w:t>
      </w:r>
      <w:sdt>
        <w:sdtPr>
          <w:rPr>
            <w:color w:val="000000"/>
          </w:rPr>
          <w:tag w:val="MENDELEY_CITATION_v3_eyJjaXRhdGlvbklEIjoiTUVOREVMRVlfQ0lUQVRJT05fYzhlNjBkZWEtYmEyNC00ODM5LWEzNjItNDlkZjZlNDk0OTJm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
          <w:id w:val="-1232378857"/>
          <w:placeholder>
            <w:docPart w:val="D96D9B7653FE487EAF154F11B57DE6F2"/>
          </w:placeholder>
        </w:sdtPr>
        <w:sdtEndPr/>
        <w:sdtContent>
          <w:r w:rsidR="009A1775" w:rsidRPr="006177E4">
            <w:rPr>
              <w:color w:val="000000"/>
            </w:rPr>
            <w:t>Restrepo (2014)</w:t>
          </w:r>
        </w:sdtContent>
      </w:sdt>
      <w:r w:rsidR="008B5CA9" w:rsidRPr="006177E4">
        <w:rPr>
          <w:color w:val="000000"/>
        </w:rPr>
        <w:t xml:space="preserve"> </w:t>
      </w:r>
      <w:r w:rsidRPr="006177E4">
        <w:t xml:space="preserve">enfatiza que para que una declaración de retención en la fuente sea eficaz requiere simplicidad, transparencia y coherencia normativa. Desde su visión, la ineficacia de las declaraciones no solo </w:t>
      </w:r>
      <w:r w:rsidRPr="006177E4">
        <w:lastRenderedPageBreak/>
        <w:t>obstaculiza la gestión de la DIAN, sino que quebranta la confianza del ciudadano en la administración tributaria debilitando la unión fiscal entre Estado y sociedad.</w:t>
      </w:r>
    </w:p>
    <w:p w14:paraId="2A24B8C6" w14:textId="77777777" w:rsidR="00703C19" w:rsidRDefault="008705A0" w:rsidP="008C471E">
      <w:pPr>
        <w:pStyle w:val="PrrAPA"/>
      </w:pPr>
      <w:r w:rsidRPr="006177E4">
        <w:t>En conclusión, la teoría de la Hacienda Pública permite comprender la ineficacia de las declaraciones de retención en la fuente como un problema de eficiencia y legitimidad del gasto público, entendiendo que el cumplimiento tributario no es solo un deber legal, sino una responsabilidad social que sostiene la estructura económica del Estado.</w:t>
      </w:r>
    </w:p>
    <w:p w14:paraId="71BCDA53" w14:textId="77777777" w:rsidR="00703C19" w:rsidRDefault="008705A0" w:rsidP="008C471E">
      <w:pPr>
        <w:pStyle w:val="PrrAPA"/>
      </w:pPr>
      <w:r w:rsidRPr="006177E4">
        <w:t xml:space="preserve">La teoría de la obligación tributaria aborda el vínculo jurídico que une al Estado, en su potestad de recaudar, con el contribuyente, en su deber de contribuir al sostenimiento del gasto público. Bajo esta perspectiva, la ineficacia de las declaraciones de retención en la fuente puede entenderse como un quiebre en la relación </w:t>
      </w:r>
      <w:r w:rsidR="00703C19" w:rsidRPr="006177E4">
        <w:t>jurídico-tributaria</w:t>
      </w:r>
      <w:r w:rsidRPr="006177E4">
        <w:t>, donde el acto formal (la declaración) no logra producir efectos válidos por el incumplimiento de las condiciones legales.</w:t>
      </w:r>
    </w:p>
    <w:p w14:paraId="5991B6EF" w14:textId="77777777" w:rsidR="00703C19" w:rsidRDefault="008705A0" w:rsidP="008C471E">
      <w:pPr>
        <w:pStyle w:val="PrrAPA"/>
      </w:pPr>
      <w:r w:rsidRPr="006177E4">
        <w:t>Según</w:t>
      </w:r>
      <w:r w:rsidR="00A503A5" w:rsidRPr="006177E4">
        <w:t xml:space="preserve"> </w:t>
      </w:r>
      <w:sdt>
        <w:sdtPr>
          <w:rPr>
            <w:color w:val="000000"/>
          </w:rPr>
          <w:tag w:val="MENDELEY_CITATION_v3_eyJjaXRhdGlvbklEIjoiTUVOREVMRVlfQ0lUQVRJT05fMDc1NmQzZTAtYjMxYy00NmY1LThiNzctMGM3NTQwOGI3ZGU3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
          <w:id w:val="-75827802"/>
          <w:placeholder>
            <w:docPart w:val="D96D9B7653FE487EAF154F11B57DE6F2"/>
          </w:placeholder>
        </w:sdtPr>
        <w:sdtEndPr/>
        <w:sdtContent>
          <w:r w:rsidR="009A1775" w:rsidRPr="006177E4">
            <w:rPr>
              <w:color w:val="000000"/>
            </w:rPr>
            <w:t>Kelsen (1934)</w:t>
          </w:r>
        </w:sdtContent>
      </w:sdt>
      <w:r w:rsidRPr="006177E4">
        <w:t>,</w:t>
      </w:r>
      <w:r w:rsidR="00A503A5" w:rsidRPr="006177E4">
        <w:t xml:space="preserve"> </w:t>
      </w:r>
      <w:r w:rsidRPr="006177E4">
        <w:t xml:space="preserve">desde su enfoque normativista, toda </w:t>
      </w:r>
      <w:r w:rsidR="00887BE9" w:rsidRPr="006177E4">
        <w:t>obligación jurídica</w:t>
      </w:r>
      <w:r w:rsidRPr="006177E4">
        <w:t xml:space="preserve"> deriva de una norma válida dentro del ordenamiento. En consecuencia, una declaración ineficaz representa la ausencia de validez jurídica, ya que el acto administrativo no se ajusta a la norma que le da sentido. La eficacia tributaria, entonces, no depende de la intención del contribuyente, sino del cumplimiento estricto del marco normativo que regula el acto. Desde la perspectiva de </w:t>
      </w:r>
      <w:sdt>
        <w:sdtPr>
          <w:rPr>
            <w:color w:val="000000"/>
          </w:rPr>
          <w:tag w:val="MENDELEY_CITATION_v3_eyJjaXRhdGlvbklEIjoiTUVOREVMRVlfQ0lUQVRJT05fMjBlOWQ3NjAtYmYxMy00NTEwLWFmMWYtM2MyZDFmZTM2Y2U3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
          <w:id w:val="327869890"/>
          <w:placeholder>
            <w:docPart w:val="D96D9B7653FE487EAF154F11B57DE6F2"/>
          </w:placeholder>
        </w:sdtPr>
        <w:sdtEndPr/>
        <w:sdtContent>
          <w:r w:rsidR="009A1775" w:rsidRPr="006177E4">
            <w:rPr>
              <w:rFonts w:eastAsia="Times New Roman"/>
              <w:color w:val="000000"/>
            </w:rPr>
            <w:t>Kelsen (1934)</w:t>
          </w:r>
        </w:sdtContent>
      </w:sdt>
      <w:r w:rsidRPr="006177E4">
        <w:t>, el derecho es un ordenamiento de la conducta humana que funciona como un sistema de normas coactivas. El tributo, siendo una prestación obligatoria que el Estado puede exigir por la, encaja perfectamente en esta definición</w:t>
      </w:r>
      <w:r w:rsidR="00703C19">
        <w:t>.</w:t>
      </w:r>
    </w:p>
    <w:p w14:paraId="77B53390" w14:textId="77777777" w:rsidR="00703C19" w:rsidRDefault="008705A0" w:rsidP="008C471E">
      <w:pPr>
        <w:pStyle w:val="PrrAPA"/>
      </w:pPr>
      <w:r w:rsidRPr="006177E4">
        <w:t xml:space="preserve">Complementando esta visión  </w:t>
      </w:r>
      <w:sdt>
        <w:sdtPr>
          <w:rPr>
            <w:color w:val="000000"/>
          </w:rPr>
          <w:tag w:val="MENDELEY_CITATION_v3_eyJjaXRhdGlvbklEIjoiTUVOREVMRVlfQ0lUQVRJT05fYzVkYzY3YzEtYjlkNC00NTI4LTgyYzAtODY3OTk2ODlhYmY2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
          <w:id w:val="-1120986605"/>
          <w:placeholder>
            <w:docPart w:val="D96D9B7653FE487EAF154F11B57DE6F2"/>
          </w:placeholder>
        </w:sdtPr>
        <w:sdtEndPr/>
        <w:sdtContent>
          <w:proofErr w:type="spellStart"/>
          <w:r w:rsidR="009A1775" w:rsidRPr="006177E4">
            <w:rPr>
              <w:rFonts w:eastAsia="Times New Roman"/>
              <w:color w:val="000000"/>
            </w:rPr>
            <w:t>Jarach</w:t>
          </w:r>
          <w:proofErr w:type="spellEnd"/>
          <w:r w:rsidR="009A1775" w:rsidRPr="006177E4">
            <w:rPr>
              <w:rFonts w:eastAsia="Times New Roman"/>
              <w:color w:val="000000"/>
            </w:rPr>
            <w:t xml:space="preserve"> (1951)</w:t>
          </w:r>
        </w:sdtContent>
      </w:sdt>
      <w:r w:rsidRPr="006177E4">
        <w:t xml:space="preserve"> entiende la obligación tributaria como una relación compleja y dinámica, en la que intervienen derechos, deberes y responsabilidades mutuas entre el Estado y el contribuyente. Desde su óptica, la ineficacia en las declaraciones no solo afecta la validez formal del tributo, sino que debilita la fuerza coercitiva del sistema tributario, al poner en duda la capacidad del Estado para garantizar el cumplimiento efectivo.</w:t>
      </w:r>
    </w:p>
    <w:p w14:paraId="19B94E9E" w14:textId="77777777" w:rsidR="00703C19" w:rsidRDefault="008705A0" w:rsidP="008C471E">
      <w:pPr>
        <w:pStyle w:val="PrrAPA"/>
      </w:pPr>
      <w:r w:rsidRPr="006177E4">
        <w:t xml:space="preserve">Por su parte </w:t>
      </w:r>
      <w:sdt>
        <w:sdtPr>
          <w:rPr>
            <w:color w:val="000000"/>
          </w:rPr>
          <w:tag w:val="MENDELEY_CITATION_v3_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"/>
          <w:id w:val="-1082297060"/>
          <w:placeholder>
            <w:docPart w:val="DefaultPlaceholder_-1854013440"/>
          </w:placeholder>
        </w:sdtPr>
        <w:sdtEndPr/>
        <w:sdtContent>
          <w:r w:rsidR="009A1775" w:rsidRPr="006177E4">
            <w:rPr>
              <w:color w:val="000000"/>
            </w:rPr>
            <w:t>Fonrouge (1975)</w:t>
          </w:r>
        </w:sdtContent>
      </w:sdt>
      <w:r w:rsidR="0057228D" w:rsidRPr="006177E4">
        <w:rPr>
          <w:color w:val="000000"/>
        </w:rPr>
        <w:t xml:space="preserve"> </w:t>
      </w:r>
      <w:r w:rsidRPr="006177E4">
        <w:t>profundiza en el carácter jurídico de la obligación tributaria, destacando que la validez de los actos fiscales depende de la existencia de una base legal clara y de procedimientos administrativos transparentes. Una declaración ineficaz evidencia precisamente el fracaso del acto jurídico tributario, cuando no se cumplen los presupuestos de forma, tiempo o fondo exigidos por la norma.</w:t>
      </w:r>
    </w:p>
    <w:p w14:paraId="60A13E20" w14:textId="77777777" w:rsidR="00703C19" w:rsidRDefault="008705A0" w:rsidP="008C471E">
      <w:pPr>
        <w:pStyle w:val="PrrAPA"/>
      </w:pPr>
      <w:r w:rsidRPr="006177E4">
        <w:t xml:space="preserve">Desde este marco, la teoría de la obligación tributaria construye una comprensión jurídica precisa. La ineficacia de las declaraciones no es solo un error operativo, sino la ruptura de la </w:t>
      </w:r>
      <w:r w:rsidRPr="006177E4">
        <w:lastRenderedPageBreak/>
        <w:t xml:space="preserve">relación del derecho público entre el Estado y el contribuyente. Ello implica consecuencias en la validez, exigibilidad y eficacia de las obligaciones fiscales, afectando tanto la gestión estatal como la confianza ciudadana en el sistema. </w:t>
      </w:r>
    </w:p>
    <w:p w14:paraId="65BC6280" w14:textId="52610C6D" w:rsidR="008705A0" w:rsidRPr="006177E4" w:rsidRDefault="008705A0" w:rsidP="008C471E">
      <w:pPr>
        <w:pStyle w:val="PrrAPA"/>
      </w:pPr>
      <w:r w:rsidRPr="006177E4">
        <w:t>En conjunto, est</w:t>
      </w:r>
      <w:r w:rsidR="003E431D">
        <w:t xml:space="preserve">as </w:t>
      </w:r>
      <w:r w:rsidRPr="006177E4">
        <w:t>teorías permiten comprender el problema desde una mirada más amplia, la ineficacia tributaria no se reduce a un simple incumplimiento de la ley, sino que refleja una red compleja de factores normativos, administrativos y culturales que influyen en el comportamiento fiscal de las personas y las organizaciones.</w:t>
      </w:r>
    </w:p>
    <w:p w14:paraId="13433489" w14:textId="77777777" w:rsidR="0035140B" w:rsidRPr="006177E4" w:rsidRDefault="0035140B" w:rsidP="00263B16">
      <w:pPr>
        <w:spacing w:line="480" w:lineRule="auto"/>
        <w:ind w:left="357" w:firstLine="720"/>
        <w:jc w:val="left"/>
        <w:rPr>
          <w:rFonts w:cs="Times New Roman"/>
          <w:szCs w:val="24"/>
        </w:rPr>
      </w:pPr>
    </w:p>
    <w:p w14:paraId="327E9F9D" w14:textId="1CDBD0D2" w:rsidR="00712058" w:rsidRPr="00703C19" w:rsidRDefault="00FE7C99" w:rsidP="00263B16">
      <w:pPr>
        <w:pStyle w:val="Ttulo2"/>
      </w:pPr>
      <w:bookmarkStart w:id="82" w:name="_Toc228250785"/>
      <w:bookmarkStart w:id="83" w:name="_Toc229077651"/>
      <w:r w:rsidRPr="00703C19">
        <w:t>Marco contextual</w:t>
      </w:r>
      <w:bookmarkEnd w:id="82"/>
      <w:bookmarkEnd w:id="83"/>
      <w:r w:rsidRPr="00703C19">
        <w:t xml:space="preserve"> </w:t>
      </w:r>
    </w:p>
    <w:p w14:paraId="21F0B526" w14:textId="26A91739" w:rsidR="00712058" w:rsidRPr="006177E4" w:rsidRDefault="00712058" w:rsidP="008C471E">
      <w:pPr>
        <w:pStyle w:val="PrrAPA"/>
      </w:pPr>
      <w:r w:rsidRPr="006177E4">
        <w:t>El presente marco contextual tiene como propósito situar la investigación dentro del entorno económico, jurídico administrativo y social de la ciudad de Ibagué departamento del Tolima, en la dirección seccional de impuestos y aduanas nacionales DIAN de la misma ciudad, durante el período 2014–2024.  Lo cual conlleva a comprender este contexto esencia para el desarrollo de la investigación, ya que la problemática tributaria no se origina únicamente en las normas fiscales, sino también en las condiciones estructurales que determinan el comportamiento de los contribuyentes, la gestión institucional y la dinámica económica de la región. Este marco permite, además, identificar los desafíos que enfrenta la administración tributaria local en su misión de garantizar la eficacia del sistema de retención y fortalecer la cultura fiscal.</w:t>
      </w:r>
    </w:p>
    <w:p w14:paraId="3FECAC5D" w14:textId="759D50A3" w:rsidR="00C20590" w:rsidRPr="006177E4" w:rsidRDefault="00C20590" w:rsidP="00263B16">
      <w:pPr>
        <w:spacing w:line="480" w:lineRule="auto"/>
        <w:ind w:left="360" w:firstLine="720"/>
        <w:jc w:val="left"/>
        <w:rPr>
          <w:rFonts w:cs="Times New Roman"/>
          <w:szCs w:val="24"/>
        </w:rPr>
      </w:pPr>
    </w:p>
    <w:p w14:paraId="6159E655" w14:textId="77777777" w:rsidR="004E1DC6" w:rsidRDefault="00703C19" w:rsidP="00263B16">
      <w:pPr>
        <w:pStyle w:val="Descripcin"/>
        <w:spacing w:after="0" w:line="480" w:lineRule="auto"/>
        <w:rPr>
          <w:b/>
          <w:bCs/>
          <w:i w:val="0"/>
          <w:iCs w:val="0"/>
        </w:rPr>
      </w:pPr>
      <w:bookmarkStart w:id="84" w:name="_Toc229077712"/>
      <w:r w:rsidRPr="00703C19">
        <w:rPr>
          <w:b/>
          <w:bCs/>
          <w:i w:val="0"/>
          <w:iCs w:val="0"/>
        </w:rPr>
        <w:t xml:space="preserve">Figura  </w:t>
      </w:r>
      <w:r w:rsidRPr="00703C19">
        <w:rPr>
          <w:b/>
          <w:bCs/>
          <w:i w:val="0"/>
          <w:iCs w:val="0"/>
        </w:rPr>
        <w:fldChar w:fldCharType="begin"/>
      </w:r>
      <w:r w:rsidRPr="00703C19">
        <w:rPr>
          <w:b/>
          <w:bCs/>
          <w:i w:val="0"/>
          <w:iCs w:val="0"/>
        </w:rPr>
        <w:instrText xml:space="preserve"> SEQ Figura_ \* ARABIC </w:instrText>
      </w:r>
      <w:r w:rsidRPr="00703C19">
        <w:rPr>
          <w:b/>
          <w:bCs/>
          <w:i w:val="0"/>
          <w:iCs w:val="0"/>
        </w:rPr>
        <w:fldChar w:fldCharType="separate"/>
      </w:r>
      <w:r w:rsidR="00F01079">
        <w:rPr>
          <w:b/>
          <w:bCs/>
          <w:i w:val="0"/>
          <w:iCs w:val="0"/>
          <w:noProof/>
        </w:rPr>
        <w:t>3</w:t>
      </w:r>
      <w:r w:rsidRPr="00703C19">
        <w:rPr>
          <w:b/>
          <w:bCs/>
          <w:i w:val="0"/>
          <w:iCs w:val="0"/>
        </w:rPr>
        <w:fldChar w:fldCharType="end"/>
      </w:r>
    </w:p>
    <w:p w14:paraId="12F3235D" w14:textId="50E64503" w:rsidR="00712058" w:rsidRPr="00703C19" w:rsidRDefault="00E2358D" w:rsidP="00263B16">
      <w:pPr>
        <w:pStyle w:val="Descripcin"/>
        <w:spacing w:after="0" w:line="480" w:lineRule="auto"/>
        <w:rPr>
          <w:b/>
          <w:bCs/>
          <w:i w:val="0"/>
          <w:iCs w:val="0"/>
        </w:rPr>
      </w:pPr>
      <w:r w:rsidRPr="006177E4">
        <w:rPr>
          <w:rFonts w:cs="Times New Roman"/>
          <w:i w:val="0"/>
          <w:iCs w:val="0"/>
          <w:szCs w:val="24"/>
        </w:rPr>
        <w:t>Ubicación geográfica del</w:t>
      </w:r>
      <w:r w:rsidR="00712058" w:rsidRPr="006177E4">
        <w:rPr>
          <w:rFonts w:cs="Times New Roman"/>
          <w:szCs w:val="24"/>
        </w:rPr>
        <w:t xml:space="preserve"> municipio de Ibagué departamento del Tolima</w:t>
      </w:r>
      <w:r w:rsidR="00C92D38">
        <w:rPr>
          <w:rFonts w:cs="Times New Roman"/>
          <w:szCs w:val="24"/>
        </w:rPr>
        <w:t>.</w:t>
      </w:r>
      <w:bookmarkEnd w:id="84"/>
      <w:r w:rsidR="00712058" w:rsidRPr="006177E4">
        <w:rPr>
          <w:rFonts w:cs="Times New Roman"/>
          <w:szCs w:val="24"/>
        </w:rPr>
        <w:t xml:space="preserve"> </w:t>
      </w:r>
    </w:p>
    <w:p w14:paraId="14A071F1" w14:textId="7DA318EC" w:rsidR="00712058" w:rsidRPr="006177E4" w:rsidRDefault="00712058" w:rsidP="00263B16">
      <w:pPr>
        <w:pStyle w:val="NormalWeb"/>
        <w:spacing w:before="0" w:beforeAutospacing="0" w:after="0" w:afterAutospacing="0" w:line="480" w:lineRule="auto"/>
        <w:ind w:firstLine="720"/>
        <w:jc w:val="center"/>
      </w:pPr>
      <w:r w:rsidRPr="006177E4">
        <w:rPr>
          <w:noProof/>
        </w:rPr>
        <w:lastRenderedPageBreak/>
        <w:drawing>
          <wp:inline distT="0" distB="0" distL="0" distR="0" wp14:anchorId="2B4D6B05" wp14:editId="540F59DC">
            <wp:extent cx="3997941" cy="251971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07971" cy="2526032"/>
                    </a:xfrm>
                    <a:prstGeom prst="rect">
                      <a:avLst/>
                    </a:prstGeom>
                  </pic:spPr>
                </pic:pic>
              </a:graphicData>
            </a:graphic>
          </wp:inline>
        </w:drawing>
      </w:r>
    </w:p>
    <w:p w14:paraId="7DF7AB17" w14:textId="10783617" w:rsidR="00BB2C9D" w:rsidRPr="006177E4" w:rsidRDefault="00712058" w:rsidP="00263B16">
      <w:pPr>
        <w:pStyle w:val="NormalWeb"/>
        <w:spacing w:before="0" w:beforeAutospacing="0" w:after="0" w:afterAutospacing="0" w:line="480" w:lineRule="auto"/>
      </w:pPr>
      <w:r w:rsidRPr="006177E4">
        <w:rPr>
          <w:i/>
          <w:iCs/>
        </w:rPr>
        <w:t>Nota</w:t>
      </w:r>
      <w:r w:rsidR="00C92D38">
        <w:rPr>
          <w:i/>
          <w:iCs/>
        </w:rPr>
        <w:t xml:space="preserve">. </w:t>
      </w:r>
      <w:r w:rsidRPr="006177E4">
        <w:t>La presente ilustración muestra la ubicación de la ciudad de Ibagué-Tolima</w:t>
      </w:r>
      <w:r w:rsidR="00C92D38">
        <w:t>. (</w:t>
      </w:r>
      <w:r w:rsidRPr="006177E4">
        <w:t xml:space="preserve">Google </w:t>
      </w:r>
      <w:proofErr w:type="spellStart"/>
      <w:r w:rsidRPr="006177E4">
        <w:t>Map</w:t>
      </w:r>
      <w:r w:rsidR="005A6FD3" w:rsidRPr="006177E4">
        <w:t>s</w:t>
      </w:r>
      <w:proofErr w:type="spellEnd"/>
      <w:r w:rsidR="00C92D38">
        <w:t>, 2026).</w:t>
      </w:r>
    </w:p>
    <w:p w14:paraId="7A1FED27" w14:textId="12332E91" w:rsidR="00BB2C9D" w:rsidRPr="00E27C5F" w:rsidRDefault="00712058" w:rsidP="008C471E">
      <w:pPr>
        <w:pStyle w:val="PrrAPA"/>
      </w:pPr>
      <w:r w:rsidRPr="00E27C5F">
        <w:t xml:space="preserve">La ciudad de Ibagué, capital del departamento del Tolima, ha tenido un crecimiento económico sostenido pero moderado en la última década. Su estructura productiva está compuesta principalmente por pequeñas y medianas empresas de los sectores comercio, servicios y manufactura ligera, que constituyen cerca de 80 % del tejido empresarial local. Sin embargo, este desarrollo económico se ha visto afectado por altos niveles de Informalidad laboral y empresarial </w:t>
      </w:r>
      <w:sdt>
        <w:sdtPr>
          <w:tag w:val="MENDELEY_CITATION_v3_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"/>
          <w:id w:val="932162127"/>
          <w:placeholder>
            <w:docPart w:val="3457BF9A5E30408A92377947471BBFCC"/>
          </w:placeholder>
        </w:sdtPr>
        <w:sdtEndPr/>
        <w:sdtContent>
          <w:r w:rsidR="009A1775" w:rsidRPr="00E27C5F">
            <w:t>(</w:t>
          </w:r>
          <w:r w:rsidR="00872EA0" w:rsidRPr="00E27C5F">
            <w:t>U</w:t>
          </w:r>
          <w:r w:rsidR="009A1775" w:rsidRPr="00E27C5F">
            <w:t>nidad de desarrollo empresarial y regional Cámara de Comercio de Ibagué (2023)</w:t>
          </w:r>
        </w:sdtContent>
      </w:sdt>
      <w:r w:rsidRPr="00E27C5F">
        <w:t>, lo cual repercute directamente en el cumplimiento tributario y en la recaudación de impuestos.</w:t>
      </w:r>
    </w:p>
    <w:p w14:paraId="5BF8CD00" w14:textId="337A6921" w:rsidR="00712058" w:rsidRPr="006177E4" w:rsidRDefault="00712058" w:rsidP="008C471E">
      <w:pPr>
        <w:pStyle w:val="PrrAPA"/>
      </w:pPr>
      <w:r w:rsidRPr="006177E4">
        <w:t>En el contexto económico, la retención en la fuente se ha convertido en un mecanismo esencial para garantizar el flujo de recursos hacia el Estado. No obstante, la persistencia de declaraciones ineficaces representa una pérdida significativa de ingresos fiscales. Según datos de la DIAN seccional Ibagué (2022) aproximadamente el 30 % de las declaraciones de retención en la fuente presentan inconsistencia o incumplen los requisitos establecidos en el Estatuto Tributario, generando retrasos en el recaudo y afectando la estabilidad presupuestal de la región.</w:t>
      </w:r>
    </w:p>
    <w:p w14:paraId="72DD4F77" w14:textId="77777777" w:rsidR="00712058" w:rsidRPr="006177E4" w:rsidRDefault="00712058" w:rsidP="008C471E">
      <w:pPr>
        <w:pStyle w:val="PrrAPA"/>
      </w:pPr>
      <w:r w:rsidRPr="006177E4">
        <w:t>La ineficacia en este ámbito no solo refleja fallas individuales de los contribuyentes, sino también debilidades estructurales del sistema tributario, relacionadas con la complejidad de los procesos, la falta de asistencia técnica y el bajo nivel de educación fiscal. Esta situación evidencia la necesidad de fortalecer las estrategias de gestión tributaria y de simplificar los procedimientos para mejorar la eficiencia del recaudo en el contexto local.</w:t>
      </w:r>
    </w:p>
    <w:p w14:paraId="33E2783D" w14:textId="77777777" w:rsidR="00C92D38" w:rsidRDefault="00712058" w:rsidP="008C471E">
      <w:pPr>
        <w:pStyle w:val="PrrAPA"/>
      </w:pPr>
      <w:r w:rsidRPr="006177E4">
        <w:lastRenderedPageBreak/>
        <w:t xml:space="preserve">Por otro lado, en el contexto administrativa la dirección de impuestos y aduanas nacionales DIAN a través de su seccional en Ibagué, desempeña un papel fundamental en la administración y control de los tributos nacionales. En los últimos años, la entidad ha implementado herramientas tecnológicas para facilitar el cumplimiento, tales como la plataforma MUISCA, los servicios en línea para declaraciones y pagos, y el fortalecimiento de los programas de fiscalización, campañas de cobro persuasivo, correos electrónicos y mensajes de texto a los celulares de los contribuyentes, esto con motivo de recordatorio para el cumplimiento de los deberes sustanciales y formales, además capacitaciones en alianzas con las cajas de compensación como Comfenalco Tolima y los </w:t>
      </w:r>
      <w:r w:rsidR="005A6FD3" w:rsidRPr="006177E4">
        <w:t>núcleos</w:t>
      </w:r>
      <w:r w:rsidRPr="006177E4">
        <w:t xml:space="preserve"> de apoyo contable y fiscal (NAF) ubicadas en centros  de educación superior, para brindar más acompañamiento y acercamiento con  contribuyentes</w:t>
      </w:r>
      <w:r w:rsidR="00C92D38">
        <w:t>.</w:t>
      </w:r>
    </w:p>
    <w:p w14:paraId="171E9333" w14:textId="77777777" w:rsidR="008C471E" w:rsidRPr="008C471E" w:rsidRDefault="008C471E" w:rsidP="008C471E">
      <w:bookmarkStart w:id="85" w:name="_Toc229077713"/>
    </w:p>
    <w:p w14:paraId="289274F3" w14:textId="7D4AC130" w:rsidR="00712058" w:rsidRPr="00C92D38" w:rsidRDefault="00C92D38" w:rsidP="00263B16">
      <w:pPr>
        <w:pStyle w:val="Descripcin"/>
        <w:spacing w:after="0" w:line="480" w:lineRule="auto"/>
        <w:rPr>
          <w:rFonts w:cs="Times New Roman"/>
          <w:szCs w:val="24"/>
        </w:rPr>
      </w:pPr>
      <w:r w:rsidRPr="00C92D38">
        <w:rPr>
          <w:b/>
          <w:bCs/>
          <w:i w:val="0"/>
          <w:iCs w:val="0"/>
        </w:rPr>
        <w:t xml:space="preserve">Figura  </w:t>
      </w:r>
      <w:r w:rsidRPr="00C92D38">
        <w:rPr>
          <w:b/>
          <w:bCs/>
          <w:i w:val="0"/>
          <w:iCs w:val="0"/>
        </w:rPr>
        <w:fldChar w:fldCharType="begin"/>
      </w:r>
      <w:r w:rsidRPr="00C92D38">
        <w:rPr>
          <w:b/>
          <w:bCs/>
          <w:i w:val="0"/>
          <w:iCs w:val="0"/>
        </w:rPr>
        <w:instrText xml:space="preserve"> SEQ Figura_ \* ARABIC </w:instrText>
      </w:r>
      <w:r w:rsidRPr="00C92D38">
        <w:rPr>
          <w:b/>
          <w:bCs/>
          <w:i w:val="0"/>
          <w:iCs w:val="0"/>
        </w:rPr>
        <w:fldChar w:fldCharType="separate"/>
      </w:r>
      <w:r w:rsidR="00F01079">
        <w:rPr>
          <w:b/>
          <w:bCs/>
          <w:i w:val="0"/>
          <w:iCs w:val="0"/>
          <w:noProof/>
        </w:rPr>
        <w:t>4</w:t>
      </w:r>
      <w:r w:rsidRPr="00C92D38">
        <w:rPr>
          <w:b/>
          <w:bCs/>
          <w:i w:val="0"/>
          <w:iCs w:val="0"/>
        </w:rPr>
        <w:fldChar w:fldCharType="end"/>
      </w:r>
      <w:r>
        <w:t xml:space="preserve"> </w:t>
      </w:r>
      <w:r w:rsidR="00712058" w:rsidRPr="006177E4">
        <w:rPr>
          <w:rFonts w:cs="Times New Roman"/>
          <w:szCs w:val="24"/>
        </w:rPr>
        <w:t>Fotos de capacitaciones y acercamiento DAIN Ibagué con los contribuyentes</w:t>
      </w:r>
      <w:r>
        <w:rPr>
          <w:rFonts w:cs="Times New Roman"/>
          <w:szCs w:val="24"/>
        </w:rPr>
        <w:t>.</w:t>
      </w:r>
      <w:bookmarkEnd w:id="85"/>
      <w:r w:rsidR="00712058" w:rsidRPr="006177E4">
        <w:rPr>
          <w:rFonts w:cs="Times New Roman"/>
          <w:szCs w:val="24"/>
        </w:rPr>
        <w:t xml:space="preserve"> </w:t>
      </w:r>
    </w:p>
    <w:p w14:paraId="356F16A8" w14:textId="5011CC57" w:rsidR="00390C71" w:rsidRPr="006177E4" w:rsidRDefault="00712058" w:rsidP="00263B16">
      <w:pPr>
        <w:pStyle w:val="NormalWeb"/>
        <w:spacing w:before="0" w:beforeAutospacing="0" w:after="0" w:afterAutospacing="0" w:line="480" w:lineRule="auto"/>
        <w:ind w:firstLine="720"/>
        <w:jc w:val="center"/>
      </w:pPr>
      <w:r w:rsidRPr="006177E4">
        <w:rPr>
          <w:noProof/>
        </w:rPr>
        <w:drawing>
          <wp:inline distT="0" distB="0" distL="0" distR="0" wp14:anchorId="6BF72BDB" wp14:editId="3152939B">
            <wp:extent cx="2742387" cy="180975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71101" cy="1828699"/>
                    </a:xfrm>
                    <a:prstGeom prst="rect">
                      <a:avLst/>
                    </a:prstGeom>
                  </pic:spPr>
                </pic:pic>
              </a:graphicData>
            </a:graphic>
          </wp:inline>
        </w:drawing>
      </w:r>
      <w:r w:rsidR="00390C71" w:rsidRPr="006177E4">
        <w:rPr>
          <w:noProof/>
        </w:rPr>
        <w:drawing>
          <wp:inline distT="0" distB="0" distL="0" distR="0" wp14:anchorId="28862699" wp14:editId="3EEEC5AD">
            <wp:extent cx="1752600" cy="1752600"/>
            <wp:effectExtent l="0" t="0" r="0" b="0"/>
            <wp:docPr id="10" name="Imagen 10" descr="Comfenalco - #Capacitación 🚀 ¡Actualízate y fortalece tu productividad con  Comfenalco Tolima y la DIAN! 🤓 No te pierdas nuestra capacitación sin  costo en Renta Personas Naturales, para este martes 29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fenalco - #Capacitación 🚀 ¡Actualízate y fortalece tu productividad con  Comfenalco Tolima y la DIAN! 🤓 No te pierdas nuestra capacitación sin  costo en Renta Personas Naturales, para este martes 29 d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14:paraId="40A9FDC1" w14:textId="5DDC0318" w:rsidR="00BB2C9D" w:rsidRPr="00E27C5F" w:rsidRDefault="00C92D38" w:rsidP="00263B16">
      <w:pPr>
        <w:pStyle w:val="NormalWeb"/>
        <w:spacing w:before="0" w:beforeAutospacing="0" w:after="0" w:afterAutospacing="0" w:line="480" w:lineRule="auto"/>
      </w:pPr>
      <w:r w:rsidRPr="00E27C5F">
        <w:rPr>
          <w:i/>
          <w:iCs/>
        </w:rPr>
        <w:t xml:space="preserve">Nota. </w:t>
      </w:r>
      <w:r w:rsidR="00E27C5F" w:rsidRPr="00E27C5F">
        <w:rPr>
          <w:iCs/>
        </w:rPr>
        <w:t xml:space="preserve">DIAN Ibagué </w:t>
      </w:r>
      <w:r w:rsidRPr="00E27C5F">
        <w:rPr>
          <w:i/>
          <w:iCs/>
        </w:rPr>
        <w:t>(</w:t>
      </w:r>
      <w:r w:rsidR="00712058" w:rsidRPr="00E27C5F">
        <w:t>Google fotos</w:t>
      </w:r>
      <w:r w:rsidRPr="00E27C5F">
        <w:t xml:space="preserve">, </w:t>
      </w:r>
      <w:r w:rsidR="00E27C5F" w:rsidRPr="00E27C5F">
        <w:t>2025</w:t>
      </w:r>
      <w:r w:rsidRPr="00E27C5F">
        <w:t>)</w:t>
      </w:r>
      <w:r w:rsidR="00712058" w:rsidRPr="00E27C5F">
        <w:t xml:space="preserve"> </w:t>
      </w:r>
    </w:p>
    <w:p w14:paraId="2D6C0354" w14:textId="77777777" w:rsidR="00BB2C9D" w:rsidRPr="006177E4" w:rsidRDefault="00712058" w:rsidP="008C471E">
      <w:pPr>
        <w:pStyle w:val="PrrAPA"/>
      </w:pPr>
      <w:r w:rsidRPr="006177E4">
        <w:t>Continuando con la descripción del contexto, se hace referencia al componente social puesto que resulta determinante para comprender la problemática de la ineficacia tributaria. En Ibagué, como en buena parte del país, persiste una cultura tributaria débil caracterizada por el desconocimiento de las normas, la falta de conciencia fiscal y una percepción negativa sobre el destino de los impuestos. Muchos contribuyentes asocian el pago de tributos con una carga impuesta más que con un deber ciudadano que contribuye al bienestar colectivo.</w:t>
      </w:r>
    </w:p>
    <w:p w14:paraId="07C10A94" w14:textId="6F6CF368" w:rsidR="00BB2C9D" w:rsidRPr="006177E4" w:rsidRDefault="00712058" w:rsidP="008C471E">
      <w:pPr>
        <w:pStyle w:val="PrrAPA"/>
      </w:pPr>
      <w:r w:rsidRPr="006177E4">
        <w:t xml:space="preserve">De acuerdo con estudios recientes </w:t>
      </w:r>
      <w:sdt>
        <w:sdtPr>
          <w:rPr>
            <w:color w:val="000000"/>
          </w:rPr>
          <w:tag w:val="MENDELEY_CITATION_v3_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i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
          <w:id w:val="-1588456077"/>
          <w:placeholder>
            <w:docPart w:val="3457BF9A5E30408A92377947471BBFCC"/>
          </w:placeholder>
        </w:sdtPr>
        <w:sdtEndPr/>
        <w:sdtContent>
          <w:r w:rsidR="009A1775" w:rsidRPr="006177E4">
            <w:rPr>
              <w:color w:val="000000"/>
            </w:rPr>
            <w:t>Espinoza y Rodríguez (2022)</w:t>
          </w:r>
        </w:sdtContent>
      </w:sdt>
      <w:r w:rsidRPr="006177E4">
        <w:t xml:space="preserve">,solo el 45 % de los contribuyentes en Colombia afirma conocer sus obligaciones fiscales básicas, y menos del 35 % considera que los impuestos se administran de manera transparente. Esta desconfianza en la </w:t>
      </w:r>
      <w:r w:rsidRPr="006177E4">
        <w:lastRenderedPageBreak/>
        <w:t>gestión estatal afecta el cumplimiento voluntario, incrementando la posibilidad de errores, omisiones e ineficacia en las declaraciones de retención.</w:t>
      </w:r>
    </w:p>
    <w:p w14:paraId="421FA540" w14:textId="5A3D966F" w:rsidR="00712058" w:rsidRPr="006177E4" w:rsidRDefault="00712058" w:rsidP="008C471E">
      <w:pPr>
        <w:pStyle w:val="PrrAPA"/>
      </w:pPr>
      <w:r w:rsidRPr="006177E4">
        <w:t>El análisis del contexto económico, administrativo y social permite concluir que la ineficacia de las declaraciones de retención en la fuente es el resultado de múltiples factores interrelacionados. No se trata únicamente de una falla formal, sino de un fenómeno estructural que combina la complejidad normativa, las debilidades institucionales, la falta de cultura tributaria y las limitaciones económicas de los contribuyentes.</w:t>
      </w:r>
    </w:p>
    <w:p w14:paraId="53136D1A" w14:textId="77777777" w:rsidR="00712058" w:rsidRPr="006177E4" w:rsidRDefault="00712058" w:rsidP="008C471E">
      <w:pPr>
        <w:pStyle w:val="PrrAPA"/>
      </w:pPr>
      <w:r w:rsidRPr="006177E4">
        <w:t>Comprender este contexto integral es fundamental para orientar la investigación hacia la identificación de causas reales y soluciones sostenibles, que fortalezcan la gestión fiscal, promuevan la eficiencia administrativa y contribuyan al desarrollo de una cultura tributaria basada en la responsabilidad, la confianza y la transparencia.</w:t>
      </w:r>
    </w:p>
    <w:p w14:paraId="36836B7B" w14:textId="77777777" w:rsidR="00296453" w:rsidRPr="006177E4" w:rsidRDefault="00296453" w:rsidP="00263B16">
      <w:pPr>
        <w:spacing w:line="480" w:lineRule="auto"/>
        <w:ind w:left="360" w:firstLine="720"/>
        <w:jc w:val="left"/>
        <w:rPr>
          <w:rFonts w:cs="Times New Roman"/>
          <w:szCs w:val="24"/>
        </w:rPr>
      </w:pPr>
    </w:p>
    <w:p w14:paraId="32F1CD2D" w14:textId="10ABF92F" w:rsidR="00FE7C99" w:rsidRPr="00C92D38" w:rsidRDefault="00FE7C99" w:rsidP="00263B16">
      <w:pPr>
        <w:pStyle w:val="Ttulo2"/>
      </w:pPr>
      <w:bookmarkStart w:id="86" w:name="_Toc228250786"/>
      <w:bookmarkStart w:id="87" w:name="_Toc229077652"/>
      <w:r w:rsidRPr="00C92D38">
        <w:t>Marco Legal</w:t>
      </w:r>
      <w:bookmarkEnd w:id="86"/>
      <w:bookmarkEnd w:id="87"/>
      <w:r w:rsidRPr="00C92D38">
        <w:t xml:space="preserve"> </w:t>
      </w:r>
    </w:p>
    <w:p w14:paraId="61E6C498" w14:textId="00C5FCB5" w:rsidR="00CC3A5F" w:rsidRPr="006177E4" w:rsidRDefault="00C7528C" w:rsidP="008C471E">
      <w:pPr>
        <w:pStyle w:val="PrrAPA"/>
        <w:rPr>
          <w:lang w:val="es-ES_tradnl"/>
        </w:rPr>
      </w:pPr>
      <w:r w:rsidRPr="006177E4">
        <w:rPr>
          <w:lang w:val="es-ES_tradnl"/>
        </w:rPr>
        <w:t xml:space="preserve">El Marco Legal de la presente investigación, enfocado en el estudio de la ineficacia de las declaraciones de Retención en la Fuente en Colombia, Artículo 580-1 del </w:t>
      </w:r>
      <w:sdt>
        <w:sdtPr>
          <w:rPr>
            <w:color w:val="000000"/>
            <w:lang w:val="es-ES_tradnl"/>
          </w:rPr>
          <w:tag w:val="MENDELEY_CITATION_v3_eyJjaXRhdGlvbklEIjoiTUVOREVMRVlfQ0lUQVRJT05fNTM2NDc3MWYtNmVkOC00YWRjLTllNjQtZjhmNDdlNTJlZmU0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
          <w:id w:val="1572545397"/>
          <w:placeholder>
            <w:docPart w:val="DefaultPlaceholder_-1854013440"/>
          </w:placeholder>
        </w:sdtPr>
        <w:sdtEndPr/>
        <w:sdtContent>
          <w:r w:rsidR="004E1DC6">
            <w:rPr>
              <w:color w:val="000000"/>
              <w:lang w:val="es-ES_tradnl"/>
            </w:rPr>
            <w:t>Decreto 624 (</w:t>
          </w:r>
          <w:r w:rsidR="009A1775" w:rsidRPr="006177E4">
            <w:rPr>
              <w:color w:val="000000"/>
              <w:lang w:val="es-ES_tradnl"/>
            </w:rPr>
            <w:t>1989a)</w:t>
          </w:r>
        </w:sdtContent>
      </w:sdt>
      <w:r w:rsidRPr="006177E4">
        <w:rPr>
          <w:color w:val="000000"/>
          <w:lang w:val="es-ES_tradnl"/>
        </w:rPr>
        <w:t xml:space="preserve">, no solo incluye lo determinado en el Estatuto Tributario, sino, además, </w:t>
      </w:r>
      <w:r w:rsidRPr="006177E4">
        <w:rPr>
          <w:lang w:val="es-ES_tradnl"/>
        </w:rPr>
        <w:t>los principios constitucionales, el régimen sancionatorio aplicable como consecuencia de la ineficacia, los procedimientos de cobro coactivo y la consecuencia penal por la omisión como agente retenedor. La normativa relaciona, incluye además los conceptos y doctrina de la DIAN, así como la jurisprudencia constitucional.</w:t>
      </w:r>
    </w:p>
    <w:p w14:paraId="062DC6D3" w14:textId="0C3F1B8F" w:rsidR="008C1552" w:rsidRDefault="008C1552" w:rsidP="008C471E">
      <w:pPr>
        <w:pStyle w:val="PrrAPA"/>
        <w:rPr>
          <w:rFonts w:eastAsia="Calibri"/>
          <w:kern w:val="2"/>
        </w:rPr>
      </w:pPr>
      <w:r w:rsidRPr="006177E4">
        <w:rPr>
          <w:rFonts w:eastAsia="Calibri"/>
          <w:kern w:val="2"/>
        </w:rPr>
        <w:t>A continuación, se detallan las leyes, normas</w:t>
      </w:r>
      <w:r w:rsidR="00C7528C" w:rsidRPr="006177E4">
        <w:rPr>
          <w:rFonts w:eastAsia="Calibri"/>
          <w:kern w:val="2"/>
        </w:rPr>
        <w:t xml:space="preserve"> y sentencias necesarias </w:t>
      </w:r>
      <w:r w:rsidRPr="006177E4">
        <w:rPr>
          <w:rFonts w:eastAsia="Calibri"/>
          <w:kern w:val="2"/>
        </w:rPr>
        <w:t>para el desarrollo de la investigación, ver la siguiente tabla.</w:t>
      </w:r>
    </w:p>
    <w:p w14:paraId="7CC49D73" w14:textId="77777777" w:rsidR="00C92D38" w:rsidRDefault="00C92D38" w:rsidP="00263B16">
      <w:pPr>
        <w:spacing w:line="480" w:lineRule="auto"/>
        <w:jc w:val="left"/>
        <w:rPr>
          <w:rFonts w:eastAsia="Calibri" w:cs="Times New Roman"/>
          <w:kern w:val="2"/>
          <w:szCs w:val="24"/>
        </w:rPr>
      </w:pPr>
    </w:p>
    <w:p w14:paraId="2A58C363" w14:textId="77777777" w:rsidR="004E1DC6" w:rsidRDefault="00C92D38" w:rsidP="00263B16">
      <w:pPr>
        <w:pStyle w:val="Descripcin"/>
        <w:spacing w:after="0" w:line="480" w:lineRule="auto"/>
        <w:rPr>
          <w:b/>
          <w:bCs/>
          <w:i w:val="0"/>
          <w:iCs w:val="0"/>
        </w:rPr>
      </w:pPr>
      <w:bookmarkStart w:id="88" w:name="_Toc229077703"/>
      <w:r w:rsidRPr="00C92D38">
        <w:rPr>
          <w:b/>
          <w:bCs/>
          <w:i w:val="0"/>
          <w:iCs w:val="0"/>
        </w:rPr>
        <w:t xml:space="preserve">Tabla </w:t>
      </w:r>
      <w:r w:rsidRPr="00C92D38">
        <w:rPr>
          <w:b/>
          <w:bCs/>
          <w:i w:val="0"/>
          <w:iCs w:val="0"/>
        </w:rPr>
        <w:fldChar w:fldCharType="begin"/>
      </w:r>
      <w:r w:rsidRPr="00C92D38">
        <w:rPr>
          <w:b/>
          <w:bCs/>
          <w:i w:val="0"/>
          <w:iCs w:val="0"/>
        </w:rPr>
        <w:instrText xml:space="preserve"> SEQ Tabla \* ARABIC </w:instrText>
      </w:r>
      <w:r w:rsidRPr="00C92D38">
        <w:rPr>
          <w:b/>
          <w:bCs/>
          <w:i w:val="0"/>
          <w:iCs w:val="0"/>
        </w:rPr>
        <w:fldChar w:fldCharType="separate"/>
      </w:r>
      <w:r w:rsidR="00D64F6E">
        <w:rPr>
          <w:b/>
          <w:bCs/>
          <w:i w:val="0"/>
          <w:iCs w:val="0"/>
          <w:noProof/>
        </w:rPr>
        <w:t>4</w:t>
      </w:r>
      <w:r w:rsidRPr="00C92D38">
        <w:rPr>
          <w:b/>
          <w:bCs/>
          <w:i w:val="0"/>
          <w:iCs w:val="0"/>
        </w:rPr>
        <w:fldChar w:fldCharType="end"/>
      </w:r>
      <w:r w:rsidR="00BA3790">
        <w:rPr>
          <w:b/>
          <w:bCs/>
          <w:i w:val="0"/>
          <w:iCs w:val="0"/>
        </w:rPr>
        <w:t xml:space="preserve"> </w:t>
      </w:r>
    </w:p>
    <w:p w14:paraId="0E062819" w14:textId="7C706C93" w:rsidR="008C1552" w:rsidRPr="00C92D38" w:rsidRDefault="008C1552" w:rsidP="00263B16">
      <w:pPr>
        <w:pStyle w:val="Descripcin"/>
        <w:spacing w:after="0" w:line="480" w:lineRule="auto"/>
        <w:rPr>
          <w:rFonts w:eastAsia="Calibri" w:cs="Times New Roman"/>
          <w:kern w:val="2"/>
          <w:szCs w:val="24"/>
        </w:rPr>
      </w:pPr>
      <w:r w:rsidRPr="006177E4">
        <w:rPr>
          <w:rFonts w:eastAsia="Calibri" w:cs="Times New Roman"/>
          <w:kern w:val="2"/>
          <w:szCs w:val="24"/>
        </w:rPr>
        <w:t>Matriz de impacto legal</w:t>
      </w:r>
      <w:bookmarkEnd w:id="88"/>
    </w:p>
    <w:tbl>
      <w:tblPr>
        <w:tblStyle w:val="Tablaconcuadrculaclara"/>
        <w:tblW w:w="5455"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982"/>
        <w:gridCol w:w="4681"/>
      </w:tblGrid>
      <w:tr w:rsidR="00C7528C" w:rsidRPr="006177E4" w14:paraId="63C8759C" w14:textId="77777777" w:rsidTr="00C92D38">
        <w:trPr>
          <w:trHeight w:val="264"/>
        </w:trPr>
        <w:tc>
          <w:tcPr>
            <w:tcW w:w="1248" w:type="pct"/>
            <w:hideMark/>
          </w:tcPr>
          <w:p w14:paraId="4AE6EF0A" w14:textId="77777777" w:rsidR="00CC3A5F" w:rsidRPr="006177E4" w:rsidRDefault="00CC3A5F" w:rsidP="00263B16">
            <w:pPr>
              <w:spacing w:line="480" w:lineRule="auto"/>
              <w:jc w:val="left"/>
              <w:rPr>
                <w:rFonts w:eastAsia="Times New Roman" w:cs="Times New Roman"/>
                <w:szCs w:val="24"/>
                <w:lang w:val="en-US"/>
              </w:rPr>
            </w:pPr>
            <w:r w:rsidRPr="006177E4">
              <w:rPr>
                <w:rFonts w:eastAsia="Times New Roman" w:cs="Times New Roman"/>
                <w:szCs w:val="24"/>
                <w:lang w:val="en-US"/>
              </w:rPr>
              <w:t>Norma</w:t>
            </w:r>
          </w:p>
        </w:tc>
        <w:tc>
          <w:tcPr>
            <w:tcW w:w="1460" w:type="pct"/>
            <w:hideMark/>
          </w:tcPr>
          <w:p w14:paraId="186D2A9A" w14:textId="5C488956" w:rsidR="00CC3A5F" w:rsidRPr="006177E4" w:rsidRDefault="00CC3A5F" w:rsidP="00263B16">
            <w:pPr>
              <w:spacing w:line="480" w:lineRule="auto"/>
              <w:jc w:val="left"/>
              <w:rPr>
                <w:rFonts w:eastAsia="Times New Roman" w:cs="Times New Roman"/>
                <w:szCs w:val="24"/>
                <w:lang w:val="en-US"/>
              </w:rPr>
            </w:pPr>
            <w:proofErr w:type="spellStart"/>
            <w:r w:rsidRPr="006177E4">
              <w:rPr>
                <w:rFonts w:eastAsia="Times New Roman" w:cs="Times New Roman"/>
                <w:szCs w:val="24"/>
                <w:lang w:val="en-US"/>
              </w:rPr>
              <w:t>Objeto</w:t>
            </w:r>
            <w:proofErr w:type="spellEnd"/>
            <w:r w:rsidRPr="006177E4">
              <w:rPr>
                <w:rFonts w:eastAsia="Times New Roman" w:cs="Times New Roman"/>
                <w:szCs w:val="24"/>
                <w:lang w:val="en-US"/>
              </w:rPr>
              <w:t xml:space="preserve"> Principal</w:t>
            </w:r>
          </w:p>
        </w:tc>
        <w:tc>
          <w:tcPr>
            <w:tcW w:w="2292" w:type="pct"/>
            <w:hideMark/>
          </w:tcPr>
          <w:p w14:paraId="2F0812DD" w14:textId="77777777" w:rsidR="00CC3A5F" w:rsidRPr="006177E4" w:rsidRDefault="00CC3A5F" w:rsidP="00263B16">
            <w:pPr>
              <w:spacing w:line="480" w:lineRule="auto"/>
              <w:jc w:val="left"/>
              <w:rPr>
                <w:rFonts w:eastAsia="Times New Roman" w:cs="Times New Roman"/>
                <w:szCs w:val="24"/>
                <w:lang w:val="en-US"/>
              </w:rPr>
            </w:pPr>
            <w:proofErr w:type="spellStart"/>
            <w:r w:rsidRPr="006177E4">
              <w:rPr>
                <w:rFonts w:eastAsia="Times New Roman" w:cs="Times New Roman"/>
                <w:szCs w:val="24"/>
                <w:lang w:val="en-US"/>
              </w:rPr>
              <w:t>Aporte</w:t>
            </w:r>
            <w:proofErr w:type="spellEnd"/>
            <w:r w:rsidRPr="006177E4">
              <w:rPr>
                <w:rFonts w:eastAsia="Times New Roman" w:cs="Times New Roman"/>
                <w:szCs w:val="24"/>
                <w:lang w:val="en-US"/>
              </w:rPr>
              <w:t xml:space="preserve"> a la </w:t>
            </w:r>
            <w:proofErr w:type="spellStart"/>
            <w:r w:rsidRPr="006177E4">
              <w:rPr>
                <w:rFonts w:eastAsia="Times New Roman" w:cs="Times New Roman"/>
                <w:szCs w:val="24"/>
                <w:lang w:val="en-US"/>
              </w:rPr>
              <w:t>Investigación</w:t>
            </w:r>
            <w:proofErr w:type="spellEnd"/>
          </w:p>
        </w:tc>
      </w:tr>
      <w:tr w:rsidR="00C7528C" w:rsidRPr="006177E4" w14:paraId="4474EC47" w14:textId="77777777" w:rsidTr="00C92D38">
        <w:trPr>
          <w:trHeight w:val="1848"/>
        </w:trPr>
        <w:tc>
          <w:tcPr>
            <w:tcW w:w="1248" w:type="pct"/>
            <w:hideMark/>
          </w:tcPr>
          <w:p w14:paraId="1C54CCE6"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Artículo</w:t>
            </w:r>
            <w:proofErr w:type="spellEnd"/>
            <w:r w:rsidRPr="006177E4">
              <w:rPr>
                <w:rFonts w:eastAsia="Times New Roman" w:cs="Times New Roman"/>
                <w:color w:val="000000"/>
                <w:szCs w:val="24"/>
                <w:lang w:val="en-US"/>
              </w:rPr>
              <w:t xml:space="preserve"> 365 E.T.</w:t>
            </w:r>
          </w:p>
        </w:tc>
        <w:tc>
          <w:tcPr>
            <w:tcW w:w="1460" w:type="pct"/>
            <w:hideMark/>
          </w:tcPr>
          <w:p w14:paraId="7C454441"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Facultad para establecer la Retención en la Fuente. Define que el Gobierno Nacional puede establecer retenciones en la fuente con el fin de facilitar, acelerar y asegurar el recaudo de los impuestos.</w:t>
            </w:r>
          </w:p>
        </w:tc>
        <w:tc>
          <w:tcPr>
            <w:tcW w:w="2292" w:type="pct"/>
            <w:hideMark/>
          </w:tcPr>
          <w:p w14:paraId="0858745E"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Fundamento del Deber de Retener. Establece el principio general de la Retención en la Fuente como un mecanismo de recaudo anticipado y obligatorio, sentando las bases del deber formal cuyo incumplimiento genera la ineficacia.</w:t>
            </w:r>
          </w:p>
        </w:tc>
      </w:tr>
      <w:tr w:rsidR="00C7528C" w:rsidRPr="006177E4" w14:paraId="1C1689AF" w14:textId="77777777" w:rsidTr="00C92D38">
        <w:trPr>
          <w:trHeight w:val="1848"/>
        </w:trPr>
        <w:tc>
          <w:tcPr>
            <w:tcW w:w="1248" w:type="pct"/>
            <w:hideMark/>
          </w:tcPr>
          <w:p w14:paraId="54992720"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367 E.T.</w:t>
            </w:r>
          </w:p>
        </w:tc>
        <w:tc>
          <w:tcPr>
            <w:tcW w:w="1460" w:type="pct"/>
            <w:hideMark/>
          </w:tcPr>
          <w:p w14:paraId="127ECD78"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Definición de Agente de Retención y su responsabilidad. Indica que la obligación de retener se aplica a quienes realizan pagos o abonos en cuenta sujetos a retención.</w:t>
            </w:r>
          </w:p>
        </w:tc>
        <w:tc>
          <w:tcPr>
            <w:tcW w:w="2292" w:type="pct"/>
            <w:hideMark/>
          </w:tcPr>
          <w:p w14:paraId="259D3C14" w14:textId="58EF6E31"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Sujeto de la Obligación y Responsabilidad. Define al agente retenedor como el sujeto pasivo de la obligación formal y legalmente responsable de la Retención, vinculando su acción u </w:t>
            </w:r>
            <w:r w:rsidR="00615619" w:rsidRPr="006177E4">
              <w:rPr>
                <w:rFonts w:eastAsia="Times New Roman" w:cs="Times New Roman"/>
                <w:color w:val="000000"/>
                <w:szCs w:val="24"/>
              </w:rPr>
              <w:t>omisión directamente</w:t>
            </w:r>
            <w:r w:rsidRPr="006177E4">
              <w:rPr>
                <w:rFonts w:eastAsia="Times New Roman" w:cs="Times New Roman"/>
                <w:color w:val="000000"/>
                <w:szCs w:val="24"/>
              </w:rPr>
              <w:t xml:space="preserve"> a la ineficacia.</w:t>
            </w:r>
          </w:p>
        </w:tc>
      </w:tr>
      <w:tr w:rsidR="00C7528C" w:rsidRPr="006177E4" w14:paraId="6A2B0DB0" w14:textId="77777777" w:rsidTr="00C92D38">
        <w:trPr>
          <w:trHeight w:val="1848"/>
        </w:trPr>
        <w:tc>
          <w:tcPr>
            <w:tcW w:w="1248" w:type="pct"/>
            <w:hideMark/>
          </w:tcPr>
          <w:p w14:paraId="27ACBDD1"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95, </w:t>
            </w:r>
            <w:proofErr w:type="spellStart"/>
            <w:r w:rsidRPr="006177E4">
              <w:rPr>
                <w:rFonts w:eastAsia="Times New Roman" w:cs="Times New Roman"/>
                <w:color w:val="000000"/>
                <w:szCs w:val="24"/>
                <w:lang w:val="en-US"/>
              </w:rPr>
              <w:t>Constitución</w:t>
            </w:r>
            <w:proofErr w:type="spellEnd"/>
            <w:r w:rsidRPr="006177E4">
              <w:rPr>
                <w:rFonts w:eastAsia="Times New Roman" w:cs="Times New Roman"/>
                <w:color w:val="000000"/>
                <w:szCs w:val="24"/>
                <w:lang w:val="en-US"/>
              </w:rPr>
              <w:t xml:space="preserve"> Política</w:t>
            </w:r>
          </w:p>
        </w:tc>
        <w:tc>
          <w:tcPr>
            <w:tcW w:w="1460" w:type="pct"/>
            <w:hideMark/>
          </w:tcPr>
          <w:p w14:paraId="28FABA18"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Deberes de la persona y del ciudadano. Incluye el deber de contribuir al financiamiento de los gastos e inversiones del Estado dentro de conceptos de justicia y equidad.</w:t>
            </w:r>
          </w:p>
        </w:tc>
        <w:tc>
          <w:tcPr>
            <w:tcW w:w="2292" w:type="pct"/>
            <w:hideMark/>
          </w:tcPr>
          <w:p w14:paraId="35C1E2EA"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Fundamento Constitucional de la Contribución. Proporciona el pilar fundamental que justifica la existencia de la obligación tributaria y, por ende, de los mecanismos de recaudo como la RTEF y las consecuencias de su incumplimiento, como la ineficacia.</w:t>
            </w:r>
          </w:p>
        </w:tc>
      </w:tr>
      <w:tr w:rsidR="00C7528C" w:rsidRPr="006177E4" w14:paraId="0A29D867" w14:textId="77777777" w:rsidTr="00C92D38">
        <w:trPr>
          <w:trHeight w:val="1848"/>
        </w:trPr>
        <w:tc>
          <w:tcPr>
            <w:tcW w:w="1248" w:type="pct"/>
            <w:hideMark/>
          </w:tcPr>
          <w:p w14:paraId="10B8FB3F"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Artículo</w:t>
            </w:r>
            <w:proofErr w:type="spellEnd"/>
            <w:r w:rsidRPr="006177E4">
              <w:rPr>
                <w:rFonts w:eastAsia="Times New Roman" w:cs="Times New Roman"/>
                <w:color w:val="000000"/>
                <w:szCs w:val="24"/>
                <w:lang w:val="en-US"/>
              </w:rPr>
              <w:t xml:space="preserve"> 363, </w:t>
            </w:r>
            <w:proofErr w:type="spellStart"/>
            <w:r w:rsidRPr="006177E4">
              <w:rPr>
                <w:rFonts w:eastAsia="Times New Roman" w:cs="Times New Roman"/>
                <w:color w:val="000000"/>
                <w:szCs w:val="24"/>
                <w:lang w:val="en-US"/>
              </w:rPr>
              <w:t>Constitución</w:t>
            </w:r>
            <w:proofErr w:type="spellEnd"/>
            <w:r w:rsidRPr="006177E4">
              <w:rPr>
                <w:rFonts w:eastAsia="Times New Roman" w:cs="Times New Roman"/>
                <w:color w:val="000000"/>
                <w:szCs w:val="24"/>
                <w:lang w:val="en-US"/>
              </w:rPr>
              <w:t xml:space="preserve"> Política</w:t>
            </w:r>
          </w:p>
        </w:tc>
        <w:tc>
          <w:tcPr>
            <w:tcW w:w="1460" w:type="pct"/>
            <w:hideMark/>
          </w:tcPr>
          <w:p w14:paraId="238B5F5A"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Principios del Sistema Tributario. Determina que el sistema tributario se funda en los principios de equidad, eficiencia y progresividad.</w:t>
            </w:r>
          </w:p>
        </w:tc>
        <w:tc>
          <w:tcPr>
            <w:tcW w:w="2292" w:type="pct"/>
            <w:hideMark/>
          </w:tcPr>
          <w:p w14:paraId="34D5D3C4"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Marco de Legalidad y Principios Tributarios. Permite analizar si la sanción de ineficacia y sus tratamientos exceptivos (como los de la Ley 2277/2022) se ajustan a los principios de eficiencia (en el recaudo) y equidad (en la distribución de la carga).</w:t>
            </w:r>
          </w:p>
        </w:tc>
      </w:tr>
      <w:tr w:rsidR="00C7528C" w:rsidRPr="006177E4" w14:paraId="3072EC0C" w14:textId="77777777" w:rsidTr="00C92D38">
        <w:trPr>
          <w:trHeight w:val="2376"/>
        </w:trPr>
        <w:tc>
          <w:tcPr>
            <w:tcW w:w="1248" w:type="pct"/>
            <w:hideMark/>
          </w:tcPr>
          <w:p w14:paraId="025FA4DD"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580-1 E.T. (</w:t>
            </w:r>
            <w:proofErr w:type="spellStart"/>
            <w:r w:rsidRPr="006177E4">
              <w:rPr>
                <w:rFonts w:eastAsia="Times New Roman" w:cs="Times New Roman"/>
                <w:color w:val="000000"/>
                <w:szCs w:val="24"/>
                <w:lang w:val="en-US"/>
              </w:rPr>
              <w:t>Ineficacia</w:t>
            </w:r>
            <w:proofErr w:type="spellEnd"/>
            <w:r w:rsidRPr="006177E4">
              <w:rPr>
                <w:rFonts w:eastAsia="Times New Roman" w:cs="Times New Roman"/>
                <w:color w:val="000000"/>
                <w:szCs w:val="24"/>
                <w:lang w:val="en-US"/>
              </w:rPr>
              <w:t>)</w:t>
            </w:r>
          </w:p>
        </w:tc>
        <w:tc>
          <w:tcPr>
            <w:tcW w:w="1460" w:type="pct"/>
            <w:hideMark/>
          </w:tcPr>
          <w:p w14:paraId="2A4463AA"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Ineficacia de las Declaraciones de Retención en la Fuente Presentadas Sin Pago Total. Norma principal que establece que las declaraciones de RTEF presentadas sin pago total no producen efecto legal alguno, salvo excepciones (pago dentro de 2 meses; saldo a favor que cumpla requisitos; monto menor a 10 UVT).</w:t>
            </w:r>
          </w:p>
        </w:tc>
        <w:tc>
          <w:tcPr>
            <w:tcW w:w="2292" w:type="pct"/>
            <w:hideMark/>
          </w:tcPr>
          <w:p w14:paraId="1CB03F23" w14:textId="77777777" w:rsidR="00CC3A5F" w:rsidRPr="006177E4" w:rsidRDefault="00CC3A5F"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rPr>
              <w:t xml:space="preserve">Eje Central de la Tesis. Constituye la norma rectora sobre la ineficacia, sus causales, efectos directos y las condiciones de subsanación. </w:t>
            </w:r>
            <w:r w:rsidRPr="006177E4">
              <w:rPr>
                <w:rFonts w:eastAsia="Times New Roman" w:cs="Times New Roman"/>
                <w:color w:val="000000"/>
                <w:szCs w:val="24"/>
                <w:lang w:val="en-US"/>
              </w:rPr>
              <w:t xml:space="preserve">Es indispensable para </w:t>
            </w:r>
            <w:proofErr w:type="spellStart"/>
            <w:r w:rsidRPr="006177E4">
              <w:rPr>
                <w:rFonts w:eastAsia="Times New Roman" w:cs="Times New Roman"/>
                <w:color w:val="000000"/>
                <w:szCs w:val="24"/>
                <w:lang w:val="en-US"/>
              </w:rPr>
              <w:t>definir</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el</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objeto</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estudio</w:t>
            </w:r>
            <w:proofErr w:type="spellEnd"/>
            <w:r w:rsidRPr="006177E4">
              <w:rPr>
                <w:rFonts w:eastAsia="Times New Roman" w:cs="Times New Roman"/>
                <w:color w:val="000000"/>
                <w:szCs w:val="24"/>
                <w:lang w:val="en-US"/>
              </w:rPr>
              <w:t>.</w:t>
            </w:r>
          </w:p>
        </w:tc>
      </w:tr>
      <w:tr w:rsidR="00C7528C" w:rsidRPr="006177E4" w14:paraId="1E1BAA3F" w14:textId="77777777" w:rsidTr="00C92D38">
        <w:trPr>
          <w:trHeight w:val="1848"/>
        </w:trPr>
        <w:tc>
          <w:tcPr>
            <w:tcW w:w="1248" w:type="pct"/>
            <w:hideMark/>
          </w:tcPr>
          <w:p w14:paraId="43D64307"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Artículo 402, Código Penal (Omisión Agente Retenedor)</w:t>
            </w:r>
          </w:p>
        </w:tc>
        <w:tc>
          <w:tcPr>
            <w:tcW w:w="1460" w:type="pct"/>
            <w:hideMark/>
          </w:tcPr>
          <w:p w14:paraId="0DD64601"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No consignación de las sumas retenidas o autorretenidas. Establece la sanción penal para el agente </w:t>
            </w:r>
            <w:r w:rsidRPr="006177E4">
              <w:rPr>
                <w:rFonts w:eastAsia="Times New Roman" w:cs="Times New Roman"/>
                <w:color w:val="000000"/>
                <w:szCs w:val="24"/>
              </w:rPr>
              <w:lastRenderedPageBreak/>
              <w:t>retenedor que no consigne las sumas retenidas dentro de los dos (2) meses siguientes al vencimiento del plazo.</w:t>
            </w:r>
          </w:p>
        </w:tc>
        <w:tc>
          <w:tcPr>
            <w:tcW w:w="2292" w:type="pct"/>
            <w:hideMark/>
          </w:tcPr>
          <w:p w14:paraId="70483B66"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Consecuencia Penal del Incumplimiento. Demuestra la gravedad del incumplimiento y la naturaleza de orden público de la obligación de consignar, sirviendo como un </w:t>
            </w:r>
            <w:r w:rsidRPr="006177E4">
              <w:rPr>
                <w:rFonts w:eastAsia="Times New Roman" w:cs="Times New Roman"/>
                <w:color w:val="000000"/>
                <w:szCs w:val="24"/>
              </w:rPr>
              <w:lastRenderedPageBreak/>
              <w:t>elemento disuasorio que complementa la ineficacia tributaria.</w:t>
            </w:r>
          </w:p>
        </w:tc>
      </w:tr>
      <w:tr w:rsidR="00C7528C" w:rsidRPr="006177E4" w14:paraId="5DDAF894" w14:textId="77777777" w:rsidTr="00C92D38">
        <w:trPr>
          <w:trHeight w:val="1848"/>
        </w:trPr>
        <w:tc>
          <w:tcPr>
            <w:tcW w:w="1248" w:type="pct"/>
            <w:hideMark/>
          </w:tcPr>
          <w:p w14:paraId="265F05D6"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Artículos 823 al 843 E.T. (Cobro Coactivo)</w:t>
            </w:r>
          </w:p>
        </w:tc>
        <w:tc>
          <w:tcPr>
            <w:tcW w:w="1460" w:type="pct"/>
            <w:hideMark/>
          </w:tcPr>
          <w:p w14:paraId="266F9924"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Procedimiento Administrativo de Cobro Coactivo. Establece el procedimiento que sigue la Administración Tributaria (DIAN) para hacer efectivas las obligaciones fiscales pendientes de pago.</w:t>
            </w:r>
          </w:p>
        </w:tc>
        <w:tc>
          <w:tcPr>
            <w:tcW w:w="2292" w:type="pct"/>
            <w:hideMark/>
          </w:tcPr>
          <w:p w14:paraId="2252CEF9"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Efecto de la Ineficacia en el Cobro. Permite analizar cómo la declaración ineficaz, a pesar de no producir efectos fiscales, se convierte en un título ejecutivo para el cobro, permitiendo a la DIAN iniciar el proceso coactivo para el recaudo.</w:t>
            </w:r>
          </w:p>
        </w:tc>
      </w:tr>
      <w:tr w:rsidR="00C7528C" w:rsidRPr="006177E4" w14:paraId="020779BE" w14:textId="77777777" w:rsidTr="00C92D38">
        <w:trPr>
          <w:trHeight w:val="2112"/>
        </w:trPr>
        <w:tc>
          <w:tcPr>
            <w:tcW w:w="1248" w:type="pct"/>
            <w:hideMark/>
          </w:tcPr>
          <w:p w14:paraId="347F229A"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Artículo 643 E.T. (Sanción por No Declarar)</w:t>
            </w:r>
          </w:p>
        </w:tc>
        <w:tc>
          <w:tcPr>
            <w:tcW w:w="1460" w:type="pct"/>
            <w:hideMark/>
          </w:tcPr>
          <w:p w14:paraId="0C5F49D0" w14:textId="77777777" w:rsidR="00CC3A5F" w:rsidRPr="006177E4" w:rsidRDefault="00CC3A5F"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rPr>
              <w:t xml:space="preserve">Sanción por no declarar. Se aplica cuando no se presenta la declaración estando obligado a ello. </w:t>
            </w:r>
            <w:r w:rsidRPr="006177E4">
              <w:rPr>
                <w:rFonts w:eastAsia="Times New Roman" w:cs="Times New Roman"/>
                <w:color w:val="000000"/>
                <w:szCs w:val="24"/>
                <w:lang w:val="en-US"/>
              </w:rPr>
              <w:t xml:space="preserve">Se </w:t>
            </w:r>
            <w:proofErr w:type="spellStart"/>
            <w:r w:rsidRPr="006177E4">
              <w:rPr>
                <w:rFonts w:eastAsia="Times New Roman" w:cs="Times New Roman"/>
                <w:color w:val="000000"/>
                <w:szCs w:val="24"/>
                <w:lang w:val="en-US"/>
              </w:rPr>
              <w:t>liquida</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por</w:t>
            </w:r>
            <w:proofErr w:type="spellEnd"/>
            <w:r w:rsidRPr="006177E4">
              <w:rPr>
                <w:rFonts w:eastAsia="Times New Roman" w:cs="Times New Roman"/>
                <w:color w:val="000000"/>
                <w:szCs w:val="24"/>
                <w:lang w:val="en-US"/>
              </w:rPr>
              <w:t xml:space="preserve"> la </w:t>
            </w:r>
            <w:proofErr w:type="spellStart"/>
            <w:r w:rsidRPr="006177E4">
              <w:rPr>
                <w:rFonts w:eastAsia="Times New Roman" w:cs="Times New Roman"/>
                <w:color w:val="000000"/>
                <w:szCs w:val="24"/>
                <w:lang w:val="en-US"/>
              </w:rPr>
              <w:t>Administración</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en</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liquidación</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aforo</w:t>
            </w:r>
            <w:proofErr w:type="spellEnd"/>
            <w:r w:rsidRPr="006177E4">
              <w:rPr>
                <w:rFonts w:eastAsia="Times New Roman" w:cs="Times New Roman"/>
                <w:color w:val="000000"/>
                <w:szCs w:val="24"/>
                <w:lang w:val="en-US"/>
              </w:rPr>
              <w:t>.</w:t>
            </w:r>
          </w:p>
        </w:tc>
        <w:tc>
          <w:tcPr>
            <w:tcW w:w="2292" w:type="pct"/>
            <w:hideMark/>
          </w:tcPr>
          <w:p w14:paraId="3E9F5833"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Sanción Aplicable tras la Ineficacia. Es la sanción que aplica la DIAN cuando la declaración inicialmente presentada es declarada ineficaz y el agente retenedor no la subsana, obligándolo a presentar una nueva declaración (considerada extemporánea) o a que la DIAN profiera una liquidación de aforo.</w:t>
            </w:r>
          </w:p>
        </w:tc>
      </w:tr>
      <w:tr w:rsidR="00C7528C" w:rsidRPr="006177E4" w14:paraId="4186F74A" w14:textId="77777777" w:rsidTr="00C92D38">
        <w:trPr>
          <w:trHeight w:val="1848"/>
        </w:trPr>
        <w:tc>
          <w:tcPr>
            <w:tcW w:w="1248" w:type="pct"/>
            <w:hideMark/>
          </w:tcPr>
          <w:p w14:paraId="73D61FFF"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Artículo</w:t>
            </w:r>
            <w:proofErr w:type="spellEnd"/>
            <w:r w:rsidRPr="006177E4">
              <w:rPr>
                <w:rFonts w:eastAsia="Times New Roman" w:cs="Times New Roman"/>
                <w:color w:val="000000"/>
                <w:szCs w:val="24"/>
                <w:lang w:val="en-US"/>
              </w:rPr>
              <w:t xml:space="preserve"> 641 E.T.</w:t>
            </w:r>
          </w:p>
        </w:tc>
        <w:tc>
          <w:tcPr>
            <w:tcW w:w="1460" w:type="pct"/>
            <w:hideMark/>
          </w:tcPr>
          <w:p w14:paraId="78967FC2"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Sanción por Extemporaneidad. Aplica a quienes presentan la declaración después del plazo máximo establecido.</w:t>
            </w:r>
          </w:p>
        </w:tc>
        <w:tc>
          <w:tcPr>
            <w:tcW w:w="2292" w:type="pct"/>
            <w:hideMark/>
          </w:tcPr>
          <w:p w14:paraId="40B02BA4"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Determinación de la Sanción Tras Subsanar. Se aplica cuando el agente retenedor presenta la declaración nuevamente, subsanando la ineficacia. La declaración nueva se considera extemporánea, y esta norma define su cuantía.</w:t>
            </w:r>
          </w:p>
        </w:tc>
      </w:tr>
      <w:tr w:rsidR="00C7528C" w:rsidRPr="006177E4" w14:paraId="734A20DD" w14:textId="77777777" w:rsidTr="00C92D38">
        <w:trPr>
          <w:trHeight w:val="1320"/>
        </w:trPr>
        <w:tc>
          <w:tcPr>
            <w:tcW w:w="1248" w:type="pct"/>
            <w:hideMark/>
          </w:tcPr>
          <w:p w14:paraId="71C99B03"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642 E.T.</w:t>
            </w:r>
          </w:p>
        </w:tc>
        <w:tc>
          <w:tcPr>
            <w:tcW w:w="1460" w:type="pct"/>
            <w:hideMark/>
          </w:tcPr>
          <w:p w14:paraId="5E4CA6B8"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Sanción por Corrección. Establece la sanción por corregir errores que impliquen aumentar el impuesto o disminuir el saldo a favor.</w:t>
            </w:r>
          </w:p>
        </w:tc>
        <w:tc>
          <w:tcPr>
            <w:tcW w:w="2292" w:type="pct"/>
            <w:hideMark/>
          </w:tcPr>
          <w:p w14:paraId="3DA4B896"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Sanción en Caso de Corrección. Relevante si el agente retenedor, además de subsanar la ineficacia con el pago total, debe corregir errores en la declaración inicial.</w:t>
            </w:r>
          </w:p>
        </w:tc>
      </w:tr>
      <w:tr w:rsidR="00C7528C" w:rsidRPr="006177E4" w14:paraId="3D014579" w14:textId="77777777" w:rsidTr="00C92D38">
        <w:trPr>
          <w:trHeight w:val="1584"/>
        </w:trPr>
        <w:tc>
          <w:tcPr>
            <w:tcW w:w="1248" w:type="pct"/>
            <w:hideMark/>
          </w:tcPr>
          <w:p w14:paraId="7DDBBE56" w14:textId="0E8CA44B"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606 E.T. </w:t>
            </w:r>
          </w:p>
        </w:tc>
        <w:tc>
          <w:tcPr>
            <w:tcW w:w="1460" w:type="pct"/>
            <w:hideMark/>
          </w:tcPr>
          <w:p w14:paraId="7221D36A"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Periodicidad de la Declaración de Retención en la Fuente. Establece que la RTEF se presenta mensualmente.</w:t>
            </w:r>
          </w:p>
        </w:tc>
        <w:tc>
          <w:tcPr>
            <w:tcW w:w="2292" w:type="pct"/>
            <w:hideMark/>
          </w:tcPr>
          <w:p w14:paraId="16B8722F"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Contexto Temporal de la Obligación. Define el periodo fiscal y el vencimiento de la obligación, punto de partida para el cómputo de los plazos de subsanación de la ineficacia y la liquidación de intereses moratorios.</w:t>
            </w:r>
          </w:p>
        </w:tc>
      </w:tr>
      <w:tr w:rsidR="00C7528C" w:rsidRPr="006177E4" w14:paraId="743EC11C" w14:textId="77777777" w:rsidTr="00C92D38">
        <w:trPr>
          <w:trHeight w:val="1848"/>
        </w:trPr>
        <w:tc>
          <w:tcPr>
            <w:tcW w:w="1248" w:type="pct"/>
            <w:hideMark/>
          </w:tcPr>
          <w:p w14:paraId="74D308F9" w14:textId="7F703420" w:rsidR="00CC3A5F" w:rsidRPr="006177E4" w:rsidRDefault="008336A6" w:rsidP="00263B16">
            <w:pPr>
              <w:spacing w:line="480" w:lineRule="auto"/>
              <w:jc w:val="left"/>
              <w:rPr>
                <w:rFonts w:eastAsia="Times New Roman" w:cs="Times New Roman"/>
                <w:color w:val="000000"/>
                <w:szCs w:val="24"/>
              </w:rPr>
            </w:pPr>
            <w:r w:rsidRPr="006177E4">
              <w:rPr>
                <w:rFonts w:eastAsia="Times New Roman" w:cs="Times New Roman"/>
                <w:color w:val="000000"/>
                <w:szCs w:val="24"/>
              </w:rPr>
              <w:t>Reformas Tributarias</w:t>
            </w:r>
          </w:p>
        </w:tc>
        <w:tc>
          <w:tcPr>
            <w:tcW w:w="1460" w:type="pct"/>
            <w:hideMark/>
          </w:tcPr>
          <w:p w14:paraId="5F0C2660"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Leyes que modificaron el Artículo 580-1 E.T. (ej. Ley 1819 de 2016, Ley 2010 de 2019, Ley 2155 de 2021, Ley 2277 de 2022).</w:t>
            </w:r>
          </w:p>
        </w:tc>
        <w:tc>
          <w:tcPr>
            <w:tcW w:w="2292" w:type="pct"/>
            <w:hideMark/>
          </w:tcPr>
          <w:p w14:paraId="70291CB2"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Evolución Normativa. Permite trazar la evolución del concepto de ineficacia (pasando de ser una causal a ser la regla general) y analizar el impacto de las amnistías o beneficios tributarios en la subsanación de declaraciones ineficaces.</w:t>
            </w:r>
          </w:p>
        </w:tc>
      </w:tr>
      <w:tr w:rsidR="00C7528C" w:rsidRPr="006177E4" w14:paraId="3DE60422" w14:textId="77777777" w:rsidTr="00C92D38">
        <w:trPr>
          <w:trHeight w:val="1848"/>
        </w:trPr>
        <w:tc>
          <w:tcPr>
            <w:tcW w:w="1248" w:type="pct"/>
            <w:hideMark/>
          </w:tcPr>
          <w:p w14:paraId="519EE820"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Decreto 1625 de 2016 – Reglamento Único en Materia Tributaria.</w:t>
            </w:r>
          </w:p>
        </w:tc>
        <w:tc>
          <w:tcPr>
            <w:tcW w:w="1460" w:type="pct"/>
            <w:hideMark/>
          </w:tcPr>
          <w:p w14:paraId="583C0225"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Compila las normas de carácter reglamentario expedidas por el Gobierno Nacional en materia tributaria.</w:t>
            </w:r>
          </w:p>
        </w:tc>
        <w:tc>
          <w:tcPr>
            <w:tcW w:w="2292" w:type="pct"/>
            <w:hideMark/>
          </w:tcPr>
          <w:p w14:paraId="112B1C36"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Desarrollo y Aplicación de la Norma. Contiene disposiciones clave (ej. plazos, requisitos de compensación) que desarrollan el Artículo 580-1 E.T., facilitando su aplicación práctica y detallando aspectos de la periodicidad (Art. 1.6.1.13.2.33).</w:t>
            </w:r>
          </w:p>
        </w:tc>
      </w:tr>
      <w:tr w:rsidR="00C7528C" w:rsidRPr="006177E4" w14:paraId="5FD013A5" w14:textId="77777777" w:rsidTr="00C92D38">
        <w:trPr>
          <w:trHeight w:val="1848"/>
        </w:trPr>
        <w:tc>
          <w:tcPr>
            <w:tcW w:w="1248" w:type="pct"/>
            <w:hideMark/>
          </w:tcPr>
          <w:p w14:paraId="3C394EE3"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Concepto DIAN 008678 de 2024 / Concepto DIAN 00840 de 2021 / Oficio DIAN 910619 de 2020 / Oficio DIAN 902639 de 2020</w:t>
            </w:r>
          </w:p>
        </w:tc>
        <w:tc>
          <w:tcPr>
            <w:tcW w:w="1460" w:type="pct"/>
            <w:hideMark/>
          </w:tcPr>
          <w:p w14:paraId="7D943FB1"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Interpretación oficial de la DIAN sobre la aplicación de las normas tributarias, incluyendo el Artículo 580-1 E.T. y sus excepciones.</w:t>
            </w:r>
          </w:p>
        </w:tc>
        <w:tc>
          <w:tcPr>
            <w:tcW w:w="2292" w:type="pct"/>
            <w:hideMark/>
          </w:tcPr>
          <w:p w14:paraId="3B5C525A"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Criterio de la Administración (Doctrina). Muestra la postura y las directrices de la DIAN sobre casos específicos de ineficacia, la aplicación de los beneficios y la subsanación, siendo un elemento clave para contrastar la práctica administrativa con la ley.</w:t>
            </w:r>
          </w:p>
        </w:tc>
      </w:tr>
      <w:tr w:rsidR="00C7528C" w:rsidRPr="006177E4" w14:paraId="4FE54A14" w14:textId="77777777" w:rsidTr="00C92D38">
        <w:trPr>
          <w:trHeight w:val="1584"/>
        </w:trPr>
        <w:tc>
          <w:tcPr>
            <w:tcW w:w="1248" w:type="pct"/>
            <w:hideMark/>
          </w:tcPr>
          <w:p w14:paraId="4C8E8FAF"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C-102 de 2015</w:t>
            </w:r>
          </w:p>
        </w:tc>
        <w:tc>
          <w:tcPr>
            <w:tcW w:w="1460" w:type="pct"/>
            <w:hideMark/>
          </w:tcPr>
          <w:p w14:paraId="142B1840"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Sentencia de constitucionalidad sobre el carácter de título ejecutivo de la declaración tributaria y las facilidades de pago.</w:t>
            </w:r>
          </w:p>
        </w:tc>
        <w:tc>
          <w:tcPr>
            <w:tcW w:w="2292" w:type="pct"/>
            <w:hideMark/>
          </w:tcPr>
          <w:p w14:paraId="544E0366"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Análisis de Título Ejecutivo y Garantías. Aporta al estudio sobre si una declaración ineficaz mantiene su naturaleza de título ejecutivo (como lo ha dispuesto el E.T.) y el alcance de las facilidades de pago en este contexto.</w:t>
            </w:r>
          </w:p>
        </w:tc>
      </w:tr>
      <w:tr w:rsidR="00C7528C" w:rsidRPr="006177E4" w14:paraId="53996D5C" w14:textId="77777777" w:rsidTr="00C92D38">
        <w:trPr>
          <w:trHeight w:val="1848"/>
        </w:trPr>
        <w:tc>
          <w:tcPr>
            <w:tcW w:w="1248" w:type="pct"/>
            <w:hideMark/>
          </w:tcPr>
          <w:p w14:paraId="2A57BBEE"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C-883 de 2011</w:t>
            </w:r>
          </w:p>
        </w:tc>
        <w:tc>
          <w:tcPr>
            <w:tcW w:w="1460" w:type="pct"/>
            <w:hideMark/>
          </w:tcPr>
          <w:p w14:paraId="02D16B10"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Sentencia de constitucionalidad sobre el carácter penal del Artículo 402 del Código Penal </w:t>
            </w:r>
            <w:r w:rsidRPr="006177E4">
              <w:rPr>
                <w:rFonts w:eastAsia="Times New Roman" w:cs="Times New Roman"/>
                <w:color w:val="000000"/>
                <w:szCs w:val="24"/>
              </w:rPr>
              <w:lastRenderedPageBreak/>
              <w:t>(Omisión Agente Retenedor).</w:t>
            </w:r>
          </w:p>
        </w:tc>
        <w:tc>
          <w:tcPr>
            <w:tcW w:w="2292" w:type="pct"/>
            <w:hideMark/>
          </w:tcPr>
          <w:p w14:paraId="3704F0DF"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Legitimidad de la Sanción Penal. Proporciona el análisis de constitucionalidad sobre la sanción penal por no consignar las retenciones, reforzando la naturaleza pública </w:t>
            </w:r>
            <w:r w:rsidRPr="006177E4">
              <w:rPr>
                <w:rFonts w:eastAsia="Times New Roman" w:cs="Times New Roman"/>
                <w:color w:val="000000"/>
                <w:szCs w:val="24"/>
              </w:rPr>
              <w:lastRenderedPageBreak/>
              <w:t>del dinero retenido y la justificación de medidas coactivas.</w:t>
            </w:r>
          </w:p>
        </w:tc>
      </w:tr>
      <w:tr w:rsidR="00C7528C" w:rsidRPr="006177E4" w14:paraId="74907805" w14:textId="77777777" w:rsidTr="00C92D38">
        <w:trPr>
          <w:trHeight w:val="1320"/>
        </w:trPr>
        <w:tc>
          <w:tcPr>
            <w:tcW w:w="1248" w:type="pct"/>
            <w:hideMark/>
          </w:tcPr>
          <w:p w14:paraId="400544CE" w14:textId="77777777" w:rsidR="00CC3A5F" w:rsidRPr="006177E4" w:rsidRDefault="00CC3A5F"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Artículo</w:t>
            </w:r>
            <w:proofErr w:type="spellEnd"/>
            <w:r w:rsidRPr="006177E4">
              <w:rPr>
                <w:rFonts w:eastAsia="Times New Roman" w:cs="Times New Roman"/>
                <w:color w:val="000000"/>
                <w:szCs w:val="24"/>
                <w:lang w:val="en-US"/>
              </w:rPr>
              <w:t xml:space="preserve"> 45, Ley 2155 de 2021</w:t>
            </w:r>
          </w:p>
        </w:tc>
        <w:tc>
          <w:tcPr>
            <w:tcW w:w="1460" w:type="pct"/>
            <w:hideMark/>
          </w:tcPr>
          <w:p w14:paraId="252D5945"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Reducción de sanciones e intereses en un 80% para declaraciones de RTEF ineficaces (periodo limitado).</w:t>
            </w:r>
          </w:p>
        </w:tc>
        <w:tc>
          <w:tcPr>
            <w:tcW w:w="2292" w:type="pct"/>
            <w:hideMark/>
          </w:tcPr>
          <w:p w14:paraId="57C67C04"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Tratamiento Temporal de la Ineficacia. Es crucial para analizar los efectos de las amnistías y los beneficios tributarios temporales en la subsanación de la ineficacia.</w:t>
            </w:r>
          </w:p>
        </w:tc>
      </w:tr>
      <w:tr w:rsidR="00C7528C" w:rsidRPr="006177E4" w14:paraId="6FB83706" w14:textId="77777777" w:rsidTr="00C92D38">
        <w:trPr>
          <w:trHeight w:val="2112"/>
        </w:trPr>
        <w:tc>
          <w:tcPr>
            <w:tcW w:w="1248" w:type="pct"/>
            <w:hideMark/>
          </w:tcPr>
          <w:p w14:paraId="65595E76"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Artículo 78, Ley 2277 de 2022 (adiciona Parágrafos al Art. 580-1 E.T.)</w:t>
            </w:r>
          </w:p>
        </w:tc>
        <w:tc>
          <w:tcPr>
            <w:tcW w:w="1460" w:type="pct"/>
            <w:hideMark/>
          </w:tcPr>
          <w:p w14:paraId="3089BE71"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Modifica y adiciona excepciones al Art. 580-1, especialmente sobre la ineficacia de declaraciones con valores dejados de pagar inferiores a 10 UVT y la posibilidad de subsanar en plazos extendidos.</w:t>
            </w:r>
          </w:p>
        </w:tc>
        <w:tc>
          <w:tcPr>
            <w:tcW w:w="2292" w:type="pct"/>
            <w:hideMark/>
          </w:tcPr>
          <w:p w14:paraId="2F5BCC45" w14:textId="77777777" w:rsidR="00CC3A5F" w:rsidRPr="006177E4" w:rsidRDefault="00CC3A5F" w:rsidP="00263B16">
            <w:pPr>
              <w:spacing w:line="480" w:lineRule="auto"/>
              <w:jc w:val="left"/>
              <w:rPr>
                <w:rFonts w:eastAsia="Times New Roman" w:cs="Times New Roman"/>
                <w:color w:val="000000"/>
                <w:szCs w:val="24"/>
              </w:rPr>
            </w:pPr>
            <w:r w:rsidRPr="006177E4">
              <w:rPr>
                <w:rFonts w:eastAsia="Times New Roman" w:cs="Times New Roman"/>
                <w:color w:val="000000"/>
                <w:szCs w:val="24"/>
              </w:rPr>
              <w:t>Última Modificación y Excepciones Permanentes. Aporta la regulación más reciente y las excepciones de menor cuantía, lo que permite un análisis sobre la intención del legislador de flexibilizar la sanción de ineficacia para agentes retenedores con obligaciones menores.</w:t>
            </w:r>
          </w:p>
        </w:tc>
      </w:tr>
    </w:tbl>
    <w:p w14:paraId="481D8C8A" w14:textId="59B03E89" w:rsidR="00C317A3" w:rsidRPr="006177E4" w:rsidRDefault="00BE045E" w:rsidP="00263B16">
      <w:pPr>
        <w:spacing w:line="480" w:lineRule="auto"/>
        <w:rPr>
          <w:rFonts w:eastAsia="Times New Roman" w:cs="Times New Roman"/>
          <w:szCs w:val="24"/>
        </w:rPr>
      </w:pPr>
      <w:r w:rsidRPr="00BE045E">
        <w:rPr>
          <w:rFonts w:eastAsia="Times New Roman" w:cs="Times New Roman"/>
          <w:i/>
          <w:iCs/>
          <w:szCs w:val="24"/>
        </w:rPr>
        <w:t>Nota.</w:t>
      </w:r>
      <w:r>
        <w:rPr>
          <w:rFonts w:eastAsia="Times New Roman" w:cs="Times New Roman"/>
          <w:szCs w:val="24"/>
        </w:rPr>
        <w:t xml:space="preserve"> </w:t>
      </w:r>
      <w:r w:rsidR="00E27C5F">
        <w:rPr>
          <w:rFonts w:eastAsia="Times New Roman" w:cs="Times New Roman"/>
          <w:szCs w:val="24"/>
        </w:rPr>
        <w:t>E</w:t>
      </w:r>
      <w:r w:rsidR="00E2358D" w:rsidRPr="006177E4">
        <w:rPr>
          <w:rFonts w:eastAsia="Times New Roman" w:cs="Times New Roman"/>
          <w:szCs w:val="24"/>
        </w:rPr>
        <w:t>laboración propia (Acero y López, 2026)</w:t>
      </w:r>
    </w:p>
    <w:p w14:paraId="1B942E85" w14:textId="77777777" w:rsidR="00BE045E" w:rsidRDefault="00CC1C3F" w:rsidP="00263B16">
      <w:pPr>
        <w:pStyle w:val="Ttulo1"/>
        <w:numPr>
          <w:ilvl w:val="0"/>
          <w:numId w:val="0"/>
        </w:numPr>
        <w:jc w:val="both"/>
        <w:rPr>
          <w:rFonts w:cs="Times New Roman"/>
          <w:szCs w:val="24"/>
        </w:rPr>
      </w:pPr>
      <w:bookmarkStart w:id="89" w:name="_Toc440985139"/>
      <w:bookmarkStart w:id="90" w:name="_Toc440985138"/>
      <w:r w:rsidRPr="006177E4">
        <w:rPr>
          <w:rFonts w:cs="Times New Roman"/>
          <w:szCs w:val="24"/>
        </w:rPr>
        <w:t xml:space="preserve"> </w:t>
      </w:r>
      <w:r w:rsidR="00E2358D" w:rsidRPr="006177E4">
        <w:rPr>
          <w:rFonts w:cs="Times New Roman"/>
          <w:szCs w:val="24"/>
        </w:rPr>
        <w:t xml:space="preserve"> </w:t>
      </w:r>
      <w:bookmarkStart w:id="91" w:name="_Toc228250787"/>
      <w:bookmarkEnd w:id="89"/>
    </w:p>
    <w:p w14:paraId="2F957D43" w14:textId="77777777" w:rsidR="00BE045E" w:rsidRDefault="00BE045E" w:rsidP="00263B16">
      <w:pPr>
        <w:spacing w:line="480" w:lineRule="auto"/>
        <w:jc w:val="left"/>
        <w:rPr>
          <w:rFonts w:eastAsiaTheme="majorEastAsia" w:cs="Times New Roman"/>
          <w:b/>
          <w:szCs w:val="24"/>
        </w:rPr>
      </w:pPr>
      <w:r>
        <w:rPr>
          <w:rFonts w:cs="Times New Roman"/>
          <w:szCs w:val="24"/>
        </w:rPr>
        <w:br w:type="page"/>
      </w:r>
    </w:p>
    <w:p w14:paraId="61228240" w14:textId="1EC96788" w:rsidR="00243DC6" w:rsidRPr="00F23BF9" w:rsidRDefault="00CC1C3F" w:rsidP="00263B16">
      <w:pPr>
        <w:pStyle w:val="Ttulo1"/>
      </w:pPr>
      <w:bookmarkStart w:id="92" w:name="_Toc229077653"/>
      <w:r w:rsidRPr="00F23BF9">
        <w:lastRenderedPageBreak/>
        <w:t>Metodología</w:t>
      </w:r>
      <w:bookmarkEnd w:id="91"/>
      <w:bookmarkEnd w:id="92"/>
    </w:p>
    <w:bookmarkEnd w:id="90"/>
    <w:p w14:paraId="15F81FA2" w14:textId="3F65C12C" w:rsidR="00CC1C3F" w:rsidRPr="006177E4" w:rsidRDefault="00CC1C3F" w:rsidP="008C471E">
      <w:pPr>
        <w:pStyle w:val="PrrAPA"/>
      </w:pPr>
      <w:r w:rsidRPr="006177E4">
        <w:t>La presente investigación se enfocó en realizar de un análisis tributario de la ineficacia de las declaraciones de Retención en la Fuente en los contribuyentes de la Administración de Impuestos de Ibagué, años 2014 al 2024, para la cual, e</w:t>
      </w:r>
      <w:r w:rsidRPr="006177E4">
        <w:rPr>
          <w:rFonts w:eastAsia="Times New Roman"/>
        </w:rPr>
        <w:t>n términos metodológicos, se acogieron los criterios metodológicos propuestos por Hernández, Fernández y Baptista (2014), Bernal (2016), Tamayo (2001) y Vargas (2007).</w:t>
      </w:r>
    </w:p>
    <w:p w14:paraId="6AE23635" w14:textId="77777777" w:rsidR="00CC1C3F" w:rsidRPr="006177E4" w:rsidRDefault="00CC1C3F" w:rsidP="00263B16">
      <w:pPr>
        <w:spacing w:line="480" w:lineRule="auto"/>
        <w:rPr>
          <w:rFonts w:cs="Times New Roman"/>
          <w:b/>
          <w:bCs/>
          <w:szCs w:val="24"/>
        </w:rPr>
      </w:pPr>
    </w:p>
    <w:p w14:paraId="03467D7A" w14:textId="4C0D7E78" w:rsidR="00CC1C3F" w:rsidRPr="00F23BF9" w:rsidRDefault="00CC1C3F" w:rsidP="00263B16">
      <w:pPr>
        <w:pStyle w:val="Ttulo2"/>
      </w:pPr>
      <w:bookmarkStart w:id="93" w:name="_Toc228250788"/>
      <w:bookmarkStart w:id="94" w:name="_Toc229077654"/>
      <w:r w:rsidRPr="00F23BF9">
        <w:t>Diseño de la investigación</w:t>
      </w:r>
      <w:bookmarkEnd w:id="93"/>
      <w:bookmarkEnd w:id="94"/>
    </w:p>
    <w:p w14:paraId="6F6F2AD9" w14:textId="1F51CF10" w:rsidR="00CC1C3F" w:rsidRPr="006177E4" w:rsidRDefault="00CC1C3F" w:rsidP="008C471E">
      <w:pPr>
        <w:pStyle w:val="PrrAPA"/>
        <w:rPr>
          <w:rFonts w:eastAsia="Times New Roman"/>
        </w:rPr>
      </w:pPr>
      <w:r w:rsidRPr="006177E4">
        <w:t>El diseño de investigación, se definió como el plan o estrategia metodológica que orienta de manera ordenada el desarrollo del estudio, según</w:t>
      </w:r>
      <w:r w:rsidR="00B32D1A" w:rsidRPr="006177E4">
        <w:t xml:space="preserve"> </w:t>
      </w:r>
      <w:sdt>
        <w:sdtPr>
          <w:rPr>
            <w:color w:val="000000"/>
          </w:rPr>
          <w:tag w:val="MENDELEY_CITATION_v3_eyJjaXRhdGlvbklEIjoiTUVOREVMRVlfQ0lUQVRJT05fOThlZTM4ZjctZGQyMC00YjYwLWE1OWEtYzcxOGE5NWExZjZj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ICg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
          <w:id w:val="1993520040"/>
          <w:placeholder>
            <w:docPart w:val="DefaultPlaceholder_-1854013440"/>
          </w:placeholder>
        </w:sdtPr>
        <w:sdtEndPr/>
        <w:sdtContent>
          <w:proofErr w:type="spellStart"/>
          <w:r w:rsidR="009A1775" w:rsidRPr="006177E4">
            <w:rPr>
              <w:rFonts w:eastAsia="Times New Roman"/>
              <w:color w:val="000000"/>
            </w:rPr>
            <w:t>Hernández</w:t>
          </w:r>
          <w:proofErr w:type="spellEnd"/>
          <w:r w:rsidR="009A1775" w:rsidRPr="006177E4">
            <w:rPr>
              <w:rFonts w:eastAsia="Times New Roman"/>
              <w:color w:val="000000"/>
            </w:rPr>
            <w:t xml:space="preserve"> et al (2018)</w:t>
          </w:r>
        </w:sdtContent>
      </w:sdt>
      <w:r w:rsidRPr="006177E4">
        <w:t xml:space="preserve">, en este sentido, el desarrollo del presente trabajo permeó un diseño longitudinal, el cual se caracterizó por estudiar las declaraciones de retención en la fuente ineficaces en el periodo del 2014 al 2024, el </w:t>
      </w:r>
      <w:r w:rsidRPr="006177E4">
        <w:rPr>
          <w:rFonts w:eastAsia="Times New Roman"/>
        </w:rPr>
        <w:t xml:space="preserve">análisis abarcó el período mencionado para identificar la evolución normativa y doctrinal de la ineficacia de las declaraciones de retención en la fuente. </w:t>
      </w:r>
    </w:p>
    <w:p w14:paraId="16CBC11E" w14:textId="40DE98AE" w:rsidR="00CC1C3F" w:rsidRPr="006177E4" w:rsidRDefault="00CC1C3F" w:rsidP="008C471E">
      <w:pPr>
        <w:pStyle w:val="PrrAPA"/>
        <w:rPr>
          <w:rFonts w:eastAsia="Times New Roman"/>
        </w:rPr>
      </w:pPr>
      <w:r w:rsidRPr="006177E4">
        <w:rPr>
          <w:rFonts w:eastAsia="Times New Roman"/>
        </w:rPr>
        <w:t>La decisión metodológica se adoptó porque el objeto de estudio se centró en revisar las modificaciones normativas ocurridas en el tiempo, en donde se examinó la vigencia y los efectos del artículo 580-1</w:t>
      </w:r>
      <w:r w:rsidR="006859D3" w:rsidRPr="006177E4">
        <w:rPr>
          <w:rFonts w:eastAsia="Times New Roman"/>
        </w:rPr>
        <w:t xml:space="preserve"> </w:t>
      </w:r>
      <w:sdt>
        <w:sdtPr>
          <w:rPr>
            <w:rFonts w:eastAsia="Times New Roman"/>
            <w:color w:val="000000"/>
          </w:rPr>
          <w:tag w:val="MENDELEY_CITATION_v3_eyJjaXRhdGlvbklEIjoiTUVOREVMRVlfQ0lUQVRJT05fODQ0MmQyZTctYThhNS00Yjk4LTk4MjMtMTcyN2ZmMTczYWZh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79090211"/>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628242022"/>
              <w:placeholder>
                <w:docPart w:val="15482377D6E8458E978896BC423C674F"/>
              </w:placeholder>
            </w:sdtPr>
            <w:sdtEndPr/>
            <w:sdtContent>
              <w:r w:rsidR="00EA5A29" w:rsidRPr="00465317">
                <w:t>Decreto 624 (1989</w:t>
              </w:r>
              <w:r w:rsidR="00EA5A29" w:rsidRPr="006177E4">
                <w:rPr>
                  <w:color w:val="000000"/>
                </w:rPr>
                <w:t>)</w:t>
              </w:r>
            </w:sdtContent>
          </w:sdt>
        </w:sdtContent>
      </w:sdt>
      <w:r w:rsidRPr="006177E4">
        <w:rPr>
          <w:rFonts w:eastAsia="Times New Roman"/>
        </w:rPr>
        <w:t>, adicionado por el artículo 15 de la</w:t>
      </w:r>
      <w:r w:rsidR="006859D3" w:rsidRPr="006177E4">
        <w:rPr>
          <w:rFonts w:eastAsia="Times New Roman"/>
        </w:rPr>
        <w:t xml:space="preserve"> </w:t>
      </w:r>
      <w:sdt>
        <w:sdtPr>
          <w:rPr>
            <w:rFonts w:eastAsia="Times New Roman"/>
            <w:color w:val="000000"/>
          </w:rPr>
          <w:tag w:val="MENDELEY_CITATION_v3_eyJjaXRhdGlvbklEIjoiTUVOREVMRVlfQ0lUQVRJT05fNDFhNWNmZmQtOGI4Ny00NWY5LWI0ZWUtZGFiMDY2YjI4MmVj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
          <w:id w:val="1668980084"/>
          <w:placeholder>
            <w:docPart w:val="DefaultPlaceholder_-1854013440"/>
          </w:placeholder>
        </w:sdtPr>
        <w:sdtEndPr/>
        <w:sdtContent>
          <w:r w:rsidR="009A1775" w:rsidRPr="006177E4">
            <w:rPr>
              <w:rFonts w:eastAsia="Times New Roman"/>
              <w:color w:val="000000"/>
            </w:rPr>
            <w:t>Ley 1430</w:t>
          </w:r>
          <w:r w:rsidR="00BE045E">
            <w:rPr>
              <w:rFonts w:eastAsia="Times New Roman"/>
              <w:color w:val="000000"/>
            </w:rPr>
            <w:t xml:space="preserve"> (</w:t>
          </w:r>
          <w:r w:rsidR="009A1775" w:rsidRPr="006177E4">
            <w:rPr>
              <w:rFonts w:eastAsia="Times New Roman"/>
              <w:color w:val="000000"/>
            </w:rPr>
            <w:t>2010)</w:t>
          </w:r>
        </w:sdtContent>
      </w:sdt>
      <w:r w:rsidRPr="006177E4">
        <w:rPr>
          <w:rFonts w:eastAsia="Times New Roman"/>
        </w:rPr>
        <w:t>, así como sus desarrollos posteriores, entre ellos la modificación del parágrafo 1 por el artículo 271 de la</w:t>
      </w:r>
      <w:r w:rsidR="00B32D1A" w:rsidRPr="006177E4">
        <w:rPr>
          <w:rFonts w:eastAsia="Times New Roman"/>
        </w:rPr>
        <w:t xml:space="preserve"> </w:t>
      </w:r>
      <w:sdt>
        <w:sdtPr>
          <w:rPr>
            <w:rFonts w:eastAsia="Times New Roman"/>
            <w:color w:val="000000"/>
          </w:rPr>
          <w:tag w:val="MENDELEY_CITATION_v3_eyJjaXRhdGlvbklEIjoiTUVOREVMRVlfQ0lUQVRJT05fOGYwNWQzMjktYmRlMS00YzA5LTljNTgtNjM4ZWUwMzJkYTY2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
          <w:id w:val="-426268659"/>
          <w:placeholder>
            <w:docPart w:val="DefaultPlaceholder_-1854013440"/>
          </w:placeholder>
        </w:sdtPr>
        <w:sdtEndPr/>
        <w:sdtContent>
          <w:r w:rsidR="009A1775" w:rsidRPr="006177E4">
            <w:rPr>
              <w:rFonts w:eastAsia="Times New Roman"/>
              <w:color w:val="000000"/>
            </w:rPr>
            <w:t>Ley 1819</w:t>
          </w:r>
          <w:r w:rsidR="00BE045E">
            <w:rPr>
              <w:rFonts w:eastAsia="Times New Roman"/>
              <w:color w:val="000000"/>
            </w:rPr>
            <w:t xml:space="preserve"> (</w:t>
          </w:r>
          <w:r w:rsidR="009A1775" w:rsidRPr="006177E4">
            <w:rPr>
              <w:rFonts w:eastAsia="Times New Roman"/>
              <w:color w:val="000000"/>
            </w:rPr>
            <w:t>2016)</w:t>
          </w:r>
        </w:sdtContent>
      </w:sdt>
      <w:r w:rsidRPr="006177E4">
        <w:rPr>
          <w:rFonts w:eastAsia="Times New Roman"/>
        </w:rPr>
        <w:t xml:space="preserve">, la incorporación del reconocimiento de la obligación clara, expresa y exigible para efectos de cobro por el artículo 101 de la </w:t>
      </w:r>
      <w:sdt>
        <w:sdtPr>
          <w:rPr>
            <w:rFonts w:eastAsia="Times New Roman"/>
            <w:color w:val="000000"/>
          </w:rPr>
          <w:tag w:val="MENDELEY_CITATION_v3_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n0sImlzVGVtcG9yYXJ5IjpmYWxzZX1dfQ=="/>
          <w:id w:val="-1879779101"/>
          <w:placeholder>
            <w:docPart w:val="DefaultPlaceholder_-1854013440"/>
          </w:placeholder>
        </w:sdtPr>
        <w:sdtEndPr/>
        <w:sdtContent>
          <w:r w:rsidR="009A1775" w:rsidRPr="006177E4">
            <w:rPr>
              <w:rFonts w:eastAsia="Times New Roman"/>
              <w:color w:val="000000"/>
            </w:rPr>
            <w:t xml:space="preserve">Ley 2010 </w:t>
          </w:r>
          <w:r w:rsidR="00BE045E">
            <w:rPr>
              <w:rFonts w:eastAsia="Times New Roman"/>
              <w:color w:val="000000"/>
            </w:rPr>
            <w:t>(</w:t>
          </w:r>
          <w:r w:rsidR="009A1775" w:rsidRPr="006177E4">
            <w:rPr>
              <w:rFonts w:eastAsia="Times New Roman"/>
              <w:color w:val="000000"/>
            </w:rPr>
            <w:t>2019</w:t>
          </w:r>
        </w:sdtContent>
      </w:sdt>
      <w:r w:rsidRPr="006177E4">
        <w:rPr>
          <w:rFonts w:eastAsia="Times New Roman"/>
        </w:rPr>
        <w:t xml:space="preserve"> y la adición del parágrafo 3 por el artículo 78 de la </w:t>
      </w:r>
      <w:sdt>
        <w:sdtPr>
          <w:rPr>
            <w:rFonts w:eastAsia="Times New Roman"/>
            <w:color w:val="000000"/>
          </w:rPr>
          <w:tag w:val="MENDELEY_CITATION_v3_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IyNzdfMjAyMi5odG1sIiwiaXNzdWVkIjp7ImRhdGUtcGFydHMiOltbMjAyMl1dfX0sImlzVGVtcG9yYXJ5IjpmYWxzZX1dfQ=="/>
          <w:id w:val="-534807380"/>
          <w:placeholder>
            <w:docPart w:val="DefaultPlaceholder_-1854013440"/>
          </w:placeholder>
        </w:sdtPr>
        <w:sdtEndPr/>
        <w:sdtContent>
          <w:r w:rsidR="009A1775" w:rsidRPr="006177E4">
            <w:rPr>
              <w:rFonts w:eastAsia="Times New Roman"/>
              <w:color w:val="000000"/>
            </w:rPr>
            <w:t xml:space="preserve">Ley 2277 </w:t>
          </w:r>
          <w:r w:rsidR="00BE045E">
            <w:rPr>
              <w:rFonts w:eastAsia="Times New Roman"/>
              <w:color w:val="000000"/>
            </w:rPr>
            <w:t>(</w:t>
          </w:r>
          <w:r w:rsidR="009A1775" w:rsidRPr="006177E4">
            <w:rPr>
              <w:rFonts w:eastAsia="Times New Roman"/>
              <w:color w:val="000000"/>
            </w:rPr>
            <w:t>2022)</w:t>
          </w:r>
        </w:sdtContent>
      </w:sdt>
    </w:p>
    <w:p w14:paraId="21BC6029" w14:textId="77777777" w:rsidR="00CC1C3F" w:rsidRPr="006177E4" w:rsidRDefault="00CC1C3F" w:rsidP="00263B16">
      <w:pPr>
        <w:spacing w:line="480" w:lineRule="auto"/>
        <w:ind w:firstLine="708"/>
        <w:jc w:val="left"/>
        <w:rPr>
          <w:rFonts w:cs="Times New Roman"/>
          <w:szCs w:val="24"/>
        </w:rPr>
      </w:pPr>
    </w:p>
    <w:p w14:paraId="52C1CA94" w14:textId="0150F2F2" w:rsidR="00CC1C3F" w:rsidRPr="00F23BF9" w:rsidRDefault="00CC1C3F" w:rsidP="00263B16">
      <w:pPr>
        <w:pStyle w:val="Ttulo2"/>
      </w:pPr>
      <w:bookmarkStart w:id="95" w:name="_Toc228250789"/>
      <w:bookmarkStart w:id="96" w:name="_Toc229077655"/>
      <w:r w:rsidRPr="00F23BF9">
        <w:t>Tipo de investigación</w:t>
      </w:r>
      <w:bookmarkEnd w:id="95"/>
      <w:bookmarkEnd w:id="96"/>
    </w:p>
    <w:p w14:paraId="6BC3F5E4" w14:textId="1A2FEAC8" w:rsidR="00CC1C3F" w:rsidRPr="006177E4" w:rsidRDefault="00CC1C3F" w:rsidP="008C471E">
      <w:pPr>
        <w:pStyle w:val="PrrAPA"/>
      </w:pPr>
      <w:r w:rsidRPr="006177E4">
        <w:t xml:space="preserve">El tipo de la investigación, a partir de los objetivos planteados y las fuentes de análisis de información, correspondió a una investigación de tipo documental – explicativo. Se configura como documental porque el análisis se sustentó en fuentes escritas, oficiales y académicas, tales como el artículo 580-1 del </w:t>
      </w:r>
      <w:sdt>
        <w:sdtPr>
          <w:rPr>
            <w:color w:val="000000"/>
          </w:rPr>
          <w:tag w:val="MENDELEY_CITATION_v3_eyJjaXRhdGlvbklEIjoiTUVOREVMRVlfQ0lUQVRJT05fODJhOWM3M2MtYzkyYi00Y2FhLWJiMmYtYTRhNTBmNDlkODk1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858616107"/>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920299657"/>
              <w:placeholder>
                <w:docPart w:val="EC7946CF310C498D8627D3D55E74FCAD"/>
              </w:placeholder>
            </w:sdtPr>
            <w:sdtEndPr/>
            <w:sdtContent>
              <w:r w:rsidR="00EA5A29" w:rsidRPr="00465317">
                <w:t>Decreto 624 (1989</w:t>
              </w:r>
              <w:r w:rsidR="00EA5A29" w:rsidRPr="006177E4">
                <w:rPr>
                  <w:color w:val="000000"/>
                </w:rPr>
                <w:t>)</w:t>
              </w:r>
            </w:sdtContent>
          </w:sdt>
        </w:sdtContent>
      </w:sdt>
      <w:r w:rsidRPr="006177E4">
        <w:t xml:space="preserve">y de sus modificaciones introducidas por las </w:t>
      </w:r>
      <w:sdt>
        <w:sdtPr>
          <w:rPr>
            <w:color w:val="000000"/>
          </w:rPr>
          <w:tag w:val="MENDELEY_CITATION_v3_eyJjaXRhdGlvbklEIjoiTUVOREVMRVlfQ0lUQVRJT05fOWFkNmM1ZmUtMGFlYy00ODk1LTlhZTYtYTEyODI3NWI5YWI5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
          <w:id w:val="-1674718368"/>
          <w:placeholder>
            <w:docPart w:val="DefaultPlaceholder_-1854013440"/>
          </w:placeholder>
        </w:sdtPr>
        <w:sdtEndPr/>
        <w:sdtContent>
          <w:r w:rsidR="009A1775" w:rsidRPr="006177E4">
            <w:rPr>
              <w:color w:val="000000"/>
            </w:rPr>
            <w:t xml:space="preserve">Ley 1430 </w:t>
          </w:r>
          <w:r w:rsidR="00BE045E">
            <w:rPr>
              <w:color w:val="000000"/>
            </w:rPr>
            <w:t>(</w:t>
          </w:r>
          <w:r w:rsidR="009A1775" w:rsidRPr="006177E4">
            <w:rPr>
              <w:color w:val="000000"/>
            </w:rPr>
            <w:t>2010)</w:t>
          </w:r>
        </w:sdtContent>
      </w:sdt>
      <w:r w:rsidR="00B32D1A" w:rsidRPr="006177E4">
        <w:rPr>
          <w:color w:val="000000"/>
        </w:rPr>
        <w:t xml:space="preserve">, </w:t>
      </w:r>
      <w:sdt>
        <w:sdtPr>
          <w:rPr>
            <w:color w:val="000000"/>
          </w:rPr>
          <w:tag w:val="MENDELEY_CITATION_v3_eyJjaXRhdGlvbklEIjoiTUVOREVMRVlfQ0lUQVRJT05fMDYxYmU5YzMtY2E1Yi00Y2M5LThlOTktZGU0MzBhOWVjOTkz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
          <w:id w:val="1199056725"/>
          <w:placeholder>
            <w:docPart w:val="DefaultPlaceholder_-1854013440"/>
          </w:placeholder>
        </w:sdtPr>
        <w:sdtEndPr/>
        <w:sdtContent>
          <w:r w:rsidR="009A1775" w:rsidRPr="006177E4">
            <w:rPr>
              <w:color w:val="000000"/>
            </w:rPr>
            <w:t>Ley 1819</w:t>
          </w:r>
          <w:r w:rsidR="00BE045E">
            <w:rPr>
              <w:color w:val="000000"/>
            </w:rPr>
            <w:t xml:space="preserve"> (</w:t>
          </w:r>
          <w:r w:rsidR="009A1775" w:rsidRPr="006177E4">
            <w:rPr>
              <w:color w:val="000000"/>
            </w:rPr>
            <w:t>2016)</w:t>
          </w:r>
        </w:sdtContent>
      </w:sdt>
      <w:r w:rsidR="00B32D1A" w:rsidRPr="006177E4">
        <w:rPr>
          <w:color w:val="000000"/>
        </w:rPr>
        <w:t>,</w:t>
      </w:r>
      <w:sdt>
        <w:sdtPr>
          <w:rPr>
            <w:color w:val="000000"/>
          </w:rPr>
          <w:tag w:val="MENDELEY_CITATION_v3_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2lkPTMwMDM4NzA1IiwiaXNzdWVkIjp7ImRhdGUtcGFydHMiOltbMjAxOV1dfSwibGFuZ3VhZ2UiOiJlcyIsImFic3RyYWN0IjoiTW9kaWZpY8OzIGVsIGluY2lzbyA1IGRlbCBhcnTDrWN1bG8gNTgwLTEgZGVsIEVzdGF0dXRvIFRyaWJ1dGFyaW8gZSBpbmNvcnBvcsOzIGRlIGZvcm1hIGV4cHJlc2EgZWwgbcOpcml0byBlamVjdXRpdm8gZGUgbGEgZGVjbGFyYWNpw7NuIGluaWNpYWxtZW50ZSBwcmVzZW50YWRhLiIsInB1Ymxpc2hlciI6IkNvbmdyZXNvIGRlIGxhIFJlcMO6YmxpY2EgZGUgQ29sb21iaWEifSwiaXNUZW1wb3JhcnkiOmZhbHNlfV19"/>
          <w:id w:val="-1759982974"/>
          <w:placeholder>
            <w:docPart w:val="DefaultPlaceholder_-1854013440"/>
          </w:placeholder>
        </w:sdtPr>
        <w:sdtEndPr/>
        <w:sdtContent>
          <w:r w:rsidR="00BE045E">
            <w:rPr>
              <w:color w:val="000000"/>
            </w:rPr>
            <w:t xml:space="preserve"> </w:t>
          </w:r>
          <w:r w:rsidR="009A1775" w:rsidRPr="006177E4">
            <w:rPr>
              <w:color w:val="000000"/>
            </w:rPr>
            <w:t xml:space="preserve">Ley 2010 </w:t>
          </w:r>
          <w:r w:rsidR="00BE045E">
            <w:rPr>
              <w:color w:val="000000"/>
            </w:rPr>
            <w:t>(</w:t>
          </w:r>
          <w:r w:rsidR="009A1775" w:rsidRPr="006177E4">
            <w:rPr>
              <w:color w:val="000000"/>
            </w:rPr>
            <w:t>2019 )</w:t>
          </w:r>
        </w:sdtContent>
      </w:sdt>
      <w:r w:rsidR="00B32D1A" w:rsidRPr="006177E4">
        <w:rPr>
          <w:color w:val="000000"/>
        </w:rPr>
        <w:t>,</w:t>
      </w:r>
      <w:sdt>
        <w:sdtPr>
          <w:rPr>
            <w:color w:val="000000"/>
          </w:rPr>
          <w:tag w:val="MENDELEY_CITATION_v3_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MwMDQ1MDI4IiwiaXNzdWVkIjp7ImRhdGUtcGFydHMiOltbMjAyMl1dfSwibGFuZ3VhZ2UiOiJlcyIsImFic3RyYWN0IjoiQWRpY2lvbsOzIGVsIHBhcsOhZ3JhZm8gMyBkZWwgYXJ0w61jdWxvIDU4MC0xIGRlbCBFc3RhdHV0byBUcmlidXRhcmlvIHkgcmVndWzDsyBlbCBzdXB1ZXN0byBkZSBtZW5vciBjdWFudMOtYSBubyBzdXBlcmlvciBhIDEwIFVWVC4iLCJwdWJsaXNoZXIiOiJDb25ncmVzbyBkZSBsYSBSZXDDumJsaWNhIGRlIENvbG9tYmlhIn0sImlzVGVtcG9yYXJ5IjpmYWxzZX1dfQ=="/>
          <w:id w:val="-892647316"/>
          <w:placeholder>
            <w:docPart w:val="DefaultPlaceholder_-1854013440"/>
          </w:placeholder>
        </w:sdtPr>
        <w:sdtEndPr/>
        <w:sdtContent>
          <w:r w:rsidR="00BE045E">
            <w:rPr>
              <w:color w:val="000000"/>
            </w:rPr>
            <w:t xml:space="preserve"> </w:t>
          </w:r>
          <w:r w:rsidR="009A1775" w:rsidRPr="006177E4">
            <w:rPr>
              <w:color w:val="000000"/>
            </w:rPr>
            <w:t xml:space="preserve">Ley 2277 </w:t>
          </w:r>
          <w:r w:rsidR="00BE045E">
            <w:rPr>
              <w:color w:val="000000"/>
            </w:rPr>
            <w:t>(</w:t>
          </w:r>
          <w:r w:rsidR="009A1775" w:rsidRPr="006177E4">
            <w:rPr>
              <w:color w:val="000000"/>
            </w:rPr>
            <w:t>2022</w:t>
          </w:r>
        </w:sdtContent>
      </w:sdt>
      <w:r w:rsidR="00B32D1A" w:rsidRPr="006177E4">
        <w:rPr>
          <w:color w:val="000000"/>
        </w:rPr>
        <w:t>);</w:t>
      </w:r>
      <w:r w:rsidRPr="006177E4">
        <w:t xml:space="preserve"> de la </w:t>
      </w:r>
      <w:sdt>
        <w:sdtPr>
          <w:rPr>
            <w:color w:val="000000"/>
          </w:rPr>
          <w:tag w:val="MENDELEY_CITATION_v3_eyJjaXRhdGlvbklEIjoiTUVOREVMRVlfQ0lUQVRJT05fMzM0NDQ5YTAtYzIyNi00ZmI4LWJiOGYtYzI5MzMzNTQ2NzQw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409928338"/>
          <w:placeholder>
            <w:docPart w:val="DefaultPlaceholder_-1854013440"/>
          </w:placeholder>
        </w:sdtPr>
        <w:sdtEndPr/>
        <w:sdtContent>
          <w:r w:rsidR="009A1775" w:rsidRPr="006177E4">
            <w:rPr>
              <w:color w:val="000000"/>
            </w:rPr>
            <w:t xml:space="preserve">Sentencia C-102 </w:t>
          </w:r>
          <w:r w:rsidR="00BE045E">
            <w:rPr>
              <w:color w:val="000000"/>
            </w:rPr>
            <w:t>(</w:t>
          </w:r>
          <w:r w:rsidR="009A1775" w:rsidRPr="006177E4">
            <w:rPr>
              <w:color w:val="000000"/>
            </w:rPr>
            <w:t>2015)</w:t>
          </w:r>
        </w:sdtContent>
      </w:sdt>
      <w:r w:rsidRPr="006177E4">
        <w:t xml:space="preserve">, mediante la cual la Corte Constitucional sostuvo que la ausencia de pago total impedía que la </w:t>
      </w:r>
      <w:r w:rsidRPr="006177E4">
        <w:lastRenderedPageBreak/>
        <w:t xml:space="preserve">declaración produjera efectos legales, sin que ello implicara la imposición de una sanción en sentido estricto; de la </w:t>
      </w:r>
      <w:sdt>
        <w:sdtPr>
          <w:rPr>
            <w:color w:val="000000"/>
          </w:rPr>
          <w:tag w:val="MENDELEY_CITATION_v3_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"/>
          <w:id w:val="1241525567"/>
          <w:placeholder>
            <w:docPart w:val="DefaultPlaceholder_-1854013440"/>
          </w:placeholder>
        </w:sdtPr>
        <w:sdtEndPr/>
        <w:sdtContent>
          <w:r w:rsidR="009A1775" w:rsidRPr="006177E4">
            <w:rPr>
              <w:color w:val="000000"/>
            </w:rPr>
            <w:t xml:space="preserve">Sentencia C-203 </w:t>
          </w:r>
          <w:r w:rsidR="00BE045E">
            <w:rPr>
              <w:color w:val="000000"/>
            </w:rPr>
            <w:t>(</w:t>
          </w:r>
          <w:r w:rsidR="009A1775" w:rsidRPr="006177E4">
            <w:rPr>
              <w:color w:val="000000"/>
            </w:rPr>
            <w:t>2021)</w:t>
          </w:r>
        </w:sdtContent>
      </w:sdt>
      <w:r w:rsidR="00BE045E">
        <w:t xml:space="preserve"> </w:t>
      </w:r>
      <w:r w:rsidRPr="006177E4">
        <w:t xml:space="preserve">que volvió sobre la constitucionalidad de la disposición; de la jurisprudencia de la Sección Cuarta del Consejo de Estado, que destacó la finalidad de asegurar el recaudo oportuno de valores retenidos a terceros; de la  </w:t>
      </w:r>
      <w:sdt>
        <w:sdtPr>
          <w:rPr>
            <w:color w:val="000000"/>
          </w:rPr>
          <w:tag w:val="MENDELEY_CITATION_v3_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J9LCJpc1RlbXBvcmFyeSI6ZmFsc2V9XX0="/>
          <w:id w:val="159134474"/>
          <w:placeholder>
            <w:docPart w:val="DefaultPlaceholder_-1854013440"/>
          </w:placeholder>
        </w:sdtPr>
        <w:sdtEndPr/>
        <w:sdtContent>
          <w:r w:rsidR="009A1775" w:rsidRPr="006177E4">
            <w:rPr>
              <w:color w:val="000000"/>
            </w:rPr>
            <w:t xml:space="preserve">Sentencia C-883 </w:t>
          </w:r>
          <w:r w:rsidR="00BE045E">
            <w:rPr>
              <w:color w:val="000000"/>
            </w:rPr>
            <w:t>(</w:t>
          </w:r>
          <w:r w:rsidR="009A1775" w:rsidRPr="006177E4">
            <w:rPr>
              <w:color w:val="000000"/>
            </w:rPr>
            <w:t>2011</w:t>
          </w:r>
        </w:sdtContent>
      </w:sdt>
      <w:r w:rsidR="00B32D1A" w:rsidRPr="006177E4">
        <w:rPr>
          <w:color w:val="000000"/>
        </w:rPr>
        <w:t>)</w:t>
      </w:r>
      <w:r w:rsidR="00B32D1A" w:rsidRPr="006177E4">
        <w:t xml:space="preserve"> </w:t>
      </w:r>
      <w:r w:rsidRPr="006177E4">
        <w:t>de la Corte Constitucional declaró exequible la norma que establece la ineficacia de las declaraciones de retención en la fuente presentadas sin pago. Específicamente, respaldó que, si el agente retenedor no paga los saldos en los plazos legales, la declaración no produce efectos, buscando asegurar el flujo de recursos al Estado; y de la doctrina oficial de la DIAN, en especial los Oficios</w:t>
      </w:r>
      <w:r w:rsidR="00B32D1A" w:rsidRPr="006177E4">
        <w:t xml:space="preserve"> 905545</w:t>
      </w:r>
      <w:r w:rsidRPr="006177E4">
        <w:t xml:space="preserve"> </w:t>
      </w:r>
      <w:sdt>
        <w:sdtPr>
          <w:rPr>
            <w:color w:val="000000"/>
          </w:rPr>
          <w:tag w:val="MENDELEY_CITATION_v3_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5MDU1NDVfMjAyMS5odG0iLCJpc3N1ZWQiOnsiZGF0ZS1wYXJ0cyI6W1syMDIxXV19LCJsYW5ndWFnZSI6ImVzIiwiYWJzdHJhY3QiOiJSZWl0ZXLDsyBxdWUgbm8gZXMgcG9zaWJsZSBjb3JyZWdpciB1bmEgZGVjbGFyYWNpw7NuIGRlIHJldGVuY2nDs24gZW4gbGEgZnVlbnRlIGluZWZpY2F6OyBkZWJlIHByZXNlbnRhcnNlIG51ZXZhbWVudGUgY29uIHBhZ28gdG90YWwsIHNhbmNpw7NuIHBvciBleHRlbXBvcmFuZWlkYWQgZSBpbnRlcmVzZXMuIiwicHVibGlzaGVyIjoiRElBTiJ9LCJpc1RlbXBvcmFyeSI6ZmFsc2V9XX0="/>
          <w:id w:val="1481048076"/>
          <w:placeholder>
            <w:docPart w:val="DefaultPlaceholder_-1854013440"/>
          </w:placeholder>
        </w:sdtPr>
        <w:sdtEndPr/>
        <w:sdtContent>
          <w:r w:rsidR="009A1775" w:rsidRPr="006177E4">
            <w:rPr>
              <w:color w:val="000000"/>
            </w:rPr>
            <w:t xml:space="preserve">DIAN </w:t>
          </w:r>
          <w:r w:rsidR="00BE045E">
            <w:rPr>
              <w:color w:val="000000"/>
            </w:rPr>
            <w:t>(</w:t>
          </w:r>
          <w:r w:rsidR="009A1775" w:rsidRPr="006177E4">
            <w:rPr>
              <w:color w:val="000000"/>
            </w:rPr>
            <w:t>2021b)</w:t>
          </w:r>
        </w:sdtContent>
      </w:sdt>
      <w:r w:rsidRPr="006177E4">
        <w:t xml:space="preserve"> de 2021 y 4638 de 2023</w:t>
      </w:r>
      <w:r w:rsidR="00B32D1A" w:rsidRPr="006177E4">
        <w:t xml:space="preserve"> </w:t>
      </w:r>
      <w:sdt>
        <w:sdtPr>
          <w:rPr>
            <w:color w:val="000000"/>
          </w:rPr>
          <w:tag w:val="MENDELEY_CITATION_v3_eyJjaXRhdGlvbklEIjoiTUVOREVMRVlfQ0lUQVRJT05fNWU3N2YxMDMtNjZlMy00NTU1LWI1OTQtMWI0YWRiNTU4MWY0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
          <w:id w:val="352849397"/>
          <w:placeholder>
            <w:docPart w:val="22E2F13B21C941EDB8666B8A8128D2C2"/>
          </w:placeholder>
        </w:sdtPr>
        <w:sdtEndPr/>
        <w:sdtContent>
          <w:r w:rsidR="009A1775" w:rsidRPr="006177E4">
            <w:rPr>
              <w:color w:val="000000"/>
            </w:rPr>
            <w:t>DIAN</w:t>
          </w:r>
          <w:r w:rsidR="0096180D">
            <w:rPr>
              <w:color w:val="000000"/>
            </w:rPr>
            <w:t xml:space="preserve"> (</w:t>
          </w:r>
          <w:r w:rsidR="009A1775" w:rsidRPr="006177E4">
            <w:rPr>
              <w:color w:val="000000"/>
            </w:rPr>
            <w:t>2023)</w:t>
          </w:r>
        </w:sdtContent>
      </w:sdt>
      <w:r w:rsidRPr="006177E4">
        <w:t>, en los que se precisaron, respectivamente, la improcedencia de corregir una declaración ineficaz y la posibilidad de que esta sirviera como título para el cobro administrativo.</w:t>
      </w:r>
    </w:p>
    <w:p w14:paraId="57BD2EBA" w14:textId="0951A660" w:rsidR="00CC1C3F" w:rsidRPr="006177E4" w:rsidRDefault="00CC1C3F" w:rsidP="008C471E">
      <w:pPr>
        <w:pStyle w:val="PrrAPA"/>
      </w:pPr>
      <w:r w:rsidRPr="006177E4">
        <w:t xml:space="preserve">La naturaleza documental-explicativa también se justificó porque el fenómeno examinado no podía comprenderse a partir del análisis del artículo 580-1 del </w:t>
      </w:r>
      <w:sdt>
        <w:sdtPr>
          <w:rPr>
            <w:color w:val="000000"/>
          </w:rPr>
          <w:tag w:val="MENDELEY_CITATION_v3_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19LCJpc1RlbXBvcmFyeSI6ZmFsc2V9XX0="/>
          <w:id w:val="-852257495"/>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871101360"/>
              <w:placeholder>
                <w:docPart w:val="8642F04EBF0448B8AEE2D0617D27DF52"/>
              </w:placeholder>
            </w:sdtPr>
            <w:sdtEndPr/>
            <w:sdtContent>
              <w:r w:rsidR="00EA5A29" w:rsidRPr="00465317">
                <w:t>Decreto 624 (1989</w:t>
              </w:r>
            </w:sdtContent>
          </w:sdt>
          <w:r w:rsidR="009A1775" w:rsidRPr="006177E4">
            <w:rPr>
              <w:color w:val="000000"/>
            </w:rPr>
            <w:t>b)</w:t>
          </w:r>
        </w:sdtContent>
      </w:sdt>
      <w:r w:rsidR="0096180D">
        <w:t xml:space="preserve"> f</w:t>
      </w:r>
      <w:r w:rsidRPr="006177E4">
        <w:t>ue necesario articular normas constitucionales, tributarias, penales y reglamentarias; sentencias de constitucionalidad y de legalidad; doctrina oficial de la DIAN; y trabajos de grado y artículos científicos que han examinado la figura desde una perspectiva crítica lo que permitió relacionar su desarrollo con los objetivos específicos de la investigación.</w:t>
      </w:r>
    </w:p>
    <w:p w14:paraId="72BD68A0" w14:textId="2E622C41" w:rsidR="00DC45CD" w:rsidRPr="006177E4" w:rsidRDefault="00674D57" w:rsidP="008C471E">
      <w:pPr>
        <w:pStyle w:val="PrrAPA"/>
      </w:pPr>
      <w:sdt>
        <w:sdtPr>
          <w:rPr>
            <w:color w:val="000000"/>
          </w:rPr>
          <w:tag w:val="MENDELEY_CITATION_v3_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"/>
          <w:id w:val="-1960714246"/>
          <w:placeholder>
            <w:docPart w:val="DefaultPlaceholder_-1854013440"/>
          </w:placeholder>
        </w:sdtPr>
        <w:sdtEndPr/>
        <w:sdtContent>
          <w:r w:rsidR="009A1775" w:rsidRPr="006177E4">
            <w:rPr>
              <w:color w:val="000000"/>
            </w:rPr>
            <w:t xml:space="preserve">Tamayo </w:t>
          </w:r>
          <w:r w:rsidR="00465317">
            <w:rPr>
              <w:color w:val="000000"/>
            </w:rPr>
            <w:t>(</w:t>
          </w:r>
          <w:r w:rsidR="009A1775" w:rsidRPr="006177E4">
            <w:rPr>
              <w:color w:val="000000"/>
            </w:rPr>
            <w:t>2001)</w:t>
          </w:r>
        </w:sdtContent>
      </w:sdt>
      <w:r w:rsidR="005A5395" w:rsidRPr="006177E4">
        <w:rPr>
          <w:color w:val="000000"/>
        </w:rPr>
        <w:t xml:space="preserve"> </w:t>
      </w:r>
      <w:r w:rsidR="00CC1C3F" w:rsidRPr="006177E4">
        <w:t xml:space="preserve">explicaron que la investigación documental se apoya en el examen ordenado de documentos para producir interpretación y conocimiento; a su vez, </w:t>
      </w:r>
    </w:p>
    <w:p w14:paraId="30EB27F6" w14:textId="77777777" w:rsidR="00EE60B0" w:rsidRDefault="00674D57" w:rsidP="008C471E">
      <w:pPr>
        <w:pStyle w:val="PrrAPA"/>
      </w:pPr>
      <w:sdt>
        <w:sdtPr>
          <w:rPr>
            <w:color w:val="000000"/>
          </w:rPr>
          <w:tag w:val="MENDELEY_CITATION_v3_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"/>
          <w:id w:val="-1681812994"/>
          <w:placeholder>
            <w:docPart w:val="DefaultPlaceholder_-1854013440"/>
          </w:placeholder>
        </w:sdtPr>
        <w:sdtEndPr/>
        <w:sdtContent>
          <w:r w:rsidR="009A1775" w:rsidRPr="006177E4">
            <w:rPr>
              <w:color w:val="000000"/>
            </w:rPr>
            <w:t>Vargas (2007)</w:t>
          </w:r>
        </w:sdtContent>
      </w:sdt>
      <w:r w:rsidR="00CC1C3F" w:rsidRPr="006177E4">
        <w:t xml:space="preserve"> destacó que la investigación cualitativa exige seleccionar, organizar e interpretar críticamente las fuentes consultadas.</w:t>
      </w:r>
    </w:p>
    <w:p w14:paraId="6E0FA49F" w14:textId="3AA3972B" w:rsidR="00465317" w:rsidRDefault="00CC1C3F" w:rsidP="008C471E">
      <w:pPr>
        <w:pStyle w:val="PrrAPA"/>
      </w:pPr>
      <w:r w:rsidRPr="006177E4">
        <w:t>Conforme a</w:t>
      </w:r>
      <w:r w:rsidR="00DC45CD" w:rsidRPr="006177E4">
        <w:t xml:space="preserve"> </w:t>
      </w:r>
      <w:sdt>
        <w:sdtPr>
          <w:rPr>
            <w:color w:val="000000"/>
          </w:rPr>
          <w:tag w:val="MENDELEY_CITATION_v3_eyJjaXRhdGlvbklEIjoiTUVOREVMRVlfQ0lUQVRJT05fODU2YWQxY2EtN2UyMi00NThhLWE4MTctODNlNjhlMThiYTIy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
          <w:id w:val="-1745254574"/>
          <w:placeholder>
            <w:docPart w:val="DefaultPlaceholder_-1854013440"/>
          </w:placeholder>
        </w:sdtPr>
        <w:sdtEndPr/>
        <w:sdtContent>
          <w:proofErr w:type="spellStart"/>
          <w:r w:rsidR="009A1775" w:rsidRPr="006177E4">
            <w:rPr>
              <w:color w:val="000000"/>
            </w:rPr>
            <w:t>Hernández</w:t>
          </w:r>
          <w:proofErr w:type="spellEnd"/>
          <w:r w:rsidR="009A1775" w:rsidRPr="006177E4">
            <w:rPr>
              <w:color w:val="000000"/>
            </w:rPr>
            <w:t xml:space="preserve"> et al </w:t>
          </w:r>
          <w:r w:rsidR="00465317">
            <w:rPr>
              <w:color w:val="000000"/>
            </w:rPr>
            <w:t>(</w:t>
          </w:r>
          <w:r w:rsidR="009A1775" w:rsidRPr="006177E4">
            <w:rPr>
              <w:color w:val="000000"/>
            </w:rPr>
            <w:t>2018)</w:t>
          </w:r>
        </w:sdtContent>
      </w:sdt>
      <w:r w:rsidRPr="006177E4">
        <w:t>, el alcance explicativo se orientó a identificar relaciones causales o de incidencia entre categorías de análisis; por ello, la investigación explicó la relación entre el deber de pago total, la pérdida de efectos legales de la declaración, la obligación clara, expresa y exigible reconocida a favor de la administración y las implicaciones para el cumplimiento tributario.</w:t>
      </w:r>
    </w:p>
    <w:p w14:paraId="1B41E3C0" w14:textId="77777777" w:rsidR="00EE60B0" w:rsidRPr="006177E4" w:rsidRDefault="00EE60B0" w:rsidP="008C471E">
      <w:pPr>
        <w:pStyle w:val="PrrAPA"/>
        <w:rPr>
          <w:rFonts w:eastAsia="Times New Roman"/>
          <w:lang w:eastAsia="es-CO"/>
        </w:rPr>
      </w:pPr>
    </w:p>
    <w:p w14:paraId="156712B8" w14:textId="62CF1A29" w:rsidR="00CC1C3F" w:rsidRPr="00EE60B0" w:rsidRDefault="00CC1C3F" w:rsidP="00263B16">
      <w:pPr>
        <w:pStyle w:val="Ttulo2"/>
      </w:pPr>
      <w:bookmarkStart w:id="97" w:name="_Toc228250790"/>
      <w:bookmarkStart w:id="98" w:name="_Toc229077656"/>
      <w:r w:rsidRPr="00EE60B0">
        <w:t>Enfoque de la investigación</w:t>
      </w:r>
      <w:bookmarkEnd w:id="97"/>
      <w:bookmarkEnd w:id="98"/>
    </w:p>
    <w:p w14:paraId="488C1D7E" w14:textId="34157284" w:rsidR="00CC1C3F" w:rsidRPr="006177E4" w:rsidRDefault="00CC1C3F" w:rsidP="008C471E">
      <w:pPr>
        <w:pStyle w:val="PrrAPA"/>
      </w:pPr>
      <w:r w:rsidRPr="006177E4">
        <w:t xml:space="preserve">En cuanto al enfoque necesario para la investigación fue el Cualitativo, en donde, </w:t>
      </w:r>
      <w:sdt>
        <w:sdtPr>
          <w:rPr>
            <w:color w:val="000000"/>
          </w:rPr>
          <w:tag w:val="MENDELEY_CITATION_v3_eyJjaXRhdGlvbklEIjoiTUVOREVMRVlfQ0lUQVRJT05fMTBiMjVmODYtMjM1Yy00OTAzLTk2OTUtYzJkYzBiMmM4MWI5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"/>
          <w:id w:val="-1291126343"/>
          <w:placeholder>
            <w:docPart w:val="DefaultPlaceholder_-1854013440"/>
          </w:placeholder>
        </w:sdtPr>
        <w:sdtEndPr/>
        <w:sdtContent>
          <w:proofErr w:type="spellStart"/>
          <w:r w:rsidR="009A1775" w:rsidRPr="006177E4">
            <w:rPr>
              <w:rFonts w:eastAsia="Times New Roman"/>
              <w:color w:val="000000"/>
            </w:rPr>
            <w:t>Hernández</w:t>
          </w:r>
          <w:proofErr w:type="spellEnd"/>
          <w:r w:rsidR="009A1775" w:rsidRPr="006177E4">
            <w:rPr>
              <w:rFonts w:eastAsia="Times New Roman"/>
              <w:color w:val="000000"/>
            </w:rPr>
            <w:t xml:space="preserve"> et al </w:t>
          </w:r>
          <w:r w:rsidR="00465317">
            <w:rPr>
              <w:rFonts w:eastAsia="Times New Roman"/>
              <w:color w:val="000000"/>
            </w:rPr>
            <w:t>(</w:t>
          </w:r>
          <w:r w:rsidR="009A1775" w:rsidRPr="006177E4">
            <w:rPr>
              <w:rFonts w:eastAsia="Times New Roman"/>
              <w:color w:val="000000"/>
            </w:rPr>
            <w:t>2018)</w:t>
          </w:r>
        </w:sdtContent>
      </w:sdt>
      <w:r w:rsidR="0072577F" w:rsidRPr="006177E4">
        <w:rPr>
          <w:color w:val="000000"/>
        </w:rPr>
        <w:t xml:space="preserve"> </w:t>
      </w:r>
      <w:r w:rsidRPr="006177E4">
        <w:t xml:space="preserve">ilustra al respecto con “privilegiar la comprensión integral de un fenómeno y se apoya en datos no numéricos para interpretar realidades complejas” (p.3). así mismo, </w:t>
      </w:r>
      <w:sdt>
        <w:sdtPr>
          <w:rPr>
            <w:color w:val="000000"/>
          </w:rPr>
          <w:tag w:val="MENDELEY_CITATION_v3_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"/>
          <w:id w:val="-1941986572"/>
          <w:placeholder>
            <w:docPart w:val="DefaultPlaceholder_-1854013440"/>
          </w:placeholder>
        </w:sdtPr>
        <w:sdtEndPr/>
        <w:sdtContent>
          <w:r w:rsidR="009A1775" w:rsidRPr="006177E4">
            <w:rPr>
              <w:color w:val="000000"/>
            </w:rPr>
            <w:t xml:space="preserve">Bernal </w:t>
          </w:r>
          <w:r w:rsidR="00465317">
            <w:rPr>
              <w:color w:val="000000"/>
            </w:rPr>
            <w:lastRenderedPageBreak/>
            <w:t>(</w:t>
          </w:r>
          <w:r w:rsidR="009A1775" w:rsidRPr="006177E4">
            <w:rPr>
              <w:color w:val="000000"/>
            </w:rPr>
            <w:t>2006)</w:t>
          </w:r>
        </w:sdtContent>
      </w:sdt>
      <w:r w:rsidRPr="006177E4">
        <w:t xml:space="preserve"> indica que el enfoque cualitativo permite examinar la naturaleza del objeto de estudio desde sus características y sentidos más que desde la medición estadística.</w:t>
      </w:r>
    </w:p>
    <w:p w14:paraId="42545373" w14:textId="023BA2A2" w:rsidR="00CC1C3F" w:rsidRPr="006177E4" w:rsidRDefault="00CC1C3F" w:rsidP="008C471E">
      <w:pPr>
        <w:pStyle w:val="PrrAPA"/>
      </w:pPr>
      <w:r w:rsidRPr="006177E4">
        <w:rPr>
          <w:rFonts w:eastAsia="Times New Roman"/>
        </w:rPr>
        <w:t>En esta investigación el enfoque cualitativo se justificó porque el problema de estudio se vinculó con la interpretación del artículo 580-1 del</w:t>
      </w:r>
      <w:r w:rsidR="00E92F0E" w:rsidRPr="006177E4">
        <w:rPr>
          <w:rFonts w:eastAsia="Times New Roman"/>
        </w:rPr>
        <w:t xml:space="preserve"> </w:t>
      </w:r>
      <w:sdt>
        <w:sdtPr>
          <w:rPr>
            <w:rFonts w:eastAsia="Times New Roman"/>
            <w:color w:val="000000"/>
          </w:rPr>
          <w:tag w:val="MENDELEY_CITATION_v3_eyJjaXRhdGlvbklEIjoiTUVOREVMRVlfQ0lUQVRJT05fYjg4N2NkMDktZWU0Ni00MGZiLThhYWMtYTZmOThhODVjMDY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37266006"/>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583989316"/>
              <w:placeholder>
                <w:docPart w:val="57990319C49B47A69FCF84DCEE1430DA"/>
              </w:placeholder>
            </w:sdtPr>
            <w:sdtEndPr/>
            <w:sdtContent>
              <w:r w:rsidR="00EA5A29" w:rsidRPr="00465317">
                <w:t>Decreto 624 (1989</w:t>
              </w:r>
              <w:r w:rsidR="00EA5A29" w:rsidRPr="006177E4">
                <w:rPr>
                  <w:color w:val="000000"/>
                </w:rPr>
                <w:t>)</w:t>
              </w:r>
            </w:sdtContent>
          </w:sdt>
        </w:sdtContent>
      </w:sdt>
      <w:r w:rsidRPr="006177E4">
        <w:rPr>
          <w:rFonts w:eastAsia="Times New Roman"/>
        </w:rPr>
        <w:t>, con la reconstrucción de sus modificaciones legales, con el examen de la doctrina oficial de la DIAN y con la lectura de la jurisprudencia constitucional y contencioso-administrativa sobre la declaración de retención en la fuente presentada sin pago total. Por ello, el enfoque fue incluido en el trabajo para interpretar cómo la regla de ineficacia operó jurídicamente, cuáles tensiones generó frente al deber formal de declarar y de pagar, y qué consecuencias produjo en la práctica administrativa de la administración tributaria.</w:t>
      </w:r>
    </w:p>
    <w:p w14:paraId="3812331A" w14:textId="77777777" w:rsidR="00CC1C3F" w:rsidRDefault="00CC1C3F" w:rsidP="008C471E">
      <w:pPr>
        <w:pStyle w:val="PrrAPA"/>
      </w:pPr>
      <w:r w:rsidRPr="006177E4">
        <w:t>Para el trabajo de investigación el enfoque cualitativo aplica en el análisis normativo, la revisión documental y las entrevistas a expertos.</w:t>
      </w:r>
    </w:p>
    <w:p w14:paraId="4867FBA4" w14:textId="77777777" w:rsidR="00F23BF9" w:rsidRPr="006177E4" w:rsidRDefault="00F23BF9" w:rsidP="00263B16">
      <w:pPr>
        <w:spacing w:line="480" w:lineRule="auto"/>
        <w:ind w:firstLine="567"/>
        <w:jc w:val="left"/>
        <w:rPr>
          <w:rFonts w:cs="Times New Roman"/>
          <w:szCs w:val="24"/>
        </w:rPr>
      </w:pPr>
    </w:p>
    <w:p w14:paraId="2D3F3B7F" w14:textId="11452A2C" w:rsidR="00CC1C3F" w:rsidRPr="006177E4" w:rsidRDefault="00CC1C3F" w:rsidP="00263B16">
      <w:pPr>
        <w:pStyle w:val="Ttulo2"/>
      </w:pPr>
      <w:bookmarkStart w:id="99" w:name="_Toc228250791"/>
      <w:bookmarkStart w:id="100" w:name="_Toc229077657"/>
      <w:r w:rsidRPr="006177E4">
        <w:t>Método de la investigación</w:t>
      </w:r>
      <w:bookmarkEnd w:id="99"/>
      <w:bookmarkEnd w:id="100"/>
    </w:p>
    <w:p w14:paraId="6DDA42D0" w14:textId="666A67A6" w:rsidR="00CC1C3F" w:rsidRPr="006177E4" w:rsidRDefault="00CC1C3F" w:rsidP="008C471E">
      <w:pPr>
        <w:pStyle w:val="PrrAPA"/>
      </w:pPr>
      <w:r w:rsidRPr="006177E4">
        <w:t xml:space="preserve">El método deductivo-inductivo articula dos movimientos complementarios del método científico. Por una parte, la deducción parte de postulados generales, por otra, la inducción parte de hechos particulares, es así como </w:t>
      </w:r>
      <w:sdt>
        <w:sdtPr>
          <w:rPr>
            <w:color w:val="000000"/>
          </w:rPr>
          <w:tag w:val="MENDELEY_CITATION_v3_eyJjaXRhdGlvbklEIjoiTUVOREVMRVlfQ0lUQVRJT05fYTI0NzkwNDYtOTBkNC00ZmNhLTk2MjgtODljY2M0ZjlmOWJl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
          <w:id w:val="-128776243"/>
          <w:placeholder>
            <w:docPart w:val="DefaultPlaceholder_-1854013440"/>
          </w:placeholder>
        </w:sdtPr>
        <w:sdtEndPr/>
        <w:sdtContent>
          <w:proofErr w:type="spellStart"/>
          <w:r w:rsidR="009A1775" w:rsidRPr="006177E4">
            <w:rPr>
              <w:rFonts w:eastAsia="Times New Roman"/>
              <w:color w:val="000000"/>
            </w:rPr>
            <w:t>Hernández</w:t>
          </w:r>
          <w:proofErr w:type="spellEnd"/>
          <w:r w:rsidR="009A1775" w:rsidRPr="006177E4">
            <w:rPr>
              <w:rFonts w:eastAsia="Times New Roman"/>
              <w:color w:val="000000"/>
            </w:rPr>
            <w:t xml:space="preserve"> et al </w:t>
          </w:r>
          <w:r w:rsidR="00EE60B0">
            <w:rPr>
              <w:rFonts w:eastAsia="Times New Roman"/>
              <w:color w:val="000000"/>
            </w:rPr>
            <w:t>(</w:t>
          </w:r>
          <w:r w:rsidR="009A1775" w:rsidRPr="006177E4">
            <w:rPr>
              <w:rFonts w:eastAsia="Times New Roman"/>
              <w:color w:val="000000"/>
            </w:rPr>
            <w:t>2018)</w:t>
          </w:r>
        </w:sdtContent>
      </w:sdt>
      <w:r w:rsidRPr="006177E4">
        <w:t xml:space="preserve"> reconocen que la investigación combina procesos de análisis que van de lo general a lo particular y de lo particular a lo general; así mismo, </w:t>
      </w:r>
      <w:sdt>
        <w:sdtPr>
          <w:rPr>
            <w:color w:val="000000"/>
          </w:rPr>
          <w:tag w:val="MENDELEY_CITATION_v3_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"/>
          <w:id w:val="765275082"/>
          <w:placeholder>
            <w:docPart w:val="DefaultPlaceholder_-1854013440"/>
          </w:placeholder>
        </w:sdtPr>
        <w:sdtEndPr/>
        <w:sdtContent>
          <w:r w:rsidR="009A1775" w:rsidRPr="006177E4">
            <w:rPr>
              <w:color w:val="000000"/>
            </w:rPr>
            <w:t>Bernal (2006)</w:t>
          </w:r>
        </w:sdtContent>
      </w:sdt>
      <w:r w:rsidR="00E92F0E" w:rsidRPr="006177E4">
        <w:t xml:space="preserve"> </w:t>
      </w:r>
      <w:r w:rsidRPr="006177E4">
        <w:t>destaca que el razonamiento científico puede integrar ambos sentidos para fortalecer la explicación del fenómeno estudiado.</w:t>
      </w:r>
    </w:p>
    <w:p w14:paraId="694210EF" w14:textId="3B655A58" w:rsidR="00CC1C3F" w:rsidRPr="006177E4" w:rsidRDefault="00CC1C3F" w:rsidP="008C471E">
      <w:pPr>
        <w:pStyle w:val="PrrAPA"/>
        <w:rPr>
          <w:rFonts w:eastAsia="Times New Roman"/>
        </w:rPr>
      </w:pPr>
      <w:r w:rsidRPr="006177E4">
        <w:rPr>
          <w:rFonts w:eastAsia="Times New Roman"/>
        </w:rPr>
        <w:t xml:space="preserve">Para la investigación, la dimensión deductiva partió del marco general del derecho tributario colombiano, particularmente de las reglas constitucionales y legales sobre la obligación tributaria </w:t>
      </w:r>
      <w:sdt>
        <w:sdtPr>
          <w:rPr>
            <w:rFonts w:eastAsia="Times New Roman"/>
            <w:color w:val="000000"/>
          </w:rPr>
          <w:tag w:val="MENDELEY_CITATION_v3_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"/>
          <w:id w:val="554974344"/>
          <w:placeholder>
            <w:docPart w:val="DefaultPlaceholder_-1854013440"/>
          </w:placeholder>
        </w:sdtPr>
        <w:sdtEndPr/>
        <w:sdtContent>
          <w:r w:rsidR="009A1775" w:rsidRPr="006177E4">
            <w:rPr>
              <w:rFonts w:eastAsia="Times New Roman"/>
              <w:color w:val="000000"/>
            </w:rPr>
            <w:t>Constitución Política de Colombia (art. 95), 1991)</w:t>
          </w:r>
        </w:sdtContent>
      </w:sdt>
      <w:r w:rsidR="00EE60B0">
        <w:rPr>
          <w:rFonts w:eastAsia="Times New Roman"/>
        </w:rPr>
        <w:t xml:space="preserve"> </w:t>
      </w:r>
      <w:r w:rsidRPr="006177E4">
        <w:rPr>
          <w:rFonts w:eastAsia="Times New Roman"/>
        </w:rPr>
        <w:t xml:space="preserve">la retención en la fuente y la eficacia de las declaraciones. Desde allí se descendió al análisis particular del artículo 580-1 </w:t>
      </w:r>
      <w:sdt>
        <w:sdtPr>
          <w:rPr>
            <w:rFonts w:eastAsia="Times New Roman"/>
            <w:color w:val="000000"/>
          </w:rPr>
          <w:tag w:val="MENDELEY_CITATION_v3_eyJjaXRhdGlvbklEIjoiTUVOREVMRVlfQ0lUQVRJT05fZmM3MGRlZmItNjJmYi00NDYyLTg0MDEtYTQxYTNmY2U5N2Fi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2133313950"/>
          <w:placeholder>
            <w:docPart w:val="DefaultPlaceholder_-1854013440"/>
          </w:placeholder>
        </w:sdtPr>
        <w:sdtEndPr/>
        <w:sdtContent>
          <w:sdt>
            <w:sdtPr>
              <w:rPr>
                <w:color w:val="000000"/>
              </w:rPr>
              <w:tag w:val="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920446320"/>
              <w:placeholder>
                <w:docPart w:val="144B5B47B7244E2893FC7757BEE2665C"/>
              </w:placeholder>
            </w:sdtPr>
            <w:sdtEndPr/>
            <w:sdtContent>
              <w:r w:rsidR="00EE60B0" w:rsidRPr="00465317">
                <w:t>Decreto 624 (1989</w:t>
              </w:r>
              <w:r w:rsidR="00EE60B0" w:rsidRPr="006177E4">
                <w:rPr>
                  <w:color w:val="000000"/>
                </w:rPr>
                <w:t>)</w:t>
              </w:r>
            </w:sdtContent>
          </w:sdt>
        </w:sdtContent>
      </w:sdt>
      <w:r w:rsidR="00EF7C3F" w:rsidRPr="006177E4">
        <w:rPr>
          <w:rFonts w:eastAsia="Times New Roman"/>
          <w:color w:val="000000"/>
        </w:rPr>
        <w:t xml:space="preserve"> </w:t>
      </w:r>
      <w:r w:rsidRPr="006177E4">
        <w:rPr>
          <w:rFonts w:eastAsia="Times New Roman"/>
        </w:rPr>
        <w:t>y de su aplicación al caso de los contribuyentes de la Administración de Impuestos de Ibagué.</w:t>
      </w:r>
    </w:p>
    <w:p w14:paraId="269085E8" w14:textId="37F44CEA" w:rsidR="00CC1C3F" w:rsidRPr="006177E4" w:rsidRDefault="00CC1C3F" w:rsidP="008C471E">
      <w:pPr>
        <w:pStyle w:val="PrrAPA"/>
        <w:rPr>
          <w:rFonts w:eastAsia="Times New Roman"/>
        </w:rPr>
      </w:pPr>
      <w:r w:rsidRPr="006177E4">
        <w:rPr>
          <w:rFonts w:eastAsia="Times New Roman"/>
        </w:rPr>
        <w:t>La dimensión inductiva se construyó a partir del análisis de fuentes normativas, jurisprudenciales y doctrinales sobre la ineficacia de las declaraciones de retención en la fuente. Se examinó especialmente el artículo 580-1 del</w:t>
      </w:r>
      <w:sdt>
        <w:sdtPr>
          <w:rPr>
            <w:rFonts w:eastAsia="Times New Roman"/>
            <w:color w:val="000000"/>
          </w:rPr>
          <w:tag w:val="MENDELEY_CITATION_v3_eyJjaXRhdGlvbklEIjoiTUVOREVMRVlfQ0lUQVRJT05fMjFjMTc0MGItOTYyMC00ZjEzLWJhNGYtYmMxYzhlZGM3ZjM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370120830"/>
          <w:placeholder>
            <w:docPart w:val="DefaultPlaceholder_-1854013440"/>
          </w:placeholder>
        </w:sdtPr>
        <w:sdtEndPr/>
        <w:sdtContent>
          <w:r w:rsidR="009A1775" w:rsidRPr="006177E4">
            <w:rPr>
              <w:rFonts w:eastAsia="Times New Roman"/>
              <w:color w:val="000000"/>
            </w:rPr>
            <w:t>(Estatuto Tributario, 1989)</w:t>
          </w:r>
        </w:sdtContent>
      </w:sdt>
      <w:r w:rsidRPr="006177E4">
        <w:rPr>
          <w:rFonts w:eastAsia="Times New Roman"/>
        </w:rPr>
        <w:t xml:space="preserve"> y sus reformas introducidas por las </w:t>
      </w:r>
      <w:r w:rsidR="00801628" w:rsidRPr="006177E4">
        <w:rPr>
          <w:rFonts w:eastAsia="Times New Roman"/>
        </w:rPr>
        <w:t>leyes</w:t>
      </w:r>
      <w:r w:rsidR="00801628" w:rsidRPr="006177E4">
        <w:t xml:space="preserve"> </w:t>
      </w:r>
      <w:sdt>
        <w:sdtPr>
          <w:rPr>
            <w:color w:val="000000"/>
          </w:rPr>
          <w:tag w:val="MENDELEY_CITATION_v3_eyJjaXRhdGlvbklEIjoiTUVOREVMRVlfQ0lUQVRJT05fOGRhOWM4YWEtMzkxNC00YzUxLTk1N2ItZGZmNGMyYjA5ZTYy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
          <w:id w:val="1052050615"/>
          <w:placeholder>
            <w:docPart w:val="41E10594264A4AE8B533A1F6916CA1A1"/>
          </w:placeholder>
        </w:sdtPr>
        <w:sdtEndPr/>
        <w:sdtContent>
          <w:r w:rsidR="009A1775" w:rsidRPr="006177E4">
            <w:rPr>
              <w:color w:val="000000"/>
            </w:rPr>
            <w:t>(Ley 1430, 2010)</w:t>
          </w:r>
        </w:sdtContent>
      </w:sdt>
      <w:r w:rsidR="00801628" w:rsidRPr="006177E4">
        <w:rPr>
          <w:color w:val="000000"/>
        </w:rPr>
        <w:t xml:space="preserve">, </w:t>
      </w:r>
      <w:sdt>
        <w:sdtPr>
          <w:rPr>
            <w:color w:val="000000"/>
          </w:rPr>
          <w:tag w:val="MENDELEY_CITATION_v3_eyJjaXRhdGlvbklEIjoiTUVOREVMRVlfQ0lUQVRJT05fMTFlNTE0YTUtNjRjYi00NjMzLTgwZDAtYjIyNjUwMzQ1ODc0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
          <w:id w:val="705451340"/>
          <w:placeholder>
            <w:docPart w:val="41E10594264A4AE8B533A1F6916CA1A1"/>
          </w:placeholder>
        </w:sdtPr>
        <w:sdtEndPr/>
        <w:sdtContent>
          <w:r w:rsidR="009A1775" w:rsidRPr="006177E4">
            <w:rPr>
              <w:color w:val="000000"/>
            </w:rPr>
            <w:t>(Ley 1819, 2016)</w:t>
          </w:r>
        </w:sdtContent>
      </w:sdt>
      <w:r w:rsidR="00801628" w:rsidRPr="006177E4">
        <w:rPr>
          <w:color w:val="000000"/>
        </w:rPr>
        <w:t>,</w:t>
      </w:r>
      <w:sdt>
        <w:sdtPr>
          <w:rPr>
            <w:color w:val="000000"/>
          </w:rPr>
          <w:tag w:val="MENDELEY_CITATION_v3_eyJjaXRhdGlvbklEIjoiTUVOREVMRVlfQ0lUQVRJT05fYzFkYTgwZDktYWU5OS00MjMzLWI2MDEtZGY0ZjlmZjFmMWQ5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
          <w:id w:val="-1538888263"/>
          <w:placeholder>
            <w:docPart w:val="41E10594264A4AE8B533A1F6916CA1A1"/>
          </w:placeholder>
        </w:sdtPr>
        <w:sdtEndPr/>
        <w:sdtContent>
          <w:r w:rsidR="009A1775" w:rsidRPr="006177E4">
            <w:rPr>
              <w:color w:val="000000"/>
            </w:rPr>
            <w:t>(Ley 2010 de 2019)</w:t>
          </w:r>
        </w:sdtContent>
      </w:sdt>
      <w:r w:rsidR="00801628" w:rsidRPr="006177E4">
        <w:rPr>
          <w:color w:val="000000"/>
        </w:rPr>
        <w:t>,</w:t>
      </w:r>
      <w:sdt>
        <w:sdtPr>
          <w:rPr>
            <w:color w:val="000000"/>
          </w:rPr>
          <w:tag w:val="MENDELEY_CITATION_v3_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MwMDQ1MDI4IiwiaXNzdWVkIjp7ImRhdGUtcGFydHMiOltbMjAyMl1dfSwibGFuZ3VhZ2UiOiJlcyIsImFic3RyYWN0IjoiQWRpY2lvbsOzIGVsIHBhcsOhZ3JhZm8gMyBkZWwgYXJ0w61jdWxvIDU4MC0xIGRlbCBFc3RhdHV0byBUcmlidXRhcmlvIHkgcmVndWzDsyBlbCBzdXB1ZXN0byBkZSBtZW5vciBjdWFudMOtYSBubyBzdXBlcmlvciBhIDEwIFVWVC4iLCJwdWJsaXNoZXIiOiJDb25ncmVzbyBkZSBsYSBSZXDDumJsaWNhIGRlIENvbG9tYmlhIn0sImlzVGVtcG9yYXJ5IjpmYWxzZX1dfQ=="/>
          <w:id w:val="-1417783562"/>
          <w:placeholder>
            <w:docPart w:val="41E10594264A4AE8B533A1F6916CA1A1"/>
          </w:placeholder>
        </w:sdtPr>
        <w:sdtEndPr/>
        <w:sdtContent>
          <w:r w:rsidR="009A1775" w:rsidRPr="006177E4">
            <w:rPr>
              <w:color w:val="000000"/>
            </w:rPr>
            <w:t xml:space="preserve">(Ley 2277 de </w:t>
          </w:r>
          <w:r w:rsidR="009A1775" w:rsidRPr="006177E4">
            <w:rPr>
              <w:color w:val="000000"/>
            </w:rPr>
            <w:lastRenderedPageBreak/>
            <w:t>2022</w:t>
          </w:r>
        </w:sdtContent>
      </w:sdt>
      <w:r w:rsidR="009E03D3" w:rsidRPr="006177E4">
        <w:rPr>
          <w:color w:val="000000"/>
        </w:rPr>
        <w:t>). También</w:t>
      </w:r>
      <w:r w:rsidRPr="006177E4">
        <w:rPr>
          <w:rFonts w:eastAsia="Times New Roman"/>
        </w:rPr>
        <w:t xml:space="preserve"> se estudiaron las sentencias </w:t>
      </w:r>
      <w:r w:rsidR="00801628" w:rsidRPr="006177E4">
        <w:rPr>
          <w:rFonts w:eastAsia="Times New Roman"/>
        </w:rPr>
        <w:t>(Sentencia C-102 de 2015</w:t>
      </w:r>
      <w:r w:rsidR="009E03D3" w:rsidRPr="006177E4">
        <w:rPr>
          <w:rFonts w:eastAsia="Times New Roman"/>
        </w:rPr>
        <w:t>), y</w:t>
      </w:r>
      <w:sdt>
        <w:sdtPr>
          <w:rPr>
            <w:rFonts w:eastAsia="Times New Roman"/>
            <w:color w:val="000000"/>
          </w:rPr>
          <w:tag w:val="MENDELEY_CITATION_v3_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"/>
          <w:id w:val="-296064079"/>
          <w:placeholder>
            <w:docPart w:val="DefaultPlaceholder_-1854013440"/>
          </w:placeholder>
        </w:sdtPr>
        <w:sdtEndPr/>
        <w:sdtContent>
          <w:r w:rsidR="009A1775" w:rsidRPr="006177E4">
            <w:rPr>
              <w:rFonts w:eastAsia="Times New Roman"/>
              <w:color w:val="000000"/>
            </w:rPr>
            <w:t>(Sentencia C-203 de 2021)</w:t>
          </w:r>
        </w:sdtContent>
      </w:sdt>
      <w:r w:rsidR="00801628" w:rsidRPr="006177E4">
        <w:rPr>
          <w:rFonts w:eastAsia="Times New Roman"/>
          <w:color w:val="000000"/>
        </w:rPr>
        <w:t xml:space="preserve"> </w:t>
      </w:r>
      <w:r w:rsidRPr="006177E4">
        <w:rPr>
          <w:rFonts w:eastAsia="Times New Roman"/>
        </w:rPr>
        <w:t>de la Corte Constitucional, así como la jurisprudencia del Consejo de Estado sobre la finalidad recaudatoria de esta figura. De igual manera, se revisó la doctrina oficial de la DIAN, en particular los Oficios 905545 de 2021</w:t>
      </w:r>
      <w:r w:rsidR="009E03D3" w:rsidRPr="006177E4">
        <w:rPr>
          <w:rFonts w:eastAsia="Times New Roman"/>
        </w:rPr>
        <w:t xml:space="preserve"> </w:t>
      </w:r>
      <w:sdt>
        <w:sdtPr>
          <w:rPr>
            <w:rFonts w:eastAsia="Times New Roman"/>
            <w:color w:val="000000"/>
          </w:rPr>
          <w:tag w:val="MENDELEY_CITATION_v3_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5MDU1NDVfMjAyMS5odG0iLCJpc3N1ZWQiOnsiZGF0ZS1wYXJ0cyI6W1syMDIxXV19LCJsYW5ndWFnZSI6ImVzIiwiYWJzdHJhY3QiOiJSZWl0ZXLDsyBxdWUgbm8gZXMgcG9zaWJsZSBjb3JyZWdpciB1bmEgZGVjbGFyYWNpw7NuIGRlIHJldGVuY2nDs24gZW4gbGEgZnVlbnRlIGluZWZpY2F6OyBkZWJlIHByZXNlbnRhcnNlIG51ZXZhbWVudGUgY29uIHBhZ28gdG90YWwsIHNhbmNpw7NuIHBvciBleHRlbXBvcmFuZWlkYWQgZSBpbnRlcmVzZXMuIiwicHVibGlzaGVyIjoiRElBTiJ9LCJpc1RlbXBvcmFyeSI6ZmFsc2V9XX0="/>
          <w:id w:val="749162692"/>
          <w:placeholder>
            <w:docPart w:val="DefaultPlaceholder_-1854013440"/>
          </w:placeholder>
        </w:sdtPr>
        <w:sdtEndPr/>
        <w:sdtContent>
          <w:r w:rsidR="009A1775" w:rsidRPr="006177E4">
            <w:rPr>
              <w:rFonts w:eastAsia="Times New Roman"/>
              <w:color w:val="000000"/>
            </w:rPr>
            <w:t>(DIAN, 2021b)</w:t>
          </w:r>
        </w:sdtContent>
      </w:sdt>
      <w:r w:rsidRPr="006177E4">
        <w:rPr>
          <w:rFonts w:eastAsia="Times New Roman"/>
        </w:rPr>
        <w:t xml:space="preserve"> y 4638 de 2023</w:t>
      </w:r>
      <w:r w:rsidR="009E03D3" w:rsidRPr="006177E4">
        <w:rPr>
          <w:rFonts w:eastAsia="Times New Roman"/>
        </w:rPr>
        <w:t xml:space="preserve"> </w:t>
      </w:r>
      <w:sdt>
        <w:sdtPr>
          <w:rPr>
            <w:rFonts w:eastAsia="Times New Roman"/>
            <w:color w:val="000000"/>
          </w:rPr>
          <w:tag w:val="MENDELEY_CITATION_v3_eyJjaXRhdGlvbklEIjoiTUVOREVMRVlfQ0lUQVRJT05fODU0MzhlN2MtODlkNS00NWNjLWFkZTktZjg3NTRmNzIwZjM0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
          <w:id w:val="-596090940"/>
          <w:placeholder>
            <w:docPart w:val="DefaultPlaceholder_-1854013440"/>
          </w:placeholder>
        </w:sdtPr>
        <w:sdtEndPr/>
        <w:sdtContent>
          <w:r w:rsidR="009A1775" w:rsidRPr="006177E4">
            <w:rPr>
              <w:rFonts w:eastAsia="Times New Roman"/>
              <w:color w:val="000000"/>
            </w:rPr>
            <w:t>(DIAN, 2023)</w:t>
          </w:r>
        </w:sdtContent>
      </w:sdt>
      <w:r w:rsidRPr="006177E4">
        <w:rPr>
          <w:rFonts w:eastAsia="Times New Roman"/>
        </w:rPr>
        <w:t>, sobre la improcedencia de corregir declaraciones ineficaces y su valor para el cobro administrativo.</w:t>
      </w:r>
    </w:p>
    <w:p w14:paraId="116DCA09" w14:textId="77777777" w:rsidR="00CC1C3F" w:rsidRDefault="00CC1C3F" w:rsidP="008C471E">
      <w:pPr>
        <w:pStyle w:val="PrrAPA"/>
        <w:rPr>
          <w:rFonts w:eastAsia="Times New Roman"/>
        </w:rPr>
      </w:pPr>
      <w:r w:rsidRPr="006177E4">
        <w:rPr>
          <w:rFonts w:eastAsia="Times New Roman"/>
        </w:rPr>
        <w:t>Con base en estas fuentes, se identificaron patrones normativos y operativos que permitieron explicar las causas, consecuencias y problemáticas de la ineficacia en el caso estudiado.</w:t>
      </w:r>
    </w:p>
    <w:p w14:paraId="6036C0F0" w14:textId="77777777" w:rsidR="00A7473F" w:rsidRPr="006177E4" w:rsidRDefault="00A7473F" w:rsidP="00263B16">
      <w:pPr>
        <w:spacing w:line="480" w:lineRule="auto"/>
        <w:ind w:firstLine="567"/>
        <w:jc w:val="left"/>
        <w:rPr>
          <w:rFonts w:eastAsia="Times New Roman" w:cs="Times New Roman"/>
          <w:szCs w:val="24"/>
        </w:rPr>
      </w:pPr>
    </w:p>
    <w:p w14:paraId="3BEC69F3" w14:textId="44AE5681" w:rsidR="00CC1C3F" w:rsidRPr="006177E4" w:rsidRDefault="005563B7" w:rsidP="00263B16">
      <w:pPr>
        <w:pStyle w:val="Ttulo2"/>
        <w:rPr>
          <w:rFonts w:eastAsiaTheme="minorHAnsi" w:cs="Times New Roman"/>
          <w:szCs w:val="24"/>
        </w:rPr>
      </w:pPr>
      <w:r w:rsidRPr="006177E4">
        <w:rPr>
          <w:rFonts w:cs="Times New Roman"/>
          <w:szCs w:val="24"/>
        </w:rPr>
        <w:t xml:space="preserve"> </w:t>
      </w:r>
      <w:bookmarkStart w:id="101" w:name="_Toc228250792"/>
      <w:bookmarkStart w:id="102" w:name="_Toc229077658"/>
      <w:r w:rsidR="00CC1C3F" w:rsidRPr="006177E4">
        <w:rPr>
          <w:rFonts w:cs="Times New Roman"/>
          <w:szCs w:val="24"/>
        </w:rPr>
        <w:t>Universo Investigación</w:t>
      </w:r>
      <w:bookmarkEnd w:id="101"/>
      <w:bookmarkEnd w:id="102"/>
    </w:p>
    <w:p w14:paraId="77A96F55" w14:textId="77777777" w:rsidR="00CC1C3F" w:rsidRPr="006177E4" w:rsidRDefault="00CC1C3F" w:rsidP="008C471E">
      <w:pPr>
        <w:pStyle w:val="PrrAPA"/>
      </w:pPr>
      <w:r w:rsidRPr="006177E4">
        <w:t>Los agentes retenedores en Colombia obligados a practicar, declarar y consignar la retención en la fuente en renta, en cuanto sujetos que podían incurrir en la presentación de declaraciones ineficaces por falta de pago total. Su inclusión como universo responde a que sobre este conjunto recae la posibilidad jurídica de incurrir en declaraciones ineficaces, así como las consecuencias derivadas de su incumplimiento frente a la administración tributaria.</w:t>
      </w:r>
    </w:p>
    <w:p w14:paraId="3A210AD6" w14:textId="3057EAEC" w:rsidR="00CC1C3F" w:rsidRPr="006177E4" w:rsidRDefault="00CC1C3F" w:rsidP="008C471E">
      <w:pPr>
        <w:pStyle w:val="PrrAPA"/>
      </w:pPr>
      <w:r w:rsidRPr="006177E4">
        <w:t>En cuanto a la Dirección Seccional de Impuestos y Aduanas de Ibagué, según informe TAC del 8 de septiembre de 2025, la Seccional tiene un registro de inscritos activos en el RUT de 598.581 contribuyentes</w:t>
      </w:r>
      <w:r w:rsidR="00AC607C">
        <w:t xml:space="preserve"> (41.097 son retenedores)</w:t>
      </w:r>
      <w:r w:rsidRPr="006177E4">
        <w:t>, distribuidos así:</w:t>
      </w:r>
    </w:p>
    <w:p w14:paraId="20A9906E" w14:textId="77777777" w:rsidR="00CC1C3F" w:rsidRPr="006177E4" w:rsidRDefault="00CC1C3F" w:rsidP="008C471E">
      <w:pPr>
        <w:pStyle w:val="PrrAPA"/>
      </w:pPr>
      <w:r w:rsidRPr="006177E4">
        <w:t xml:space="preserve"> Persona Natural - 559.769 contribuyentes - Participación 93,52%</w:t>
      </w:r>
    </w:p>
    <w:p w14:paraId="4A4C02C7" w14:textId="77777777" w:rsidR="00F52066" w:rsidRPr="006177E4" w:rsidRDefault="00CC1C3F" w:rsidP="008C471E">
      <w:pPr>
        <w:pStyle w:val="PrrAPA"/>
      </w:pPr>
      <w:r w:rsidRPr="006177E4">
        <w:t xml:space="preserve"> Persona Jurídica 38.812 contribuyentes - Participación 6,48%</w:t>
      </w:r>
    </w:p>
    <w:p w14:paraId="6DC16263" w14:textId="1138C78C" w:rsidR="00CC1C3F" w:rsidRPr="006177E4" w:rsidRDefault="00CC1C3F" w:rsidP="008C471E">
      <w:pPr>
        <w:pStyle w:val="PrrAPA"/>
      </w:pPr>
      <w:r w:rsidRPr="006177E4">
        <w:t>Fuente: Información institucional reportada por la Dirección Seccional de Impuestos y Aduanas de Ibagué y en el informe TAC del 8 de septiembre de 2025 y respuesta PQRSD 2026DP000094170 DIAN</w:t>
      </w:r>
    </w:p>
    <w:p w14:paraId="265D70C9" w14:textId="42FAB743" w:rsidR="00CC1C3F" w:rsidRPr="00C061BA" w:rsidRDefault="005563B7" w:rsidP="00263B16">
      <w:pPr>
        <w:pStyle w:val="Ttulo2"/>
      </w:pPr>
      <w:bookmarkStart w:id="103" w:name="_Toc228250793"/>
      <w:bookmarkStart w:id="104" w:name="_Toc229077659"/>
      <w:r w:rsidRPr="00C061BA">
        <w:t>Muestra</w:t>
      </w:r>
      <w:bookmarkEnd w:id="103"/>
      <w:bookmarkEnd w:id="104"/>
    </w:p>
    <w:p w14:paraId="69BC8351" w14:textId="5DBD06EA" w:rsidR="00CC1C3F" w:rsidRDefault="00CC1C3F" w:rsidP="008C471E">
      <w:pPr>
        <w:pStyle w:val="PrrAPA"/>
      </w:pPr>
      <w:r w:rsidRPr="006177E4">
        <w:t xml:space="preserve">La muestra de la investigación se concretó en los contribuyentes de Ibagué vinculados al fenómeno objeto de estudio, y se consultó a trece expertos, entre ellos funcionarios de la administración </w:t>
      </w:r>
      <w:r w:rsidR="00BD5895" w:rsidRPr="006177E4">
        <w:t>tributaria,</w:t>
      </w:r>
      <w:r w:rsidRPr="006177E4">
        <w:t xml:space="preserve"> así como contadores, revisores fiscales y docentes externos a la administración, sus impresiones frente a la figura de la ineficacia. Esta delimitación permitió centrar el estudio en un contexto específico de observación y garantizar coherencia entre el </w:t>
      </w:r>
      <w:r w:rsidRPr="006177E4">
        <w:lastRenderedPageBreak/>
        <w:t>problema planteado, los objetivos de la tesis y el escenario institucional de la administración de impuestos de Ibagué.</w:t>
      </w:r>
    </w:p>
    <w:p w14:paraId="091317C5" w14:textId="77777777" w:rsidR="00C061BA" w:rsidRPr="006177E4" w:rsidRDefault="00C061BA" w:rsidP="00263B16">
      <w:pPr>
        <w:spacing w:line="480" w:lineRule="auto"/>
        <w:ind w:firstLine="567"/>
        <w:jc w:val="left"/>
        <w:rPr>
          <w:rFonts w:cs="Times New Roman"/>
          <w:szCs w:val="24"/>
        </w:rPr>
      </w:pPr>
    </w:p>
    <w:p w14:paraId="0006B264" w14:textId="4F473D77" w:rsidR="00CC1C3F" w:rsidRPr="00C061BA" w:rsidRDefault="00BD5895" w:rsidP="00263B16">
      <w:pPr>
        <w:pStyle w:val="Ttulo2"/>
      </w:pPr>
      <w:r w:rsidRPr="00C061BA">
        <w:t xml:space="preserve"> </w:t>
      </w:r>
      <w:bookmarkStart w:id="105" w:name="_Toc228250794"/>
      <w:bookmarkStart w:id="106" w:name="_Toc229077660"/>
      <w:r w:rsidR="00CC1C3F" w:rsidRPr="00C061BA">
        <w:t>Técnicas</w:t>
      </w:r>
      <w:bookmarkEnd w:id="105"/>
      <w:bookmarkEnd w:id="106"/>
    </w:p>
    <w:p w14:paraId="1BF65263" w14:textId="3173F837" w:rsidR="00CC1C3F" w:rsidRPr="006177E4" w:rsidRDefault="00CC1C3F" w:rsidP="008C471E">
      <w:pPr>
        <w:pStyle w:val="PrrAPA"/>
      </w:pPr>
      <w:r w:rsidRPr="006177E4">
        <w:t xml:space="preserve">La técnica principal de recolección de información fue la revisión documental sistemática. </w:t>
      </w:r>
      <w:sdt>
        <w:sdtPr>
          <w:rPr>
            <w:color w:val="000000"/>
          </w:rPr>
          <w:tag w:val="MENDELEY_CITATION_v3_eyJjaXRhdGlvbklEIjoiTUVOREVMRVlfQ0lUQVRJT05fZTNmMTIwODEtNDllOS00NWFiLWJkNTEtOGY5N2Y5ZTNkMWRlIiwicHJvcGVydGllcyI6eyJub3RlSW5kZXgiOjB9LCJpc0VkaXRlZCI6ZmFsc2UsIm1hbnVhbE92ZXJyaWRlIjp7ImlzTWFudWFsbHlPdmVycmlkZGVuIjp0cnVlLCJjaXRlcHJvY1RleHQiOiIoSGVybmHMgW5kZXogU2FtcGllcmkgJiMzODsgTWVuZG96YSBUb3JyZXMsIDIwMTgpIiwibWFudWFsT3ZlcnJpZGVUZXh0IjoiKEhlcm5hzIFuZGV6IFNhbXBpZXJp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
          <w:id w:val="1913429385"/>
          <w:placeholder>
            <w:docPart w:val="DefaultPlaceholder_-1854013440"/>
          </w:placeholder>
        </w:sdtPr>
        <w:sdtEndPr/>
        <w:sdtContent>
          <w:r w:rsidR="009A1775" w:rsidRPr="006177E4">
            <w:rPr>
              <w:color w:val="000000"/>
            </w:rPr>
            <w:t>(</w:t>
          </w:r>
          <w:proofErr w:type="spellStart"/>
          <w:r w:rsidR="009A1775" w:rsidRPr="006177E4">
            <w:rPr>
              <w:color w:val="000000"/>
            </w:rPr>
            <w:t>Hernández</w:t>
          </w:r>
          <w:proofErr w:type="spellEnd"/>
          <w:r w:rsidR="00C061BA">
            <w:rPr>
              <w:color w:val="000000"/>
            </w:rPr>
            <w:t xml:space="preserve"> et al,</w:t>
          </w:r>
          <w:r w:rsidR="009A1775" w:rsidRPr="006177E4">
            <w:rPr>
              <w:color w:val="000000"/>
            </w:rPr>
            <w:t xml:space="preserve"> 2018)</w:t>
          </w:r>
        </w:sdtContent>
      </w:sdt>
      <w:r w:rsidR="00C061BA">
        <w:rPr>
          <w:color w:val="000000"/>
        </w:rPr>
        <w:t xml:space="preserve"> </w:t>
      </w:r>
      <w:r w:rsidRPr="006177E4">
        <w:t xml:space="preserve">plantearon que, en investigación cualitativa, la revisión de documentos y registros constituye una fuente valiosa para comprender fenómenos complejos; por su parte, </w:t>
      </w:r>
      <w:sdt>
        <w:sdtPr>
          <w:rPr>
            <w:color w:val="000000"/>
          </w:rPr>
          <w:tag w:val="MENDELEY_CITATION_v3_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"/>
          <w:id w:val="2071923162"/>
          <w:placeholder>
            <w:docPart w:val="DefaultPlaceholder_-1854013440"/>
          </w:placeholder>
        </w:sdtPr>
        <w:sdtEndPr/>
        <w:sdtContent>
          <w:r w:rsidR="009A1775" w:rsidRPr="006177E4">
            <w:rPr>
              <w:color w:val="000000"/>
            </w:rPr>
            <w:t xml:space="preserve">Bernal </w:t>
          </w:r>
          <w:r w:rsidR="00C061BA">
            <w:rPr>
              <w:color w:val="000000"/>
            </w:rPr>
            <w:t>(</w:t>
          </w:r>
          <w:r w:rsidR="009A1775" w:rsidRPr="006177E4">
            <w:rPr>
              <w:color w:val="000000"/>
            </w:rPr>
            <w:t>2006)</w:t>
          </w:r>
        </w:sdtContent>
      </w:sdt>
      <w:r w:rsidR="009B100B" w:rsidRPr="006177E4">
        <w:rPr>
          <w:color w:val="000000"/>
        </w:rPr>
        <w:t xml:space="preserve"> </w:t>
      </w:r>
      <w:r w:rsidRPr="006177E4">
        <w:t xml:space="preserve">sostuvo que el análisis documental permite examinar información existente para construir explicaciones fundamentadas. En aplicación de estos criterios, la tesis revisó </w:t>
      </w:r>
      <w:r w:rsidR="00390911" w:rsidRPr="006177E4">
        <w:t xml:space="preserve">cuarenta y siete documentos verificables, localizados en Google </w:t>
      </w:r>
      <w:proofErr w:type="spellStart"/>
      <w:r w:rsidR="00390911" w:rsidRPr="006177E4">
        <w:t>Books</w:t>
      </w:r>
      <w:proofErr w:type="spellEnd"/>
      <w:r w:rsidR="00390911" w:rsidRPr="006177E4">
        <w:t>, SUIN-</w:t>
      </w:r>
      <w:proofErr w:type="spellStart"/>
      <w:r w:rsidR="00390911" w:rsidRPr="006177E4">
        <w:t>Juriscol</w:t>
      </w:r>
      <w:proofErr w:type="spellEnd"/>
      <w:r w:rsidR="00390911" w:rsidRPr="006177E4">
        <w:t xml:space="preserve">, la Relatoría de la Corte Constitucional, el repositorio jurisprudencial del Consejo de Estado, el Normograma de la DIAN, </w:t>
      </w:r>
      <w:proofErr w:type="spellStart"/>
      <w:r w:rsidR="00390911" w:rsidRPr="006177E4">
        <w:t>Vlex</w:t>
      </w:r>
      <w:proofErr w:type="spellEnd"/>
      <w:r w:rsidR="00390911" w:rsidRPr="006177E4">
        <w:t xml:space="preserve">, el repositorio </w:t>
      </w:r>
      <w:proofErr w:type="spellStart"/>
      <w:r w:rsidR="00390911" w:rsidRPr="006177E4">
        <w:t>Bdigital</w:t>
      </w:r>
      <w:proofErr w:type="spellEnd"/>
      <w:r w:rsidR="00390911" w:rsidRPr="006177E4">
        <w:t xml:space="preserve"> de la Universidad Externado de Colombia y las plataformas editoriales de las revistas Revista de Derecho Fiscal y Apuntes Contables.</w:t>
      </w:r>
    </w:p>
    <w:p w14:paraId="53C37250" w14:textId="77777777" w:rsidR="00CC1C3F" w:rsidRDefault="00CC1C3F" w:rsidP="008C471E">
      <w:pPr>
        <w:pStyle w:val="PrrAPA"/>
      </w:pPr>
      <w:r w:rsidRPr="006177E4">
        <w:t>De ese conjunto</w:t>
      </w:r>
      <w:r w:rsidRPr="006177E4">
        <w:rPr>
          <w:b/>
          <w:bCs/>
        </w:rPr>
        <w:t xml:space="preserve">, </w:t>
      </w:r>
      <w:r w:rsidRPr="006177E4">
        <w:t>cuatro (4) fuentes correspondieron a literatura metodológica; diez (10) a normas constitucionales, tributarias, penales y reglamentarias directamente vinculadas con la configuración, evolución, efectos y excepciones de la ineficacia de las declaraciones de retención en la fuente; cinco (5) a sentencias de la Corte Constitucional; ocho (8) a providencias del Consejo de Estado y de la jurisdicción contencioso-administrativa relevantes para la línea jurisprudencial; once (11) a doctrina oficial de la DIAN; y diez (10) a antecedentes académicos especializados sobre retención en la fuente, cultura tributaria, procedimiento tributario, régimen sancionatorio e ineficacia de declaraciones.</w:t>
      </w:r>
    </w:p>
    <w:p w14:paraId="0C03CCDF" w14:textId="77777777" w:rsidR="00C061BA" w:rsidRPr="006177E4" w:rsidRDefault="00C061BA" w:rsidP="008C471E">
      <w:pPr>
        <w:pStyle w:val="PrrAPA"/>
      </w:pPr>
    </w:p>
    <w:p w14:paraId="0C054015" w14:textId="7F09E34C" w:rsidR="00CC1C3F" w:rsidRPr="00C061BA" w:rsidRDefault="00390911" w:rsidP="00263B16">
      <w:pPr>
        <w:pStyle w:val="Ttulo2"/>
      </w:pPr>
      <w:r w:rsidRPr="00C061BA">
        <w:t xml:space="preserve"> </w:t>
      </w:r>
      <w:bookmarkStart w:id="107" w:name="_Toc228250795"/>
      <w:bookmarkStart w:id="108" w:name="_Toc229077661"/>
      <w:r w:rsidR="00CC1C3F" w:rsidRPr="00C061BA">
        <w:t>Instrumentos</w:t>
      </w:r>
      <w:bookmarkEnd w:id="107"/>
      <w:bookmarkEnd w:id="108"/>
      <w:r w:rsidR="00CC1C3F" w:rsidRPr="00C061BA">
        <w:t xml:space="preserve"> </w:t>
      </w:r>
    </w:p>
    <w:p w14:paraId="40781103" w14:textId="77777777" w:rsidR="00CC1C3F" w:rsidRPr="006177E4" w:rsidRDefault="00CC1C3F" w:rsidP="008C471E">
      <w:pPr>
        <w:pStyle w:val="PrrAPA"/>
      </w:pPr>
      <w:r w:rsidRPr="006177E4">
        <w:t>El instrumento principal fue la matriz de revisión documental; la investigación se apoyó prioritariamente en la evidencia secundaria verificable, en donde se identificó la literatura y su aporte concreto a los objetivos de la investigación.</w:t>
      </w:r>
    </w:p>
    <w:p w14:paraId="59318072" w14:textId="597CBB79" w:rsidR="00CC1C3F" w:rsidRPr="006177E4" w:rsidRDefault="00CC1C3F" w:rsidP="008C471E">
      <w:pPr>
        <w:pStyle w:val="PrrAPA"/>
      </w:pPr>
      <w:r w:rsidRPr="006177E4">
        <w:t xml:space="preserve"> Este instrumento se incluyó porque permitió registrar, comparar y sintetizar las fuentes revisadas. La matriz incorporó las siguientes columnas: autor o entidad, año, tipo de fuente, referencia, base de datos o repositorio, resultado principal y aporte a la investigación. Su uso fue esencial para relacionar cada fuente con el objetivo específico al que aportó y para dejar </w:t>
      </w:r>
      <w:r w:rsidRPr="006177E4">
        <w:lastRenderedPageBreak/>
        <w:t xml:space="preserve">trazabilidad del análisis realizado, en esta se incluye el marco legal y la línea jurisprudencial que incide en la retención en la fuente y la ineficacia. Este instrumento es esencial para estudios tributarios documentales, porque permite explicar efectos jurídicos y operativos en el periodo analizado </w:t>
      </w:r>
      <w:sdt>
        <w:sdtPr>
          <w:rPr>
            <w:color w:val="000000"/>
          </w:rPr>
          <w:tag w:val="MENDELEY_CITATION_v3_eyJjaXRhdGlvbklEIjoiTUVOREVMRVlfQ0lUQVRJT05fMmM1MGMzYmEtMDdmZi00OWM1LTg5ZDEtZTIzOWZiNGYxN2Q2IiwicHJvcGVydGllcyI6eyJub3RlSW5kZXgiOjB9LCJpc0VkaXRlZCI6ZmFsc2UsIm1hbnVhbE92ZXJyaWRlIjp7ImlzTWFudWFsbHlPdmVycmlkZGVuIjp0cnVlLCJjaXRlcHJvY1RleHQiOiIoSGVybmHMgW5kZXogU2FtcGllcmkgJiMzODsgTWVuZG96YSBUb3JyZXMsIDIwMTgpIiwibWFudWFsT3ZlcnJpZGVUZXh0IjoiKEhlcm5hzIFuZGV6IFNhbXBpZXJp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
          <w:id w:val="-749115503"/>
          <w:placeholder>
            <w:docPart w:val="DefaultPlaceholder_-1854013440"/>
          </w:placeholder>
        </w:sdtPr>
        <w:sdtEndPr/>
        <w:sdtContent>
          <w:r w:rsidR="009A1775" w:rsidRPr="006177E4">
            <w:rPr>
              <w:color w:val="000000"/>
            </w:rPr>
            <w:t>(</w:t>
          </w:r>
          <w:proofErr w:type="spellStart"/>
          <w:r w:rsidR="009A1775" w:rsidRPr="006177E4">
            <w:rPr>
              <w:color w:val="000000"/>
            </w:rPr>
            <w:t>Hernández</w:t>
          </w:r>
          <w:proofErr w:type="spellEnd"/>
          <w:r w:rsidR="009A1775" w:rsidRPr="006177E4">
            <w:rPr>
              <w:color w:val="000000"/>
            </w:rPr>
            <w:t xml:space="preserve"> </w:t>
          </w:r>
          <w:r w:rsidR="00C061BA">
            <w:rPr>
              <w:color w:val="000000"/>
            </w:rPr>
            <w:t>et</w:t>
          </w:r>
          <w:r w:rsidR="007C2D69">
            <w:rPr>
              <w:color w:val="000000"/>
            </w:rPr>
            <w:t xml:space="preserve"> </w:t>
          </w:r>
          <w:r w:rsidR="00C061BA">
            <w:rPr>
              <w:color w:val="000000"/>
            </w:rPr>
            <w:t>al,</w:t>
          </w:r>
          <w:r w:rsidR="009A1775" w:rsidRPr="006177E4">
            <w:rPr>
              <w:color w:val="000000"/>
            </w:rPr>
            <w:t xml:space="preserve"> 2018)</w:t>
          </w:r>
        </w:sdtContent>
      </w:sdt>
    </w:p>
    <w:p w14:paraId="5B1985E1" w14:textId="1AA9E3DA" w:rsidR="00CC1C3F" w:rsidRDefault="00CC1C3F" w:rsidP="008C471E">
      <w:pPr>
        <w:pStyle w:val="PrrAPA"/>
      </w:pPr>
      <w:r w:rsidRPr="006177E4">
        <w:tab/>
        <w:t xml:space="preserve">Como parte del ejercicio académico, en la búsqueda de la información se enfatiza la normatividad asociada a la consagración de la ineficacia en la retención en la fuente, por lo que se sintetizan las principales normas en el siguiente gráfico y la glosa con el detalle se relacionan en el cuadro siguiente: </w:t>
      </w:r>
    </w:p>
    <w:p w14:paraId="10B725BA" w14:textId="77777777" w:rsidR="00BA3790" w:rsidRPr="006177E4" w:rsidRDefault="00BA3790" w:rsidP="00263B16">
      <w:pPr>
        <w:spacing w:line="480" w:lineRule="auto"/>
        <w:jc w:val="left"/>
        <w:rPr>
          <w:rFonts w:eastAsia="Times New Roman" w:cs="Times New Roman"/>
          <w:szCs w:val="24"/>
        </w:rPr>
      </w:pPr>
    </w:p>
    <w:p w14:paraId="3B8ECD5D" w14:textId="77777777" w:rsidR="004E1DC6" w:rsidRDefault="007C2D69" w:rsidP="00263B16">
      <w:pPr>
        <w:pStyle w:val="Descripcin"/>
        <w:spacing w:after="0" w:line="480" w:lineRule="auto"/>
        <w:rPr>
          <w:rFonts w:cs="Times New Roman"/>
          <w:b/>
          <w:bCs/>
          <w:i w:val="0"/>
          <w:iCs w:val="0"/>
          <w:szCs w:val="24"/>
        </w:rPr>
      </w:pPr>
      <w:bookmarkStart w:id="109" w:name="_Toc229077714"/>
      <w:r w:rsidRPr="007C2D69">
        <w:rPr>
          <w:b/>
          <w:bCs/>
          <w:i w:val="0"/>
          <w:iCs w:val="0"/>
        </w:rPr>
        <w:t xml:space="preserve">Figura  </w:t>
      </w:r>
      <w:r w:rsidRPr="007C2D69">
        <w:rPr>
          <w:b/>
          <w:bCs/>
          <w:i w:val="0"/>
          <w:iCs w:val="0"/>
        </w:rPr>
        <w:fldChar w:fldCharType="begin"/>
      </w:r>
      <w:r w:rsidRPr="007C2D69">
        <w:rPr>
          <w:b/>
          <w:bCs/>
          <w:i w:val="0"/>
          <w:iCs w:val="0"/>
        </w:rPr>
        <w:instrText xml:space="preserve"> SEQ Figura_ \* ARABIC </w:instrText>
      </w:r>
      <w:r w:rsidRPr="007C2D69">
        <w:rPr>
          <w:b/>
          <w:bCs/>
          <w:i w:val="0"/>
          <w:iCs w:val="0"/>
        </w:rPr>
        <w:fldChar w:fldCharType="separate"/>
      </w:r>
      <w:r w:rsidR="00F01079">
        <w:rPr>
          <w:b/>
          <w:bCs/>
          <w:i w:val="0"/>
          <w:iCs w:val="0"/>
          <w:noProof/>
        </w:rPr>
        <w:t>5</w:t>
      </w:r>
      <w:r w:rsidRPr="007C2D69">
        <w:rPr>
          <w:b/>
          <w:bCs/>
          <w:i w:val="0"/>
          <w:iCs w:val="0"/>
        </w:rPr>
        <w:fldChar w:fldCharType="end"/>
      </w:r>
      <w:r>
        <w:rPr>
          <w:rFonts w:cs="Times New Roman"/>
          <w:b/>
          <w:bCs/>
          <w:i w:val="0"/>
          <w:iCs w:val="0"/>
          <w:szCs w:val="24"/>
        </w:rPr>
        <w:t xml:space="preserve"> </w:t>
      </w:r>
    </w:p>
    <w:p w14:paraId="1F30CD2F" w14:textId="3DB09D49" w:rsidR="00CC1C3F" w:rsidRPr="007C2D69" w:rsidRDefault="00CC1C3F" w:rsidP="00263B16">
      <w:pPr>
        <w:pStyle w:val="Descripcin"/>
        <w:spacing w:after="0" w:line="480" w:lineRule="auto"/>
        <w:rPr>
          <w:rFonts w:cs="Times New Roman"/>
          <w:b/>
          <w:bCs/>
          <w:i w:val="0"/>
          <w:iCs w:val="0"/>
          <w:szCs w:val="24"/>
        </w:rPr>
      </w:pPr>
      <w:r w:rsidRPr="004E1DC6">
        <w:rPr>
          <w:rFonts w:cs="Times New Roman"/>
          <w:szCs w:val="24"/>
        </w:rPr>
        <w:t>Complemento matriz con normatividad</w:t>
      </w:r>
      <w:r w:rsidRPr="006177E4">
        <w:rPr>
          <w:rFonts w:cs="Times New Roman"/>
          <w:i w:val="0"/>
          <w:iCs w:val="0"/>
          <w:szCs w:val="24"/>
        </w:rPr>
        <w:t>.</w:t>
      </w:r>
      <w:bookmarkEnd w:id="109"/>
    </w:p>
    <w:p w14:paraId="2E3C3B13" w14:textId="467D81DD" w:rsidR="00CC1C3F" w:rsidRPr="006177E4" w:rsidRDefault="00CC1C3F" w:rsidP="00263B16">
      <w:pPr>
        <w:spacing w:line="480" w:lineRule="auto"/>
        <w:ind w:firstLine="425"/>
        <w:jc w:val="center"/>
        <w:rPr>
          <w:rFonts w:cs="Times New Roman"/>
          <w:szCs w:val="24"/>
        </w:rPr>
      </w:pPr>
      <w:r w:rsidRPr="006177E4">
        <w:rPr>
          <w:rFonts w:cs="Times New Roman"/>
          <w:noProof/>
          <w:szCs w:val="24"/>
          <w:lang w:eastAsia="es-CO"/>
        </w:rPr>
        <w:drawing>
          <wp:inline distT="0" distB="0" distL="0" distR="0" wp14:anchorId="02A6CC25" wp14:editId="323932F3">
            <wp:extent cx="5935980" cy="2225040"/>
            <wp:effectExtent l="0" t="0" r="762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35980" cy="2225040"/>
                    </a:xfrm>
                    <a:prstGeom prst="rect">
                      <a:avLst/>
                    </a:prstGeom>
                    <a:noFill/>
                    <a:ln>
                      <a:noFill/>
                    </a:ln>
                  </pic:spPr>
                </pic:pic>
              </a:graphicData>
            </a:graphic>
          </wp:inline>
        </w:drawing>
      </w:r>
    </w:p>
    <w:p w14:paraId="0BF8F098" w14:textId="1873D23D" w:rsidR="00CC1C3F" w:rsidRPr="006177E4" w:rsidRDefault="007C2D69" w:rsidP="00263B16">
      <w:pPr>
        <w:spacing w:line="480" w:lineRule="auto"/>
        <w:rPr>
          <w:rFonts w:eastAsia="Times New Roman" w:cs="Times New Roman"/>
          <w:szCs w:val="24"/>
        </w:rPr>
      </w:pPr>
      <w:r w:rsidRPr="007C2D69">
        <w:rPr>
          <w:rFonts w:eastAsia="Times New Roman" w:cs="Times New Roman"/>
          <w:i/>
          <w:iCs/>
          <w:szCs w:val="24"/>
        </w:rPr>
        <w:t>Nota</w:t>
      </w:r>
      <w:r>
        <w:rPr>
          <w:rFonts w:eastAsia="Times New Roman" w:cs="Times New Roman"/>
          <w:szCs w:val="24"/>
        </w:rPr>
        <w:t xml:space="preserve">. </w:t>
      </w:r>
      <w:r w:rsidR="00E27C5F">
        <w:rPr>
          <w:rFonts w:eastAsia="Times New Roman" w:cs="Times New Roman"/>
          <w:szCs w:val="24"/>
        </w:rPr>
        <w:t>E</w:t>
      </w:r>
      <w:r w:rsidR="00935527" w:rsidRPr="006177E4">
        <w:rPr>
          <w:rFonts w:eastAsia="Times New Roman" w:cs="Times New Roman"/>
          <w:szCs w:val="24"/>
        </w:rPr>
        <w:t>laboración</w:t>
      </w:r>
      <w:r w:rsidR="0059202D" w:rsidRPr="006177E4">
        <w:rPr>
          <w:rFonts w:eastAsia="Times New Roman" w:cs="Times New Roman"/>
          <w:szCs w:val="24"/>
        </w:rPr>
        <w:t xml:space="preserve"> propia</w:t>
      </w:r>
      <w:r>
        <w:rPr>
          <w:rFonts w:eastAsia="Times New Roman" w:cs="Times New Roman"/>
          <w:szCs w:val="24"/>
        </w:rPr>
        <w:t xml:space="preserve">. </w:t>
      </w:r>
      <w:r w:rsidR="0059202D" w:rsidRPr="006177E4">
        <w:rPr>
          <w:rFonts w:eastAsia="Times New Roman" w:cs="Times New Roman"/>
          <w:szCs w:val="24"/>
        </w:rPr>
        <w:t>(Acero y López, 2026)</w:t>
      </w:r>
      <w:r w:rsidR="00281800">
        <w:rPr>
          <w:rFonts w:eastAsia="Times New Roman" w:cs="Times New Roman"/>
          <w:szCs w:val="24"/>
        </w:rPr>
        <w:t xml:space="preserve"> apoyo IA</w:t>
      </w:r>
    </w:p>
    <w:p w14:paraId="7E51969D" w14:textId="77777777" w:rsidR="00935527" w:rsidRPr="006177E4" w:rsidRDefault="00935527" w:rsidP="00263B16">
      <w:pPr>
        <w:spacing w:line="480" w:lineRule="auto"/>
        <w:rPr>
          <w:rFonts w:eastAsia="Times New Roman" w:cs="Times New Roman"/>
          <w:szCs w:val="24"/>
        </w:rPr>
      </w:pPr>
    </w:p>
    <w:p w14:paraId="6832B110" w14:textId="3BC76425" w:rsidR="00CC1C3F" w:rsidRPr="006177E4" w:rsidRDefault="00CC1C3F" w:rsidP="008C471E">
      <w:pPr>
        <w:pStyle w:val="PrrAPA"/>
      </w:pPr>
      <w:r w:rsidRPr="006177E4">
        <w:t xml:space="preserve">La matriz de revisión </w:t>
      </w:r>
      <w:r w:rsidR="007C2D69" w:rsidRPr="006177E4">
        <w:t>documental</w:t>
      </w:r>
      <w:r w:rsidRPr="006177E4">
        <w:t xml:space="preserve"> presenta las fuentes consultadas y el principal aporte al trabajo de investigación:</w:t>
      </w:r>
    </w:p>
    <w:p w14:paraId="7BBF9557" w14:textId="77777777" w:rsidR="00CC1C3F" w:rsidRPr="006177E4" w:rsidRDefault="00CC1C3F" w:rsidP="00263B16">
      <w:pPr>
        <w:spacing w:line="480" w:lineRule="auto"/>
        <w:jc w:val="left"/>
        <w:rPr>
          <w:rFonts w:eastAsia="Times New Roman" w:cs="Times New Roman"/>
          <w:szCs w:val="24"/>
        </w:rPr>
        <w:sectPr w:rsidR="00CC1C3F" w:rsidRPr="006177E4" w:rsidSect="00F913E9">
          <w:pgSz w:w="12240" w:h="15840"/>
          <w:pgMar w:top="1440" w:right="1440" w:bottom="1440" w:left="1440" w:header="720" w:footer="720" w:gutter="0"/>
          <w:cols w:space="720"/>
        </w:sectPr>
      </w:pPr>
    </w:p>
    <w:p w14:paraId="35DA67EA" w14:textId="77777777" w:rsidR="004E1DC6" w:rsidRDefault="00C01B90" w:rsidP="00263B16">
      <w:pPr>
        <w:pStyle w:val="Descripcin"/>
        <w:spacing w:after="0" w:line="480" w:lineRule="auto"/>
        <w:rPr>
          <w:b/>
          <w:bCs/>
          <w:i w:val="0"/>
          <w:iCs w:val="0"/>
        </w:rPr>
      </w:pPr>
      <w:bookmarkStart w:id="110" w:name="_Toc229077704"/>
      <w:r w:rsidRPr="00C01B90">
        <w:rPr>
          <w:b/>
          <w:bCs/>
          <w:i w:val="0"/>
          <w:iCs w:val="0"/>
        </w:rPr>
        <w:lastRenderedPageBreak/>
        <w:t xml:space="preserve">Tabla </w:t>
      </w:r>
      <w:r w:rsidRPr="00C01B90">
        <w:rPr>
          <w:b/>
          <w:bCs/>
          <w:i w:val="0"/>
          <w:iCs w:val="0"/>
        </w:rPr>
        <w:fldChar w:fldCharType="begin"/>
      </w:r>
      <w:r w:rsidRPr="00C01B90">
        <w:rPr>
          <w:b/>
          <w:bCs/>
          <w:i w:val="0"/>
          <w:iCs w:val="0"/>
        </w:rPr>
        <w:instrText xml:space="preserve"> SEQ Tabla \* ARABIC </w:instrText>
      </w:r>
      <w:r w:rsidRPr="00C01B90">
        <w:rPr>
          <w:b/>
          <w:bCs/>
          <w:i w:val="0"/>
          <w:iCs w:val="0"/>
        </w:rPr>
        <w:fldChar w:fldCharType="separate"/>
      </w:r>
      <w:r w:rsidR="00D64F6E">
        <w:rPr>
          <w:b/>
          <w:bCs/>
          <w:i w:val="0"/>
          <w:iCs w:val="0"/>
          <w:noProof/>
        </w:rPr>
        <w:t>5</w:t>
      </w:r>
      <w:r w:rsidRPr="00C01B90">
        <w:rPr>
          <w:b/>
          <w:bCs/>
          <w:i w:val="0"/>
          <w:iCs w:val="0"/>
        </w:rPr>
        <w:fldChar w:fldCharType="end"/>
      </w:r>
      <w:r w:rsidR="00BA3790">
        <w:rPr>
          <w:b/>
          <w:bCs/>
          <w:i w:val="0"/>
          <w:iCs w:val="0"/>
        </w:rPr>
        <w:t xml:space="preserve"> </w:t>
      </w:r>
    </w:p>
    <w:p w14:paraId="15924277" w14:textId="05C6C759" w:rsidR="00CC1C3F" w:rsidRPr="004E1DC6" w:rsidRDefault="00CC1C3F" w:rsidP="00263B16">
      <w:pPr>
        <w:pStyle w:val="Descripcin"/>
        <w:spacing w:after="0" w:line="480" w:lineRule="auto"/>
        <w:rPr>
          <w:rFonts w:cs="Times New Roman"/>
          <w:b/>
          <w:bCs/>
          <w:szCs w:val="24"/>
        </w:rPr>
      </w:pPr>
      <w:r w:rsidRPr="004E1DC6">
        <w:rPr>
          <w:rFonts w:eastAsia="Times New Roman" w:cs="Times New Roman"/>
          <w:szCs w:val="24"/>
        </w:rPr>
        <w:t>Matriz de revisión documental</w:t>
      </w:r>
      <w:bookmarkEnd w:id="110"/>
    </w:p>
    <w:tbl>
      <w:tblPr>
        <w:tblStyle w:val="Tablaconcuadrculaclar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38"/>
        <w:gridCol w:w="1112"/>
        <w:gridCol w:w="1752"/>
        <w:gridCol w:w="3765"/>
        <w:gridCol w:w="1472"/>
        <w:gridCol w:w="1763"/>
        <w:gridCol w:w="1658"/>
      </w:tblGrid>
      <w:tr w:rsidR="00CC1C3F" w:rsidRPr="006177E4" w14:paraId="13EC4D91" w14:textId="77777777" w:rsidTr="00C01B90">
        <w:trPr>
          <w:trHeight w:val="273"/>
        </w:trPr>
        <w:tc>
          <w:tcPr>
            <w:tcW w:w="0" w:type="auto"/>
            <w:hideMark/>
          </w:tcPr>
          <w:p w14:paraId="270C8A33" w14:textId="77777777" w:rsidR="00CC1C3F" w:rsidRPr="006177E4" w:rsidRDefault="00CC1C3F" w:rsidP="00263B16">
            <w:pPr>
              <w:spacing w:line="480" w:lineRule="auto"/>
              <w:jc w:val="center"/>
              <w:rPr>
                <w:rFonts w:eastAsia="Times New Roman" w:cs="Times New Roman"/>
                <w:szCs w:val="24"/>
                <w:lang w:val="en-US"/>
              </w:rPr>
            </w:pPr>
            <w:r w:rsidRPr="006177E4">
              <w:rPr>
                <w:rFonts w:eastAsia="Times New Roman" w:cs="Times New Roman"/>
                <w:b/>
                <w:bCs/>
                <w:szCs w:val="24"/>
                <w:lang w:val="en-US"/>
              </w:rPr>
              <w:t>Autor</w:t>
            </w:r>
          </w:p>
        </w:tc>
        <w:tc>
          <w:tcPr>
            <w:tcW w:w="0" w:type="auto"/>
            <w:hideMark/>
          </w:tcPr>
          <w:p w14:paraId="271E9E7F" w14:textId="77777777" w:rsidR="00CC1C3F" w:rsidRPr="006177E4" w:rsidRDefault="00CC1C3F"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Año</w:t>
            </w:r>
            <w:proofErr w:type="spellEnd"/>
          </w:p>
        </w:tc>
        <w:tc>
          <w:tcPr>
            <w:tcW w:w="0" w:type="auto"/>
            <w:hideMark/>
          </w:tcPr>
          <w:p w14:paraId="5CB32B0D" w14:textId="77777777" w:rsidR="00CC1C3F" w:rsidRPr="006177E4" w:rsidRDefault="00CC1C3F" w:rsidP="00263B16">
            <w:pPr>
              <w:spacing w:line="480" w:lineRule="auto"/>
              <w:jc w:val="center"/>
              <w:rPr>
                <w:rFonts w:eastAsia="Times New Roman" w:cs="Times New Roman"/>
                <w:b/>
                <w:bCs/>
                <w:szCs w:val="24"/>
                <w:lang w:val="en-US"/>
              </w:rPr>
            </w:pPr>
            <w:r w:rsidRPr="006177E4">
              <w:rPr>
                <w:rFonts w:eastAsia="Times New Roman" w:cs="Times New Roman"/>
                <w:b/>
                <w:bCs/>
                <w:szCs w:val="24"/>
                <w:lang w:val="en-US"/>
              </w:rPr>
              <w:t xml:space="preserve">Tipo de </w:t>
            </w:r>
            <w:proofErr w:type="spellStart"/>
            <w:r w:rsidRPr="006177E4">
              <w:rPr>
                <w:rFonts w:eastAsia="Times New Roman" w:cs="Times New Roman"/>
                <w:b/>
                <w:bCs/>
                <w:szCs w:val="24"/>
                <w:lang w:val="en-US"/>
              </w:rPr>
              <w:t>fuente</w:t>
            </w:r>
            <w:proofErr w:type="spellEnd"/>
          </w:p>
        </w:tc>
        <w:tc>
          <w:tcPr>
            <w:tcW w:w="0" w:type="auto"/>
            <w:hideMark/>
          </w:tcPr>
          <w:p w14:paraId="60878569" w14:textId="77777777" w:rsidR="00CC1C3F" w:rsidRPr="006177E4" w:rsidRDefault="00CC1C3F"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Referencia</w:t>
            </w:r>
            <w:proofErr w:type="spellEnd"/>
            <w:r w:rsidRPr="006177E4">
              <w:rPr>
                <w:rFonts w:eastAsia="Times New Roman" w:cs="Times New Roman"/>
                <w:b/>
                <w:bCs/>
                <w:szCs w:val="24"/>
                <w:lang w:val="en-US"/>
              </w:rPr>
              <w:t xml:space="preserve"> APA 7</w:t>
            </w:r>
          </w:p>
        </w:tc>
        <w:tc>
          <w:tcPr>
            <w:tcW w:w="0" w:type="auto"/>
            <w:hideMark/>
          </w:tcPr>
          <w:p w14:paraId="4A15F85E" w14:textId="77777777" w:rsidR="00CC1C3F" w:rsidRPr="006177E4" w:rsidRDefault="00CC1C3F" w:rsidP="00263B16">
            <w:pPr>
              <w:spacing w:line="480" w:lineRule="auto"/>
              <w:jc w:val="center"/>
              <w:rPr>
                <w:rFonts w:eastAsia="Times New Roman" w:cs="Times New Roman"/>
                <w:b/>
                <w:bCs/>
                <w:szCs w:val="24"/>
              </w:rPr>
            </w:pPr>
            <w:r w:rsidRPr="006177E4">
              <w:rPr>
                <w:rFonts w:eastAsia="Times New Roman" w:cs="Times New Roman"/>
                <w:b/>
                <w:bCs/>
                <w:szCs w:val="24"/>
              </w:rPr>
              <w:t>Base de datos o repositorio</w:t>
            </w:r>
          </w:p>
        </w:tc>
        <w:tc>
          <w:tcPr>
            <w:tcW w:w="0" w:type="auto"/>
            <w:hideMark/>
          </w:tcPr>
          <w:p w14:paraId="47E60537" w14:textId="77777777" w:rsidR="00CC1C3F" w:rsidRPr="006177E4" w:rsidRDefault="00CC1C3F"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Resultado</w:t>
            </w:r>
            <w:proofErr w:type="spellEnd"/>
            <w:r w:rsidRPr="006177E4">
              <w:rPr>
                <w:rFonts w:eastAsia="Times New Roman" w:cs="Times New Roman"/>
                <w:b/>
                <w:bCs/>
                <w:szCs w:val="24"/>
                <w:lang w:val="en-US"/>
              </w:rPr>
              <w:t xml:space="preserve"> principal</w:t>
            </w:r>
          </w:p>
        </w:tc>
        <w:tc>
          <w:tcPr>
            <w:tcW w:w="0" w:type="auto"/>
            <w:hideMark/>
          </w:tcPr>
          <w:p w14:paraId="5E62EB5E" w14:textId="77777777" w:rsidR="00CC1C3F" w:rsidRPr="006177E4" w:rsidRDefault="00CC1C3F"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Aporte</w:t>
            </w:r>
            <w:proofErr w:type="spellEnd"/>
            <w:r w:rsidRPr="006177E4">
              <w:rPr>
                <w:rFonts w:eastAsia="Times New Roman" w:cs="Times New Roman"/>
                <w:b/>
                <w:bCs/>
                <w:szCs w:val="24"/>
                <w:lang w:val="en-US"/>
              </w:rPr>
              <w:t xml:space="preserve"> a la </w:t>
            </w:r>
            <w:proofErr w:type="spellStart"/>
            <w:r w:rsidRPr="006177E4">
              <w:rPr>
                <w:rFonts w:eastAsia="Times New Roman" w:cs="Times New Roman"/>
                <w:b/>
                <w:bCs/>
                <w:szCs w:val="24"/>
                <w:lang w:val="en-US"/>
              </w:rPr>
              <w:t>investigación</w:t>
            </w:r>
            <w:proofErr w:type="spellEnd"/>
          </w:p>
        </w:tc>
      </w:tr>
      <w:tr w:rsidR="00CC1C3F" w:rsidRPr="006177E4" w14:paraId="332A6131" w14:textId="77777777" w:rsidTr="00C01B90">
        <w:trPr>
          <w:trHeight w:val="864"/>
        </w:trPr>
        <w:tc>
          <w:tcPr>
            <w:tcW w:w="0" w:type="auto"/>
            <w:hideMark/>
          </w:tcPr>
          <w:p w14:paraId="6B68740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Hernández Sampieri, Roberto; Fernández Collado, Carlos; Baptista Lucio, Pilar</w:t>
            </w:r>
          </w:p>
        </w:tc>
        <w:tc>
          <w:tcPr>
            <w:tcW w:w="0" w:type="auto"/>
            <w:hideMark/>
          </w:tcPr>
          <w:p w14:paraId="21387E99"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2014</w:t>
            </w:r>
          </w:p>
        </w:tc>
        <w:tc>
          <w:tcPr>
            <w:tcW w:w="0" w:type="auto"/>
            <w:hideMark/>
          </w:tcPr>
          <w:p w14:paraId="0F5D7AD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Libro </w:t>
            </w:r>
            <w:proofErr w:type="spellStart"/>
            <w:r w:rsidRPr="006177E4">
              <w:rPr>
                <w:rFonts w:eastAsia="Times New Roman" w:cs="Times New Roman"/>
                <w:color w:val="000000"/>
                <w:szCs w:val="24"/>
                <w:lang w:val="en-US"/>
              </w:rPr>
              <w:t>metodológico</w:t>
            </w:r>
            <w:proofErr w:type="spellEnd"/>
          </w:p>
        </w:tc>
        <w:tc>
          <w:tcPr>
            <w:tcW w:w="0" w:type="auto"/>
            <w:hideMark/>
          </w:tcPr>
          <w:p w14:paraId="103E59F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Hernández Sampieri, R., Fernández Collado, C., &amp; Baptista Lucio, P. (2014). </w:t>
            </w:r>
            <w:proofErr w:type="spellStart"/>
            <w:r w:rsidRPr="006177E4">
              <w:rPr>
                <w:rFonts w:eastAsia="Times New Roman" w:cs="Times New Roman"/>
                <w:color w:val="000000"/>
                <w:szCs w:val="24"/>
                <w:lang w:val="en-US"/>
              </w:rPr>
              <w:t>Metodología</w:t>
            </w:r>
            <w:proofErr w:type="spellEnd"/>
            <w:r w:rsidRPr="006177E4">
              <w:rPr>
                <w:rFonts w:eastAsia="Times New Roman" w:cs="Times New Roman"/>
                <w:color w:val="000000"/>
                <w:szCs w:val="24"/>
                <w:lang w:val="en-US"/>
              </w:rPr>
              <w:t xml:space="preserve"> de la </w:t>
            </w:r>
            <w:proofErr w:type="spellStart"/>
            <w:r w:rsidRPr="006177E4">
              <w:rPr>
                <w:rFonts w:eastAsia="Times New Roman" w:cs="Times New Roman"/>
                <w:color w:val="000000"/>
                <w:szCs w:val="24"/>
                <w:lang w:val="en-US"/>
              </w:rPr>
              <w:t>investigación</w:t>
            </w:r>
            <w:proofErr w:type="spellEnd"/>
            <w:r w:rsidRPr="006177E4">
              <w:rPr>
                <w:rFonts w:eastAsia="Times New Roman" w:cs="Times New Roman"/>
                <w:color w:val="000000"/>
                <w:szCs w:val="24"/>
                <w:lang w:val="en-US"/>
              </w:rPr>
              <w:t xml:space="preserve"> (6.ª ed.). McGraw-Hill Education.</w:t>
            </w:r>
          </w:p>
        </w:tc>
        <w:tc>
          <w:tcPr>
            <w:tcW w:w="0" w:type="auto"/>
            <w:hideMark/>
          </w:tcPr>
          <w:p w14:paraId="430EBDC9"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Google Books</w:t>
            </w:r>
          </w:p>
        </w:tc>
        <w:tc>
          <w:tcPr>
            <w:tcW w:w="0" w:type="auto"/>
            <w:hideMark/>
          </w:tcPr>
          <w:p w14:paraId="2793AC6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Obra de referencia para definir enfoque, alcance, diseño e instrumentos de investigación.</w:t>
            </w:r>
          </w:p>
        </w:tc>
        <w:tc>
          <w:tcPr>
            <w:tcW w:w="0" w:type="auto"/>
            <w:hideMark/>
          </w:tcPr>
          <w:p w14:paraId="674A945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Sustentó el enfoque cualitativo, el alcance explicativo y la coherencia interna del marco metodológico.</w:t>
            </w:r>
          </w:p>
        </w:tc>
      </w:tr>
      <w:tr w:rsidR="00CC1C3F" w:rsidRPr="006177E4" w14:paraId="30BC87F0" w14:textId="77777777" w:rsidTr="00C01B90">
        <w:trPr>
          <w:trHeight w:val="576"/>
        </w:trPr>
        <w:tc>
          <w:tcPr>
            <w:tcW w:w="0" w:type="auto"/>
            <w:hideMark/>
          </w:tcPr>
          <w:p w14:paraId="7BDF717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Bernal Torres, </w:t>
            </w:r>
            <w:r w:rsidRPr="006177E4">
              <w:rPr>
                <w:rFonts w:eastAsia="Times New Roman" w:cs="Times New Roman"/>
                <w:color w:val="000000"/>
                <w:szCs w:val="24"/>
                <w:lang w:val="en-US"/>
              </w:rPr>
              <w:lastRenderedPageBreak/>
              <w:t>César Augusto</w:t>
            </w:r>
          </w:p>
        </w:tc>
        <w:tc>
          <w:tcPr>
            <w:tcW w:w="0" w:type="auto"/>
            <w:hideMark/>
          </w:tcPr>
          <w:p w14:paraId="4611965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2016</w:t>
            </w:r>
          </w:p>
        </w:tc>
        <w:tc>
          <w:tcPr>
            <w:tcW w:w="0" w:type="auto"/>
            <w:hideMark/>
          </w:tcPr>
          <w:p w14:paraId="2BC1377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Libro </w:t>
            </w:r>
            <w:proofErr w:type="spellStart"/>
            <w:r w:rsidRPr="006177E4">
              <w:rPr>
                <w:rFonts w:eastAsia="Times New Roman" w:cs="Times New Roman"/>
                <w:color w:val="000000"/>
                <w:szCs w:val="24"/>
                <w:lang w:val="en-US"/>
              </w:rPr>
              <w:t>metodológico</w:t>
            </w:r>
            <w:proofErr w:type="spellEnd"/>
          </w:p>
        </w:tc>
        <w:tc>
          <w:tcPr>
            <w:tcW w:w="0" w:type="auto"/>
            <w:hideMark/>
          </w:tcPr>
          <w:p w14:paraId="2E7A6C8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Bernal Torres, C. A. (2016). Metodología de la investigación: </w:t>
            </w:r>
            <w:r w:rsidRPr="006177E4">
              <w:rPr>
                <w:rFonts w:eastAsia="Times New Roman" w:cs="Times New Roman"/>
                <w:color w:val="000000"/>
                <w:szCs w:val="24"/>
              </w:rPr>
              <w:lastRenderedPageBreak/>
              <w:t xml:space="preserve">para administración, economía, humanidades y ciencias sociales (4.ª ed.). </w:t>
            </w:r>
            <w:r w:rsidRPr="006177E4">
              <w:rPr>
                <w:rFonts w:eastAsia="Times New Roman" w:cs="Times New Roman"/>
                <w:color w:val="000000"/>
                <w:szCs w:val="24"/>
                <w:lang w:val="en-US"/>
              </w:rPr>
              <w:t>Pearson.</w:t>
            </w:r>
          </w:p>
        </w:tc>
        <w:tc>
          <w:tcPr>
            <w:tcW w:w="0" w:type="auto"/>
            <w:hideMark/>
          </w:tcPr>
          <w:p w14:paraId="29A1969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Google Books</w:t>
            </w:r>
          </w:p>
        </w:tc>
        <w:tc>
          <w:tcPr>
            <w:tcW w:w="0" w:type="auto"/>
            <w:hideMark/>
          </w:tcPr>
          <w:p w14:paraId="371BC14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Desarrolla la investigación </w:t>
            </w:r>
            <w:r w:rsidRPr="006177E4">
              <w:rPr>
                <w:rFonts w:eastAsia="Times New Roman" w:cs="Times New Roman"/>
                <w:color w:val="000000"/>
                <w:szCs w:val="24"/>
              </w:rPr>
              <w:lastRenderedPageBreak/>
              <w:t>como proceso sistemático y fundamenta el uso de técnicas documentales.</w:t>
            </w:r>
          </w:p>
        </w:tc>
        <w:tc>
          <w:tcPr>
            <w:tcW w:w="0" w:type="auto"/>
            <w:hideMark/>
          </w:tcPr>
          <w:p w14:paraId="3ED29C2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Sirvió para justificar el </w:t>
            </w:r>
            <w:r w:rsidRPr="006177E4">
              <w:rPr>
                <w:rFonts w:eastAsia="Times New Roman" w:cs="Times New Roman"/>
                <w:color w:val="000000"/>
                <w:szCs w:val="24"/>
              </w:rPr>
              <w:lastRenderedPageBreak/>
              <w:t>carácter documental-explicativo y la organización del procedimiento de análisis.</w:t>
            </w:r>
          </w:p>
        </w:tc>
      </w:tr>
      <w:tr w:rsidR="00CC1C3F" w:rsidRPr="006177E4" w14:paraId="7DA767A8" w14:textId="77777777" w:rsidTr="00C01B90">
        <w:trPr>
          <w:trHeight w:val="576"/>
        </w:trPr>
        <w:tc>
          <w:tcPr>
            <w:tcW w:w="0" w:type="auto"/>
            <w:hideMark/>
          </w:tcPr>
          <w:p w14:paraId="4BB7D5E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Tamayo y Tamayo, Mario</w:t>
            </w:r>
          </w:p>
        </w:tc>
        <w:tc>
          <w:tcPr>
            <w:tcW w:w="0" w:type="auto"/>
            <w:hideMark/>
          </w:tcPr>
          <w:p w14:paraId="669514D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2001</w:t>
            </w:r>
          </w:p>
        </w:tc>
        <w:tc>
          <w:tcPr>
            <w:tcW w:w="0" w:type="auto"/>
            <w:hideMark/>
          </w:tcPr>
          <w:p w14:paraId="004C8E5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Libro </w:t>
            </w:r>
            <w:proofErr w:type="spellStart"/>
            <w:r w:rsidRPr="006177E4">
              <w:rPr>
                <w:rFonts w:eastAsia="Times New Roman" w:cs="Times New Roman"/>
                <w:color w:val="000000"/>
                <w:szCs w:val="24"/>
                <w:lang w:val="en-US"/>
              </w:rPr>
              <w:t>metodológico</w:t>
            </w:r>
            <w:proofErr w:type="spellEnd"/>
          </w:p>
        </w:tc>
        <w:tc>
          <w:tcPr>
            <w:tcW w:w="0" w:type="auto"/>
            <w:hideMark/>
          </w:tcPr>
          <w:p w14:paraId="13FD4F1D" w14:textId="40D54920"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Tamayo </w:t>
            </w:r>
            <w:r w:rsidR="00126190">
              <w:rPr>
                <w:rFonts w:eastAsia="Times New Roman" w:cs="Times New Roman"/>
                <w:color w:val="000000"/>
                <w:szCs w:val="24"/>
              </w:rPr>
              <w:t xml:space="preserve">y </w:t>
            </w:r>
            <w:r w:rsidRPr="006177E4">
              <w:rPr>
                <w:rFonts w:eastAsia="Times New Roman" w:cs="Times New Roman"/>
                <w:color w:val="000000"/>
                <w:szCs w:val="24"/>
              </w:rPr>
              <w:t xml:space="preserve">Tamayo, M. (2001). El proceso de la investigación científica. </w:t>
            </w:r>
            <w:proofErr w:type="spellStart"/>
            <w:r w:rsidRPr="006177E4">
              <w:rPr>
                <w:rFonts w:eastAsia="Times New Roman" w:cs="Times New Roman"/>
                <w:color w:val="000000"/>
                <w:szCs w:val="24"/>
                <w:lang w:val="en-US"/>
              </w:rPr>
              <w:t>Limusa</w:t>
            </w:r>
            <w:proofErr w:type="spellEnd"/>
            <w:r w:rsidRPr="006177E4">
              <w:rPr>
                <w:rFonts w:eastAsia="Times New Roman" w:cs="Times New Roman"/>
                <w:color w:val="000000"/>
                <w:szCs w:val="24"/>
                <w:lang w:val="en-US"/>
              </w:rPr>
              <w:t>.</w:t>
            </w:r>
          </w:p>
        </w:tc>
        <w:tc>
          <w:tcPr>
            <w:tcW w:w="0" w:type="auto"/>
            <w:hideMark/>
          </w:tcPr>
          <w:p w14:paraId="77D0C52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Google Books</w:t>
            </w:r>
          </w:p>
        </w:tc>
        <w:tc>
          <w:tcPr>
            <w:tcW w:w="0" w:type="auto"/>
            <w:hideMark/>
          </w:tcPr>
          <w:p w14:paraId="1F286B8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Concibe la investigación como proceso ordenado y verificable, con etapas definidas.</w:t>
            </w:r>
          </w:p>
        </w:tc>
        <w:tc>
          <w:tcPr>
            <w:tcW w:w="0" w:type="auto"/>
            <w:hideMark/>
          </w:tcPr>
          <w:p w14:paraId="6CB1D78F"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Apoyó la formulación de fases metodológicas y criterios de selección de fuentes.</w:t>
            </w:r>
          </w:p>
        </w:tc>
      </w:tr>
      <w:tr w:rsidR="00CC1C3F" w:rsidRPr="006177E4" w14:paraId="28924E5A" w14:textId="77777777" w:rsidTr="00C01B90">
        <w:trPr>
          <w:trHeight w:val="576"/>
        </w:trPr>
        <w:tc>
          <w:tcPr>
            <w:tcW w:w="0" w:type="auto"/>
            <w:hideMark/>
          </w:tcPr>
          <w:p w14:paraId="1A4088A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Vargas Beal, Xavier</w:t>
            </w:r>
          </w:p>
        </w:tc>
        <w:tc>
          <w:tcPr>
            <w:tcW w:w="0" w:type="auto"/>
            <w:hideMark/>
          </w:tcPr>
          <w:p w14:paraId="38C7227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2007</w:t>
            </w:r>
          </w:p>
        </w:tc>
        <w:tc>
          <w:tcPr>
            <w:tcW w:w="0" w:type="auto"/>
            <w:hideMark/>
          </w:tcPr>
          <w:p w14:paraId="4A813698"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Texto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metodológico</w:t>
            </w:r>
            <w:proofErr w:type="spellEnd"/>
          </w:p>
        </w:tc>
        <w:tc>
          <w:tcPr>
            <w:tcW w:w="0" w:type="auto"/>
            <w:hideMark/>
          </w:tcPr>
          <w:p w14:paraId="5A18547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Vargas Beal, X. (2007). ¿Cómo hacer investigación cualitativa? Una guía práctica para saber qué es la investigación en general y cómo hacerla, con énfasis en las etapas de la investigación cualitativa.</w:t>
            </w:r>
          </w:p>
        </w:tc>
        <w:tc>
          <w:tcPr>
            <w:tcW w:w="0" w:type="auto"/>
            <w:hideMark/>
          </w:tcPr>
          <w:p w14:paraId="726E0F22"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Repositorio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institucional</w:t>
            </w:r>
            <w:proofErr w:type="spellEnd"/>
            <w:r w:rsidRPr="006177E4">
              <w:rPr>
                <w:rFonts w:eastAsia="Times New Roman" w:cs="Times New Roman"/>
                <w:color w:val="000000"/>
                <w:szCs w:val="24"/>
                <w:lang w:val="en-US"/>
              </w:rPr>
              <w:t xml:space="preserve"> / PDF </w:t>
            </w:r>
            <w:proofErr w:type="spellStart"/>
            <w:r w:rsidRPr="006177E4">
              <w:rPr>
                <w:rFonts w:eastAsia="Times New Roman" w:cs="Times New Roman"/>
                <w:color w:val="000000"/>
                <w:szCs w:val="24"/>
                <w:lang w:val="en-US"/>
              </w:rPr>
              <w:t>institucional</w:t>
            </w:r>
            <w:proofErr w:type="spellEnd"/>
          </w:p>
        </w:tc>
        <w:tc>
          <w:tcPr>
            <w:tcW w:w="0" w:type="auto"/>
            <w:hideMark/>
          </w:tcPr>
          <w:p w14:paraId="03476F63"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Explica la lógica de las etapas de la investigación cualitativa y la relación entre problema, datos y análisis.</w:t>
            </w:r>
          </w:p>
        </w:tc>
        <w:tc>
          <w:tcPr>
            <w:tcW w:w="0" w:type="auto"/>
            <w:hideMark/>
          </w:tcPr>
          <w:p w14:paraId="6688C8F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Reforzó la articulación del diseño cualitativo y el uso de la matriz de revisión documental. </w:t>
            </w:r>
            <w:proofErr w:type="spellStart"/>
            <w:r w:rsidRPr="006177E4">
              <w:rPr>
                <w:rFonts w:eastAsia="Times New Roman" w:cs="Times New Roman"/>
                <w:color w:val="000000"/>
                <w:szCs w:val="24"/>
                <w:lang w:val="en-US"/>
              </w:rPr>
              <w:t>Verificación</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bibliográfica</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parcial</w:t>
            </w:r>
            <w:proofErr w:type="spellEnd"/>
            <w:r w:rsidRPr="006177E4">
              <w:rPr>
                <w:rFonts w:eastAsia="Times New Roman" w:cs="Times New Roman"/>
                <w:color w:val="000000"/>
                <w:szCs w:val="24"/>
                <w:lang w:val="en-US"/>
              </w:rPr>
              <w:t xml:space="preserve"> del editor.</w:t>
            </w:r>
          </w:p>
        </w:tc>
      </w:tr>
      <w:tr w:rsidR="00CC1C3F" w:rsidRPr="006177E4" w14:paraId="1100C3A4" w14:textId="77777777" w:rsidTr="00C01B90">
        <w:trPr>
          <w:trHeight w:val="576"/>
        </w:trPr>
        <w:tc>
          <w:tcPr>
            <w:tcW w:w="0" w:type="auto"/>
            <w:hideMark/>
          </w:tcPr>
          <w:p w14:paraId="0FD49A08"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Constitución</w:t>
            </w:r>
            <w:proofErr w:type="spellEnd"/>
            <w:r w:rsidRPr="006177E4">
              <w:rPr>
                <w:rFonts w:eastAsia="Times New Roman" w:cs="Times New Roman"/>
                <w:color w:val="000000"/>
                <w:szCs w:val="24"/>
                <w:lang w:val="en-US"/>
              </w:rPr>
              <w:t xml:space="preserve"> Política de Colombia</w:t>
            </w:r>
          </w:p>
        </w:tc>
        <w:tc>
          <w:tcPr>
            <w:tcW w:w="0" w:type="auto"/>
            <w:hideMark/>
          </w:tcPr>
          <w:p w14:paraId="6A25D56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1991</w:t>
            </w:r>
          </w:p>
        </w:tc>
        <w:tc>
          <w:tcPr>
            <w:tcW w:w="0" w:type="auto"/>
            <w:hideMark/>
          </w:tcPr>
          <w:p w14:paraId="2DCA1410" w14:textId="77777777" w:rsidR="0003439B"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Norma cons</w:t>
            </w:r>
          </w:p>
          <w:p w14:paraId="3EA366F3" w14:textId="77777777" w:rsidR="0003439B" w:rsidRDefault="0003439B" w:rsidP="00263B16">
            <w:pPr>
              <w:spacing w:line="480" w:lineRule="auto"/>
              <w:jc w:val="center"/>
              <w:rPr>
                <w:rFonts w:eastAsia="Times New Roman" w:cs="Times New Roman"/>
                <w:color w:val="000000"/>
                <w:szCs w:val="24"/>
                <w:lang w:val="en-US"/>
              </w:rPr>
            </w:pPr>
          </w:p>
          <w:p w14:paraId="4877FE72" w14:textId="3C70636F"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titucional</w:t>
            </w:r>
            <w:proofErr w:type="spellEnd"/>
          </w:p>
        </w:tc>
        <w:tc>
          <w:tcPr>
            <w:tcW w:w="0" w:type="auto"/>
            <w:hideMark/>
          </w:tcPr>
          <w:p w14:paraId="3E69403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Colombia. Asamblea Nacional Constituyente. (1991). Constitución Política de Colombia (art. 95).</w:t>
            </w:r>
          </w:p>
        </w:tc>
        <w:tc>
          <w:tcPr>
            <w:tcW w:w="0" w:type="auto"/>
            <w:hideMark/>
          </w:tcPr>
          <w:p w14:paraId="66D07D6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r w:rsidRPr="006177E4">
              <w:rPr>
                <w:rFonts w:eastAsia="Times New Roman" w:cs="Times New Roman"/>
                <w:color w:val="000000"/>
                <w:szCs w:val="24"/>
                <w:lang w:val="en-US"/>
              </w:rPr>
              <w:t xml:space="preserve"> / </w:t>
            </w:r>
            <w:proofErr w:type="spellStart"/>
            <w:r w:rsidRPr="006177E4">
              <w:rPr>
                <w:rFonts w:eastAsia="Times New Roman" w:cs="Times New Roman"/>
                <w:color w:val="000000"/>
                <w:szCs w:val="24"/>
                <w:lang w:val="en-US"/>
              </w:rPr>
              <w:t>texto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lastRenderedPageBreak/>
              <w:t>constitucional</w:t>
            </w:r>
            <w:proofErr w:type="spellEnd"/>
          </w:p>
        </w:tc>
        <w:tc>
          <w:tcPr>
            <w:tcW w:w="0" w:type="auto"/>
            <w:hideMark/>
          </w:tcPr>
          <w:p w14:paraId="6767BDF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Consagra el deber de contribuir al financiamiento </w:t>
            </w:r>
            <w:r w:rsidRPr="006177E4">
              <w:rPr>
                <w:rFonts w:eastAsia="Times New Roman" w:cs="Times New Roman"/>
                <w:color w:val="000000"/>
                <w:szCs w:val="24"/>
              </w:rPr>
              <w:lastRenderedPageBreak/>
              <w:t>de los gastos e inversiones del Estado dentro de conceptos de justicia y equidad.</w:t>
            </w:r>
          </w:p>
        </w:tc>
        <w:tc>
          <w:tcPr>
            <w:tcW w:w="0" w:type="auto"/>
            <w:hideMark/>
          </w:tcPr>
          <w:p w14:paraId="11EECB7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Aportó el fundamento constitucional del deber de </w:t>
            </w:r>
            <w:r w:rsidRPr="006177E4">
              <w:rPr>
                <w:rFonts w:eastAsia="Times New Roman" w:cs="Times New Roman"/>
                <w:color w:val="000000"/>
                <w:szCs w:val="24"/>
              </w:rPr>
              <w:lastRenderedPageBreak/>
              <w:t>contribuir y del deber de consignar las sumas retenidas.</w:t>
            </w:r>
          </w:p>
        </w:tc>
      </w:tr>
      <w:tr w:rsidR="00CC1C3F" w:rsidRPr="006177E4" w14:paraId="1CDA4ADE" w14:textId="77777777" w:rsidTr="00C01B90">
        <w:trPr>
          <w:trHeight w:val="576"/>
        </w:trPr>
        <w:tc>
          <w:tcPr>
            <w:tcW w:w="0" w:type="auto"/>
            <w:hideMark/>
          </w:tcPr>
          <w:p w14:paraId="655E2685"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Constitución</w:t>
            </w:r>
            <w:proofErr w:type="spellEnd"/>
            <w:r w:rsidRPr="006177E4">
              <w:rPr>
                <w:rFonts w:eastAsia="Times New Roman" w:cs="Times New Roman"/>
                <w:color w:val="000000"/>
                <w:szCs w:val="24"/>
                <w:lang w:val="en-US"/>
              </w:rPr>
              <w:t xml:space="preserve"> Política de Colombia</w:t>
            </w:r>
          </w:p>
        </w:tc>
        <w:tc>
          <w:tcPr>
            <w:tcW w:w="0" w:type="auto"/>
            <w:hideMark/>
          </w:tcPr>
          <w:p w14:paraId="67F8A224"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1991</w:t>
            </w:r>
          </w:p>
        </w:tc>
        <w:tc>
          <w:tcPr>
            <w:tcW w:w="0" w:type="auto"/>
            <w:hideMark/>
          </w:tcPr>
          <w:p w14:paraId="4871398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Norma </w:t>
            </w:r>
            <w:proofErr w:type="spellStart"/>
            <w:r w:rsidRPr="006177E4">
              <w:rPr>
                <w:rFonts w:eastAsia="Times New Roman" w:cs="Times New Roman"/>
                <w:color w:val="000000"/>
                <w:szCs w:val="24"/>
                <w:lang w:val="en-US"/>
              </w:rPr>
              <w:t>constitucional</w:t>
            </w:r>
            <w:proofErr w:type="spellEnd"/>
          </w:p>
        </w:tc>
        <w:tc>
          <w:tcPr>
            <w:tcW w:w="0" w:type="auto"/>
            <w:hideMark/>
          </w:tcPr>
          <w:p w14:paraId="3AB828C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Colombia. Asamblea Nacional Constituyente. (1991). Constitución Política de Colombia (art. 363).</w:t>
            </w:r>
          </w:p>
        </w:tc>
        <w:tc>
          <w:tcPr>
            <w:tcW w:w="0" w:type="auto"/>
            <w:hideMark/>
          </w:tcPr>
          <w:p w14:paraId="46018AD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r w:rsidRPr="006177E4">
              <w:rPr>
                <w:rFonts w:eastAsia="Times New Roman" w:cs="Times New Roman"/>
                <w:color w:val="000000"/>
                <w:szCs w:val="24"/>
                <w:lang w:val="en-US"/>
              </w:rPr>
              <w:t xml:space="preserve"> / </w:t>
            </w:r>
            <w:proofErr w:type="spellStart"/>
            <w:r w:rsidRPr="006177E4">
              <w:rPr>
                <w:rFonts w:eastAsia="Times New Roman" w:cs="Times New Roman"/>
                <w:color w:val="000000"/>
                <w:szCs w:val="24"/>
                <w:lang w:val="en-US"/>
              </w:rPr>
              <w:t>texto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constitucional</w:t>
            </w:r>
            <w:proofErr w:type="spellEnd"/>
          </w:p>
        </w:tc>
        <w:tc>
          <w:tcPr>
            <w:tcW w:w="0" w:type="auto"/>
            <w:hideMark/>
          </w:tcPr>
          <w:p w14:paraId="4437986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Define los principios de equidad, eficiencia y progresividad del sistema tributario.</w:t>
            </w:r>
          </w:p>
        </w:tc>
        <w:tc>
          <w:tcPr>
            <w:tcW w:w="0" w:type="auto"/>
            <w:hideMark/>
          </w:tcPr>
          <w:p w14:paraId="23DE291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Permitió valorar la razonabilidad de la ineficacia y de sus excepciones a la luz de los principios del </w:t>
            </w:r>
            <w:r w:rsidRPr="006177E4">
              <w:rPr>
                <w:rFonts w:eastAsia="Times New Roman" w:cs="Times New Roman"/>
                <w:color w:val="000000"/>
                <w:szCs w:val="24"/>
              </w:rPr>
              <w:lastRenderedPageBreak/>
              <w:t>sistema tributario.</w:t>
            </w:r>
          </w:p>
        </w:tc>
      </w:tr>
      <w:tr w:rsidR="00CC1C3F" w:rsidRPr="006177E4" w14:paraId="714869A7" w14:textId="77777777" w:rsidTr="00C01B90">
        <w:trPr>
          <w:trHeight w:val="864"/>
        </w:trPr>
        <w:tc>
          <w:tcPr>
            <w:tcW w:w="0" w:type="auto"/>
            <w:hideMark/>
          </w:tcPr>
          <w:p w14:paraId="7D76EA6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Congreso de la República de Colombia</w:t>
            </w:r>
          </w:p>
        </w:tc>
        <w:tc>
          <w:tcPr>
            <w:tcW w:w="0" w:type="auto"/>
            <w:hideMark/>
          </w:tcPr>
          <w:p w14:paraId="560A933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2010</w:t>
            </w:r>
          </w:p>
        </w:tc>
        <w:tc>
          <w:tcPr>
            <w:tcW w:w="0" w:type="auto"/>
            <w:hideMark/>
          </w:tcPr>
          <w:p w14:paraId="6EBF325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Ley</w:t>
            </w:r>
          </w:p>
        </w:tc>
        <w:tc>
          <w:tcPr>
            <w:tcW w:w="0" w:type="auto"/>
            <w:hideMark/>
          </w:tcPr>
          <w:p w14:paraId="37FB5A19"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Colombia. Congreso de la República. </w:t>
            </w:r>
            <w:r w:rsidRPr="006177E4">
              <w:rPr>
                <w:rFonts w:eastAsia="Times New Roman" w:cs="Times New Roman"/>
                <w:color w:val="000000"/>
                <w:szCs w:val="24"/>
                <w:lang w:val="en-US"/>
              </w:rPr>
              <w:t>(2010). Ley 1430 de 2010 (art. 15).</w:t>
            </w:r>
          </w:p>
        </w:tc>
        <w:tc>
          <w:tcPr>
            <w:tcW w:w="0" w:type="auto"/>
            <w:hideMark/>
          </w:tcPr>
          <w:p w14:paraId="40BC3BF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p>
        </w:tc>
        <w:tc>
          <w:tcPr>
            <w:tcW w:w="0" w:type="auto"/>
            <w:hideMark/>
          </w:tcPr>
          <w:p w14:paraId="10542B46"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Adicionó el artículo 580-1 del Estatuto Tributario y consagró la ineficacia de las declaraciones de retención en la fuente presentadas sin pago total.</w:t>
            </w:r>
          </w:p>
        </w:tc>
        <w:tc>
          <w:tcPr>
            <w:tcW w:w="0" w:type="auto"/>
            <w:hideMark/>
          </w:tcPr>
          <w:p w14:paraId="080CE20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Constituyó el antecedente legal directo de la figura estudiada.</w:t>
            </w:r>
          </w:p>
        </w:tc>
      </w:tr>
      <w:tr w:rsidR="00CC1C3F" w:rsidRPr="006177E4" w14:paraId="1087EA72" w14:textId="77777777" w:rsidTr="00C01B90">
        <w:trPr>
          <w:trHeight w:val="864"/>
        </w:trPr>
        <w:tc>
          <w:tcPr>
            <w:tcW w:w="0" w:type="auto"/>
            <w:hideMark/>
          </w:tcPr>
          <w:p w14:paraId="020A2B93"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Presidencia de la República </w:t>
            </w:r>
            <w:r w:rsidRPr="006177E4">
              <w:rPr>
                <w:rFonts w:eastAsia="Times New Roman" w:cs="Times New Roman"/>
                <w:color w:val="000000"/>
                <w:szCs w:val="24"/>
              </w:rPr>
              <w:lastRenderedPageBreak/>
              <w:t>de Colombia</w:t>
            </w:r>
          </w:p>
        </w:tc>
        <w:tc>
          <w:tcPr>
            <w:tcW w:w="0" w:type="auto"/>
            <w:hideMark/>
          </w:tcPr>
          <w:p w14:paraId="5B365C4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1989</w:t>
            </w:r>
          </w:p>
        </w:tc>
        <w:tc>
          <w:tcPr>
            <w:tcW w:w="0" w:type="auto"/>
            <w:hideMark/>
          </w:tcPr>
          <w:p w14:paraId="4F7EDA46"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Decreto</w:t>
            </w:r>
            <w:proofErr w:type="spellEnd"/>
            <w:r w:rsidRPr="006177E4">
              <w:rPr>
                <w:rFonts w:eastAsia="Times New Roman" w:cs="Times New Roman"/>
                <w:color w:val="000000"/>
                <w:szCs w:val="24"/>
                <w:lang w:val="en-US"/>
              </w:rPr>
              <w:t xml:space="preserve"> ley / </w:t>
            </w:r>
            <w:proofErr w:type="spellStart"/>
            <w:r w:rsidRPr="006177E4">
              <w:rPr>
                <w:rFonts w:eastAsia="Times New Roman" w:cs="Times New Roman"/>
                <w:color w:val="000000"/>
                <w:szCs w:val="24"/>
                <w:lang w:val="en-US"/>
              </w:rPr>
              <w:t>Estatuto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Tributario</w:t>
            </w:r>
            <w:proofErr w:type="spellEnd"/>
          </w:p>
        </w:tc>
        <w:tc>
          <w:tcPr>
            <w:tcW w:w="0" w:type="auto"/>
            <w:hideMark/>
          </w:tcPr>
          <w:p w14:paraId="50888F0A"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Colombia. Presidencia de la República. (1989). Decreto 624 de 1989, Estatuto Tributario (arts. </w:t>
            </w:r>
            <w:r w:rsidRPr="006177E4">
              <w:rPr>
                <w:rFonts w:eastAsia="Times New Roman" w:cs="Times New Roman"/>
                <w:color w:val="000000"/>
                <w:szCs w:val="24"/>
                <w:lang w:val="en-US"/>
              </w:rPr>
              <w:t xml:space="preserve">365, </w:t>
            </w:r>
            <w:r w:rsidRPr="006177E4">
              <w:rPr>
                <w:rFonts w:eastAsia="Times New Roman" w:cs="Times New Roman"/>
                <w:color w:val="000000"/>
                <w:szCs w:val="24"/>
                <w:lang w:val="en-US"/>
              </w:rPr>
              <w:lastRenderedPageBreak/>
              <w:t>367, 580-1, 606, 641, 643, 814, 823-843).</w:t>
            </w:r>
          </w:p>
        </w:tc>
        <w:tc>
          <w:tcPr>
            <w:tcW w:w="0" w:type="auto"/>
            <w:hideMark/>
          </w:tcPr>
          <w:p w14:paraId="21E443C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SUIN-</w:t>
            </w:r>
            <w:proofErr w:type="spellStart"/>
            <w:r w:rsidRPr="006177E4">
              <w:rPr>
                <w:rFonts w:eastAsia="Times New Roman" w:cs="Times New Roman"/>
                <w:color w:val="000000"/>
                <w:szCs w:val="24"/>
                <w:lang w:val="en-US"/>
              </w:rPr>
              <w:t>Juriscol</w:t>
            </w:r>
            <w:proofErr w:type="spellEnd"/>
          </w:p>
        </w:tc>
        <w:tc>
          <w:tcPr>
            <w:tcW w:w="0" w:type="auto"/>
            <w:hideMark/>
          </w:tcPr>
          <w:p w14:paraId="4D091EA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Contiene las disposiciones estructurales </w:t>
            </w:r>
            <w:r w:rsidRPr="006177E4">
              <w:rPr>
                <w:rFonts w:eastAsia="Times New Roman" w:cs="Times New Roman"/>
                <w:color w:val="000000"/>
                <w:szCs w:val="24"/>
              </w:rPr>
              <w:lastRenderedPageBreak/>
              <w:t>sobre obligación de retener, agente retenedor, periodicidad, sanciones, facilidades de pago y cobro coactivo, además del artículo 580-1.</w:t>
            </w:r>
          </w:p>
        </w:tc>
        <w:tc>
          <w:tcPr>
            <w:tcW w:w="0" w:type="auto"/>
            <w:hideMark/>
          </w:tcPr>
          <w:p w14:paraId="71E8F18F"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Permitió analizar integralmente </w:t>
            </w:r>
            <w:r w:rsidRPr="006177E4">
              <w:rPr>
                <w:rFonts w:eastAsia="Times New Roman" w:cs="Times New Roman"/>
                <w:color w:val="000000"/>
                <w:szCs w:val="24"/>
              </w:rPr>
              <w:lastRenderedPageBreak/>
              <w:t>la ineficacia, sus consecuencias sancionatorias y su relación con el cobro coactivo.</w:t>
            </w:r>
          </w:p>
        </w:tc>
      </w:tr>
      <w:tr w:rsidR="00CC1C3F" w:rsidRPr="006177E4" w14:paraId="601B7309" w14:textId="77777777" w:rsidTr="00C01B90">
        <w:trPr>
          <w:trHeight w:val="288"/>
        </w:trPr>
        <w:tc>
          <w:tcPr>
            <w:tcW w:w="0" w:type="auto"/>
            <w:hideMark/>
          </w:tcPr>
          <w:p w14:paraId="4939D5A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Congreso de la República de Colombia</w:t>
            </w:r>
          </w:p>
        </w:tc>
        <w:tc>
          <w:tcPr>
            <w:tcW w:w="0" w:type="auto"/>
            <w:hideMark/>
          </w:tcPr>
          <w:p w14:paraId="4AC74BE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2016</w:t>
            </w:r>
          </w:p>
        </w:tc>
        <w:tc>
          <w:tcPr>
            <w:tcW w:w="0" w:type="auto"/>
            <w:hideMark/>
          </w:tcPr>
          <w:p w14:paraId="5AB6BE2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Ley</w:t>
            </w:r>
          </w:p>
        </w:tc>
        <w:tc>
          <w:tcPr>
            <w:tcW w:w="0" w:type="auto"/>
            <w:hideMark/>
          </w:tcPr>
          <w:p w14:paraId="2FA96F4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Colombia. Congreso de la República. </w:t>
            </w:r>
            <w:r w:rsidRPr="006177E4">
              <w:rPr>
                <w:rFonts w:eastAsia="Times New Roman" w:cs="Times New Roman"/>
                <w:color w:val="000000"/>
                <w:szCs w:val="24"/>
                <w:lang w:val="en-US"/>
              </w:rPr>
              <w:t>(2016). Ley 1819 de 2016 (art. 271).</w:t>
            </w:r>
          </w:p>
        </w:tc>
        <w:tc>
          <w:tcPr>
            <w:tcW w:w="0" w:type="auto"/>
            <w:hideMark/>
          </w:tcPr>
          <w:p w14:paraId="121DD3FA"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p>
        </w:tc>
        <w:tc>
          <w:tcPr>
            <w:tcW w:w="0" w:type="auto"/>
            <w:hideMark/>
          </w:tcPr>
          <w:p w14:paraId="1D59DC9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Modificó el parágrafo 1 del artículo 580-1 del Estatuto Tributario.</w:t>
            </w:r>
          </w:p>
        </w:tc>
        <w:tc>
          <w:tcPr>
            <w:tcW w:w="0" w:type="auto"/>
            <w:hideMark/>
          </w:tcPr>
          <w:p w14:paraId="1B712EC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Sirvió para reconstruir la evolución normativa de la ineficacia y </w:t>
            </w:r>
            <w:r w:rsidRPr="006177E4">
              <w:rPr>
                <w:rFonts w:eastAsia="Times New Roman" w:cs="Times New Roman"/>
                <w:color w:val="000000"/>
                <w:szCs w:val="24"/>
              </w:rPr>
              <w:lastRenderedPageBreak/>
              <w:t>sus reglas exceptivas.</w:t>
            </w:r>
          </w:p>
        </w:tc>
      </w:tr>
      <w:tr w:rsidR="00CC1C3F" w:rsidRPr="006177E4" w14:paraId="608EC6F0" w14:textId="77777777" w:rsidTr="00C01B90">
        <w:trPr>
          <w:trHeight w:val="864"/>
        </w:trPr>
        <w:tc>
          <w:tcPr>
            <w:tcW w:w="0" w:type="auto"/>
            <w:hideMark/>
          </w:tcPr>
          <w:p w14:paraId="181900B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Congreso de la República de Colombia</w:t>
            </w:r>
          </w:p>
        </w:tc>
        <w:tc>
          <w:tcPr>
            <w:tcW w:w="0" w:type="auto"/>
            <w:hideMark/>
          </w:tcPr>
          <w:p w14:paraId="123CCA7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2019</w:t>
            </w:r>
          </w:p>
        </w:tc>
        <w:tc>
          <w:tcPr>
            <w:tcW w:w="0" w:type="auto"/>
            <w:hideMark/>
          </w:tcPr>
          <w:p w14:paraId="412FFF3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Ley</w:t>
            </w:r>
          </w:p>
        </w:tc>
        <w:tc>
          <w:tcPr>
            <w:tcW w:w="0" w:type="auto"/>
            <w:hideMark/>
          </w:tcPr>
          <w:p w14:paraId="695F8FF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Colombia. Congreso de la República. </w:t>
            </w:r>
            <w:r w:rsidRPr="006177E4">
              <w:rPr>
                <w:rFonts w:eastAsia="Times New Roman" w:cs="Times New Roman"/>
                <w:color w:val="000000"/>
                <w:szCs w:val="24"/>
                <w:lang w:val="en-US"/>
              </w:rPr>
              <w:t>(2019). Ley 2010 de 2019 (art. 101).</w:t>
            </w:r>
          </w:p>
        </w:tc>
        <w:tc>
          <w:tcPr>
            <w:tcW w:w="0" w:type="auto"/>
            <w:hideMark/>
          </w:tcPr>
          <w:p w14:paraId="1223CC0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p>
        </w:tc>
        <w:tc>
          <w:tcPr>
            <w:tcW w:w="0" w:type="auto"/>
            <w:hideMark/>
          </w:tcPr>
          <w:p w14:paraId="025710B3"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Modificó el inciso 5 del artículo 580-1 del Estatuto Tributario e incorporó de forma expresa el mérito ejecutivo de la declaración inicialmente presentada.</w:t>
            </w:r>
          </w:p>
        </w:tc>
        <w:tc>
          <w:tcPr>
            <w:tcW w:w="0" w:type="auto"/>
            <w:hideMark/>
          </w:tcPr>
          <w:p w14:paraId="6128429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Fue clave para explicar la doble dimensión de la declaración ineficaz: ineficaz para el agente </w:t>
            </w:r>
            <w:proofErr w:type="gramStart"/>
            <w:r w:rsidRPr="006177E4">
              <w:rPr>
                <w:rFonts w:eastAsia="Times New Roman" w:cs="Times New Roman"/>
                <w:color w:val="000000"/>
                <w:szCs w:val="24"/>
              </w:rPr>
              <w:t>retenedor</w:t>
            </w:r>
            <w:proofErr w:type="gramEnd"/>
            <w:r w:rsidRPr="006177E4">
              <w:rPr>
                <w:rFonts w:eastAsia="Times New Roman" w:cs="Times New Roman"/>
                <w:color w:val="000000"/>
                <w:szCs w:val="24"/>
              </w:rPr>
              <w:t xml:space="preserve"> pero título ejecutivo para la administración.</w:t>
            </w:r>
          </w:p>
        </w:tc>
      </w:tr>
      <w:tr w:rsidR="00CC1C3F" w:rsidRPr="006177E4" w14:paraId="24E2129A" w14:textId="77777777" w:rsidTr="00C01B90">
        <w:trPr>
          <w:trHeight w:val="576"/>
        </w:trPr>
        <w:tc>
          <w:tcPr>
            <w:tcW w:w="0" w:type="auto"/>
            <w:hideMark/>
          </w:tcPr>
          <w:p w14:paraId="6072C53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Ministerio de Hacienda y Crédito Público</w:t>
            </w:r>
          </w:p>
        </w:tc>
        <w:tc>
          <w:tcPr>
            <w:tcW w:w="0" w:type="auto"/>
            <w:hideMark/>
          </w:tcPr>
          <w:p w14:paraId="2E05D67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2016</w:t>
            </w:r>
          </w:p>
        </w:tc>
        <w:tc>
          <w:tcPr>
            <w:tcW w:w="0" w:type="auto"/>
            <w:hideMark/>
          </w:tcPr>
          <w:p w14:paraId="3102094C"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Decreto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reglamentario</w:t>
            </w:r>
            <w:proofErr w:type="spellEnd"/>
          </w:p>
        </w:tc>
        <w:tc>
          <w:tcPr>
            <w:tcW w:w="0" w:type="auto"/>
            <w:hideMark/>
          </w:tcPr>
          <w:p w14:paraId="362B6F9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Colombia. Ministerio de Hacienda y Crédito Público. (2016). Decreto 1625 de 2016, Decreto Único Reglamentario en Materia Tributaria.</w:t>
            </w:r>
          </w:p>
        </w:tc>
        <w:tc>
          <w:tcPr>
            <w:tcW w:w="0" w:type="auto"/>
            <w:hideMark/>
          </w:tcPr>
          <w:p w14:paraId="3B63E80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SUIN-</w:t>
            </w:r>
            <w:proofErr w:type="spellStart"/>
            <w:r w:rsidRPr="006177E4">
              <w:rPr>
                <w:rFonts w:eastAsia="Times New Roman" w:cs="Times New Roman"/>
                <w:color w:val="000000"/>
                <w:szCs w:val="24"/>
              </w:rPr>
              <w:t>Juriscol</w:t>
            </w:r>
            <w:proofErr w:type="spellEnd"/>
            <w:r w:rsidRPr="006177E4">
              <w:rPr>
                <w:rFonts w:eastAsia="Times New Roman" w:cs="Times New Roman"/>
                <w:color w:val="000000"/>
                <w:szCs w:val="24"/>
              </w:rPr>
              <w:t xml:space="preserve"> / referencia doctrinal DIAN</w:t>
            </w:r>
          </w:p>
        </w:tc>
        <w:tc>
          <w:tcPr>
            <w:tcW w:w="0" w:type="auto"/>
            <w:hideMark/>
          </w:tcPr>
          <w:p w14:paraId="02C9A3B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Compila la regulación reglamentaria sobre plazos y aspectos operativos de cumplimiento tributario.</w:t>
            </w:r>
          </w:p>
        </w:tc>
        <w:tc>
          <w:tcPr>
            <w:tcW w:w="0" w:type="auto"/>
            <w:hideMark/>
          </w:tcPr>
          <w:p w14:paraId="0C9AACC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Aportó el soporte reglamentario para la interpretación práctica de los plazos de declaración y pago vinculados con la eficacia de la declaración.</w:t>
            </w:r>
          </w:p>
        </w:tc>
      </w:tr>
      <w:tr w:rsidR="00CC1C3F" w:rsidRPr="006177E4" w14:paraId="3645D07C" w14:textId="77777777" w:rsidTr="00C01B90">
        <w:trPr>
          <w:trHeight w:val="576"/>
        </w:trPr>
        <w:tc>
          <w:tcPr>
            <w:tcW w:w="0" w:type="auto"/>
            <w:hideMark/>
          </w:tcPr>
          <w:p w14:paraId="0FF0680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Congreso de la República </w:t>
            </w:r>
            <w:r w:rsidRPr="006177E4">
              <w:rPr>
                <w:rFonts w:eastAsia="Times New Roman" w:cs="Times New Roman"/>
                <w:color w:val="000000"/>
                <w:szCs w:val="24"/>
              </w:rPr>
              <w:lastRenderedPageBreak/>
              <w:t>de Colombia</w:t>
            </w:r>
          </w:p>
        </w:tc>
        <w:tc>
          <w:tcPr>
            <w:tcW w:w="0" w:type="auto"/>
            <w:hideMark/>
          </w:tcPr>
          <w:p w14:paraId="14D42AE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2021</w:t>
            </w:r>
          </w:p>
        </w:tc>
        <w:tc>
          <w:tcPr>
            <w:tcW w:w="0" w:type="auto"/>
            <w:hideMark/>
          </w:tcPr>
          <w:p w14:paraId="2A7DB06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Ley</w:t>
            </w:r>
          </w:p>
        </w:tc>
        <w:tc>
          <w:tcPr>
            <w:tcW w:w="0" w:type="auto"/>
            <w:hideMark/>
          </w:tcPr>
          <w:p w14:paraId="32E5132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Colombia. Congreso de la República. </w:t>
            </w:r>
            <w:r w:rsidRPr="006177E4">
              <w:rPr>
                <w:rFonts w:eastAsia="Times New Roman" w:cs="Times New Roman"/>
                <w:color w:val="000000"/>
                <w:szCs w:val="24"/>
                <w:lang w:val="en-US"/>
              </w:rPr>
              <w:t>(2021). Ley 2155 de 2021 (art. 45).</w:t>
            </w:r>
          </w:p>
        </w:tc>
        <w:tc>
          <w:tcPr>
            <w:tcW w:w="0" w:type="auto"/>
            <w:hideMark/>
          </w:tcPr>
          <w:p w14:paraId="191CBC6A"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r w:rsidRPr="006177E4">
              <w:rPr>
                <w:rFonts w:eastAsia="Times New Roman" w:cs="Times New Roman"/>
                <w:color w:val="000000"/>
                <w:szCs w:val="24"/>
                <w:lang w:val="en-US"/>
              </w:rPr>
              <w:t xml:space="preserve"> / </w:t>
            </w:r>
            <w:proofErr w:type="spellStart"/>
            <w:r w:rsidRPr="006177E4">
              <w:rPr>
                <w:rFonts w:eastAsia="Times New Roman" w:cs="Times New Roman"/>
                <w:color w:val="000000"/>
                <w:szCs w:val="24"/>
                <w:lang w:val="en-US"/>
              </w:rPr>
              <w:lastRenderedPageBreak/>
              <w:t>doctrina</w:t>
            </w:r>
            <w:proofErr w:type="spellEnd"/>
            <w:r w:rsidRPr="006177E4">
              <w:rPr>
                <w:rFonts w:eastAsia="Times New Roman" w:cs="Times New Roman"/>
                <w:color w:val="000000"/>
                <w:szCs w:val="24"/>
                <w:lang w:val="en-US"/>
              </w:rPr>
              <w:t xml:space="preserve"> DIAN</w:t>
            </w:r>
          </w:p>
        </w:tc>
        <w:tc>
          <w:tcPr>
            <w:tcW w:w="0" w:type="auto"/>
            <w:hideMark/>
          </w:tcPr>
          <w:p w14:paraId="7E74E64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Previó un tratamiento temporal de </w:t>
            </w:r>
            <w:r w:rsidRPr="006177E4">
              <w:rPr>
                <w:rFonts w:eastAsia="Times New Roman" w:cs="Times New Roman"/>
                <w:color w:val="000000"/>
                <w:szCs w:val="24"/>
              </w:rPr>
              <w:lastRenderedPageBreak/>
              <w:t>reducción de sanciones e intereses aplicable a declaraciones de retención ineficaces.</w:t>
            </w:r>
          </w:p>
        </w:tc>
        <w:tc>
          <w:tcPr>
            <w:tcW w:w="0" w:type="auto"/>
            <w:hideMark/>
          </w:tcPr>
          <w:p w14:paraId="65B39AC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Permitió incorporar el tratamiento </w:t>
            </w:r>
            <w:r w:rsidRPr="006177E4">
              <w:rPr>
                <w:rFonts w:eastAsia="Times New Roman" w:cs="Times New Roman"/>
                <w:color w:val="000000"/>
                <w:szCs w:val="24"/>
              </w:rPr>
              <w:lastRenderedPageBreak/>
              <w:t>transitorio de normalización de obligaciones ineficaces en el periodo de estudio.</w:t>
            </w:r>
          </w:p>
        </w:tc>
      </w:tr>
      <w:tr w:rsidR="00CC1C3F" w:rsidRPr="006177E4" w14:paraId="58ED1FF2" w14:textId="77777777" w:rsidTr="00C01B90">
        <w:trPr>
          <w:trHeight w:val="576"/>
        </w:trPr>
        <w:tc>
          <w:tcPr>
            <w:tcW w:w="0" w:type="auto"/>
            <w:hideMark/>
          </w:tcPr>
          <w:p w14:paraId="2F5BF91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Congreso de la República de Colombia</w:t>
            </w:r>
          </w:p>
        </w:tc>
        <w:tc>
          <w:tcPr>
            <w:tcW w:w="0" w:type="auto"/>
            <w:hideMark/>
          </w:tcPr>
          <w:p w14:paraId="7670C61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2022</w:t>
            </w:r>
          </w:p>
        </w:tc>
        <w:tc>
          <w:tcPr>
            <w:tcW w:w="0" w:type="auto"/>
            <w:hideMark/>
          </w:tcPr>
          <w:p w14:paraId="5F6C6A8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Ley</w:t>
            </w:r>
          </w:p>
        </w:tc>
        <w:tc>
          <w:tcPr>
            <w:tcW w:w="0" w:type="auto"/>
            <w:hideMark/>
          </w:tcPr>
          <w:p w14:paraId="5D3F6E6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Colombia. Congreso de la República. </w:t>
            </w:r>
            <w:r w:rsidRPr="006177E4">
              <w:rPr>
                <w:rFonts w:eastAsia="Times New Roman" w:cs="Times New Roman"/>
                <w:color w:val="000000"/>
                <w:szCs w:val="24"/>
                <w:lang w:val="en-US"/>
              </w:rPr>
              <w:t>(2022). Ley 2277 de 2022 (art. 78).</w:t>
            </w:r>
          </w:p>
        </w:tc>
        <w:tc>
          <w:tcPr>
            <w:tcW w:w="0" w:type="auto"/>
            <w:hideMark/>
          </w:tcPr>
          <w:p w14:paraId="657BF39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p>
        </w:tc>
        <w:tc>
          <w:tcPr>
            <w:tcW w:w="0" w:type="auto"/>
            <w:hideMark/>
          </w:tcPr>
          <w:p w14:paraId="5F3D815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Adicionó el parágrafo 3 del artículo 580-1 del Estatuto Tributario y reguló el supuesto de menor cuantía </w:t>
            </w:r>
            <w:r w:rsidRPr="006177E4">
              <w:rPr>
                <w:rFonts w:eastAsia="Times New Roman" w:cs="Times New Roman"/>
                <w:color w:val="000000"/>
                <w:szCs w:val="24"/>
              </w:rPr>
              <w:lastRenderedPageBreak/>
              <w:t>no superior a 10 UVT.</w:t>
            </w:r>
          </w:p>
        </w:tc>
        <w:tc>
          <w:tcPr>
            <w:tcW w:w="0" w:type="auto"/>
            <w:hideMark/>
          </w:tcPr>
          <w:p w14:paraId="5598908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Aportó la regulación más reciente sobre excepciones permanentes a la ineficacia.</w:t>
            </w:r>
          </w:p>
        </w:tc>
      </w:tr>
      <w:tr w:rsidR="00CC1C3F" w:rsidRPr="006177E4" w14:paraId="0E7A60D6" w14:textId="77777777" w:rsidTr="00C01B90">
        <w:trPr>
          <w:trHeight w:val="576"/>
        </w:trPr>
        <w:tc>
          <w:tcPr>
            <w:tcW w:w="0" w:type="auto"/>
            <w:hideMark/>
          </w:tcPr>
          <w:p w14:paraId="1BEF7AC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Congreso de la República de Colombia</w:t>
            </w:r>
          </w:p>
        </w:tc>
        <w:tc>
          <w:tcPr>
            <w:tcW w:w="0" w:type="auto"/>
            <w:hideMark/>
          </w:tcPr>
          <w:p w14:paraId="4D4510E9"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2000</w:t>
            </w:r>
          </w:p>
        </w:tc>
        <w:tc>
          <w:tcPr>
            <w:tcW w:w="0" w:type="auto"/>
            <w:hideMark/>
          </w:tcPr>
          <w:p w14:paraId="6DA6897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Ley</w:t>
            </w:r>
          </w:p>
        </w:tc>
        <w:tc>
          <w:tcPr>
            <w:tcW w:w="0" w:type="auto"/>
            <w:hideMark/>
          </w:tcPr>
          <w:p w14:paraId="28F49DB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Colombia. Congreso de la República. (2000). Ley 599 de 2000, Código Penal (art. 402).</w:t>
            </w:r>
          </w:p>
        </w:tc>
        <w:tc>
          <w:tcPr>
            <w:tcW w:w="0" w:type="auto"/>
            <w:hideMark/>
          </w:tcPr>
          <w:p w14:paraId="4B53E06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SUIN-</w:t>
            </w:r>
            <w:proofErr w:type="spellStart"/>
            <w:r w:rsidRPr="006177E4">
              <w:rPr>
                <w:rFonts w:eastAsia="Times New Roman" w:cs="Times New Roman"/>
                <w:color w:val="000000"/>
                <w:szCs w:val="24"/>
                <w:lang w:val="en-US"/>
              </w:rPr>
              <w:t>Juriscol</w:t>
            </w:r>
            <w:proofErr w:type="spellEnd"/>
            <w:r w:rsidRPr="006177E4">
              <w:rPr>
                <w:rFonts w:eastAsia="Times New Roman" w:cs="Times New Roman"/>
                <w:color w:val="000000"/>
                <w:szCs w:val="24"/>
                <w:lang w:val="en-US"/>
              </w:rPr>
              <w:t xml:space="preserve"> / </w:t>
            </w:r>
            <w:proofErr w:type="spellStart"/>
            <w:r w:rsidRPr="006177E4">
              <w:rPr>
                <w:rFonts w:eastAsia="Times New Roman" w:cs="Times New Roman"/>
                <w:color w:val="000000"/>
                <w:szCs w:val="24"/>
                <w:lang w:val="en-US"/>
              </w:rPr>
              <w:t>texto</w:t>
            </w:r>
            <w:proofErr w:type="spellEnd"/>
            <w:r w:rsidRPr="006177E4">
              <w:rPr>
                <w:rFonts w:eastAsia="Times New Roman" w:cs="Times New Roman"/>
                <w:color w:val="000000"/>
                <w:szCs w:val="24"/>
                <w:lang w:val="en-US"/>
              </w:rPr>
              <w:t xml:space="preserve"> legal</w:t>
            </w:r>
          </w:p>
        </w:tc>
        <w:tc>
          <w:tcPr>
            <w:tcW w:w="0" w:type="auto"/>
            <w:hideMark/>
          </w:tcPr>
          <w:p w14:paraId="6BD3D41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Tipifica la omisión del agente retenedor o recaudador por no consignar sumas retenidas o recaudadas.</w:t>
            </w:r>
          </w:p>
        </w:tc>
        <w:tc>
          <w:tcPr>
            <w:tcW w:w="0" w:type="auto"/>
            <w:hideMark/>
          </w:tcPr>
          <w:p w14:paraId="387C2A9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Permitió mostrar la gravedad jurídica del incumplimiento y su conexión con la función recaudatoria de la retención.</w:t>
            </w:r>
          </w:p>
        </w:tc>
      </w:tr>
      <w:tr w:rsidR="00CC1C3F" w:rsidRPr="006177E4" w14:paraId="20B0CAF9" w14:textId="77777777" w:rsidTr="00C01B90">
        <w:trPr>
          <w:trHeight w:val="864"/>
        </w:trPr>
        <w:tc>
          <w:tcPr>
            <w:tcW w:w="0" w:type="auto"/>
            <w:hideMark/>
          </w:tcPr>
          <w:p w14:paraId="07E1A8E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Corte </w:t>
            </w:r>
            <w:proofErr w:type="spellStart"/>
            <w:r w:rsidRPr="006177E4">
              <w:rPr>
                <w:rFonts w:eastAsia="Times New Roman" w:cs="Times New Roman"/>
                <w:color w:val="000000"/>
                <w:szCs w:val="24"/>
                <w:lang w:val="en-US"/>
              </w:rPr>
              <w:t>Constitucio</w:t>
            </w:r>
            <w:r w:rsidRPr="006177E4">
              <w:rPr>
                <w:rFonts w:eastAsia="Times New Roman" w:cs="Times New Roman"/>
                <w:color w:val="000000"/>
                <w:szCs w:val="24"/>
                <w:lang w:val="en-US"/>
              </w:rPr>
              <w:lastRenderedPageBreak/>
              <w:t>nal</w:t>
            </w:r>
            <w:proofErr w:type="spellEnd"/>
            <w:r w:rsidRPr="006177E4">
              <w:rPr>
                <w:rFonts w:eastAsia="Times New Roman" w:cs="Times New Roman"/>
                <w:color w:val="000000"/>
                <w:szCs w:val="24"/>
                <w:lang w:val="en-US"/>
              </w:rPr>
              <w:t xml:space="preserve"> de Colombia</w:t>
            </w:r>
          </w:p>
        </w:tc>
        <w:tc>
          <w:tcPr>
            <w:tcW w:w="0" w:type="auto"/>
            <w:hideMark/>
          </w:tcPr>
          <w:p w14:paraId="771900A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2011</w:t>
            </w:r>
          </w:p>
        </w:tc>
        <w:tc>
          <w:tcPr>
            <w:tcW w:w="0" w:type="auto"/>
            <w:hideMark/>
          </w:tcPr>
          <w:p w14:paraId="153BE27D"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constitucionalidad</w:t>
            </w:r>
            <w:proofErr w:type="spellEnd"/>
          </w:p>
        </w:tc>
        <w:tc>
          <w:tcPr>
            <w:tcW w:w="0" w:type="auto"/>
            <w:hideMark/>
          </w:tcPr>
          <w:p w14:paraId="356C8FC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Corte Constitucional de Colombia. (2011). Sentencia C-883 de 2011.</w:t>
            </w:r>
          </w:p>
        </w:tc>
        <w:tc>
          <w:tcPr>
            <w:tcW w:w="0" w:type="auto"/>
            <w:hideMark/>
          </w:tcPr>
          <w:p w14:paraId="20D4B23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SUIN-</w:t>
            </w:r>
            <w:proofErr w:type="spellStart"/>
            <w:r w:rsidRPr="006177E4">
              <w:rPr>
                <w:rFonts w:eastAsia="Times New Roman" w:cs="Times New Roman"/>
                <w:color w:val="000000"/>
                <w:szCs w:val="24"/>
              </w:rPr>
              <w:t>Juriscol</w:t>
            </w:r>
            <w:proofErr w:type="spellEnd"/>
            <w:r w:rsidRPr="006177E4">
              <w:rPr>
                <w:rFonts w:eastAsia="Times New Roman" w:cs="Times New Roman"/>
                <w:color w:val="000000"/>
                <w:szCs w:val="24"/>
              </w:rPr>
              <w:t xml:space="preserve"> / Relatoría </w:t>
            </w:r>
            <w:r w:rsidRPr="006177E4">
              <w:rPr>
                <w:rFonts w:eastAsia="Times New Roman" w:cs="Times New Roman"/>
                <w:color w:val="000000"/>
                <w:szCs w:val="24"/>
              </w:rPr>
              <w:lastRenderedPageBreak/>
              <w:t>Corte Constitucional</w:t>
            </w:r>
          </w:p>
        </w:tc>
        <w:tc>
          <w:tcPr>
            <w:tcW w:w="0" w:type="auto"/>
            <w:hideMark/>
          </w:tcPr>
          <w:p w14:paraId="1AC6AC0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Examinó el artículo 15 de la Ley 1430 de </w:t>
            </w:r>
            <w:r w:rsidRPr="006177E4">
              <w:rPr>
                <w:rFonts w:eastAsia="Times New Roman" w:cs="Times New Roman"/>
                <w:color w:val="000000"/>
                <w:szCs w:val="24"/>
              </w:rPr>
              <w:lastRenderedPageBreak/>
              <w:t>2010 y aspectos conexos del régimen de ineficacia de las declaraciones de retención en la fuente.</w:t>
            </w:r>
          </w:p>
        </w:tc>
        <w:tc>
          <w:tcPr>
            <w:tcW w:w="0" w:type="auto"/>
            <w:hideMark/>
          </w:tcPr>
          <w:p w14:paraId="52C312B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Aportó el antecedente constitucional </w:t>
            </w:r>
            <w:r w:rsidRPr="006177E4">
              <w:rPr>
                <w:rFonts w:eastAsia="Times New Roman" w:cs="Times New Roman"/>
                <w:color w:val="000000"/>
                <w:szCs w:val="24"/>
              </w:rPr>
              <w:lastRenderedPageBreak/>
              <w:t>inicial de la figura.</w:t>
            </w:r>
          </w:p>
        </w:tc>
      </w:tr>
      <w:tr w:rsidR="00CC1C3F" w:rsidRPr="006177E4" w14:paraId="233A642D" w14:textId="77777777" w:rsidTr="00C01B90">
        <w:trPr>
          <w:trHeight w:val="864"/>
        </w:trPr>
        <w:tc>
          <w:tcPr>
            <w:tcW w:w="0" w:type="auto"/>
            <w:hideMark/>
          </w:tcPr>
          <w:p w14:paraId="39676E8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 xml:space="preserve">Corte </w:t>
            </w:r>
            <w:proofErr w:type="spellStart"/>
            <w:r w:rsidRPr="006177E4">
              <w:rPr>
                <w:rFonts w:eastAsia="Times New Roman" w:cs="Times New Roman"/>
                <w:color w:val="000000"/>
                <w:szCs w:val="24"/>
                <w:lang w:val="en-US"/>
              </w:rPr>
              <w:t>Constitucional</w:t>
            </w:r>
            <w:proofErr w:type="spellEnd"/>
            <w:r w:rsidRPr="006177E4">
              <w:rPr>
                <w:rFonts w:eastAsia="Times New Roman" w:cs="Times New Roman"/>
                <w:color w:val="000000"/>
                <w:szCs w:val="24"/>
                <w:lang w:val="en-US"/>
              </w:rPr>
              <w:t xml:space="preserve"> de Colombia</w:t>
            </w:r>
          </w:p>
        </w:tc>
        <w:tc>
          <w:tcPr>
            <w:tcW w:w="0" w:type="auto"/>
            <w:hideMark/>
          </w:tcPr>
          <w:p w14:paraId="5008E49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2015</w:t>
            </w:r>
          </w:p>
        </w:tc>
        <w:tc>
          <w:tcPr>
            <w:tcW w:w="0" w:type="auto"/>
            <w:hideMark/>
          </w:tcPr>
          <w:p w14:paraId="003799F5"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constitucionalidad</w:t>
            </w:r>
            <w:proofErr w:type="spellEnd"/>
          </w:p>
        </w:tc>
        <w:tc>
          <w:tcPr>
            <w:tcW w:w="0" w:type="auto"/>
            <w:hideMark/>
          </w:tcPr>
          <w:p w14:paraId="7019F89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Corte Constitucional de Colombia. (2015). Sentencia C-102 de 2015.</w:t>
            </w:r>
          </w:p>
        </w:tc>
        <w:tc>
          <w:tcPr>
            <w:tcW w:w="0" w:type="auto"/>
            <w:hideMark/>
          </w:tcPr>
          <w:p w14:paraId="2F626F4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SUIN-</w:t>
            </w:r>
            <w:proofErr w:type="spellStart"/>
            <w:r w:rsidRPr="006177E4">
              <w:rPr>
                <w:rFonts w:eastAsia="Times New Roman" w:cs="Times New Roman"/>
                <w:color w:val="000000"/>
                <w:szCs w:val="24"/>
              </w:rPr>
              <w:t>Juriscol</w:t>
            </w:r>
            <w:proofErr w:type="spellEnd"/>
            <w:r w:rsidRPr="006177E4">
              <w:rPr>
                <w:rFonts w:eastAsia="Times New Roman" w:cs="Times New Roman"/>
                <w:color w:val="000000"/>
                <w:szCs w:val="24"/>
              </w:rPr>
              <w:t xml:space="preserve"> / Relatoría Corte Constitucional</w:t>
            </w:r>
          </w:p>
        </w:tc>
        <w:tc>
          <w:tcPr>
            <w:tcW w:w="0" w:type="auto"/>
            <w:hideMark/>
          </w:tcPr>
          <w:p w14:paraId="6E52F3E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Declaró exequible el inciso primero del artículo 15 de la Ley 1430 de 2010 frente a cargos analizados y sostuvo que la </w:t>
            </w:r>
            <w:r w:rsidRPr="006177E4">
              <w:rPr>
                <w:rFonts w:eastAsia="Times New Roman" w:cs="Times New Roman"/>
                <w:color w:val="000000"/>
                <w:szCs w:val="24"/>
              </w:rPr>
              <w:lastRenderedPageBreak/>
              <w:t>ineficacia no constituye sanción en sentido estricto.</w:t>
            </w:r>
          </w:p>
        </w:tc>
        <w:tc>
          <w:tcPr>
            <w:tcW w:w="0" w:type="auto"/>
            <w:hideMark/>
          </w:tcPr>
          <w:p w14:paraId="7F63658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Fue central para justificar la operatividad automática de la ineficacia sin acto administrativo declarativo.</w:t>
            </w:r>
          </w:p>
        </w:tc>
      </w:tr>
      <w:tr w:rsidR="00CC1C3F" w:rsidRPr="006177E4" w14:paraId="08670C1E" w14:textId="77777777" w:rsidTr="00C01B90">
        <w:trPr>
          <w:trHeight w:val="864"/>
        </w:trPr>
        <w:tc>
          <w:tcPr>
            <w:tcW w:w="0" w:type="auto"/>
            <w:hideMark/>
          </w:tcPr>
          <w:p w14:paraId="1221E97E"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Corte </w:t>
            </w:r>
            <w:proofErr w:type="spellStart"/>
            <w:r w:rsidRPr="006177E4">
              <w:rPr>
                <w:rFonts w:eastAsia="Times New Roman" w:cs="Times New Roman"/>
                <w:color w:val="000000"/>
                <w:szCs w:val="24"/>
                <w:lang w:val="en-US"/>
              </w:rPr>
              <w:t>Constitucional</w:t>
            </w:r>
            <w:proofErr w:type="spellEnd"/>
            <w:r w:rsidRPr="006177E4">
              <w:rPr>
                <w:rFonts w:eastAsia="Times New Roman" w:cs="Times New Roman"/>
                <w:color w:val="000000"/>
                <w:szCs w:val="24"/>
                <w:lang w:val="en-US"/>
              </w:rPr>
              <w:t xml:space="preserve"> de Colombia</w:t>
            </w:r>
          </w:p>
        </w:tc>
        <w:tc>
          <w:tcPr>
            <w:tcW w:w="0" w:type="auto"/>
            <w:hideMark/>
          </w:tcPr>
          <w:p w14:paraId="3A0743C4"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43BF8A7F"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constitucionalidad</w:t>
            </w:r>
            <w:proofErr w:type="spellEnd"/>
          </w:p>
        </w:tc>
        <w:tc>
          <w:tcPr>
            <w:tcW w:w="0" w:type="auto"/>
            <w:hideMark/>
          </w:tcPr>
          <w:p w14:paraId="2631113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Corte Constitucional de Colombia. (2021). Sentencia C-203 de 2021.</w:t>
            </w:r>
          </w:p>
        </w:tc>
        <w:tc>
          <w:tcPr>
            <w:tcW w:w="0" w:type="auto"/>
            <w:hideMark/>
          </w:tcPr>
          <w:p w14:paraId="436F289A"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Relatoría</w:t>
            </w:r>
            <w:proofErr w:type="spellEnd"/>
            <w:r w:rsidRPr="006177E4">
              <w:rPr>
                <w:rFonts w:eastAsia="Times New Roman" w:cs="Times New Roman"/>
                <w:color w:val="000000"/>
                <w:szCs w:val="24"/>
                <w:lang w:val="en-US"/>
              </w:rPr>
              <w:t xml:space="preserve"> Corte </w:t>
            </w:r>
            <w:proofErr w:type="spellStart"/>
            <w:r w:rsidRPr="006177E4">
              <w:rPr>
                <w:rFonts w:eastAsia="Times New Roman" w:cs="Times New Roman"/>
                <w:color w:val="000000"/>
                <w:szCs w:val="24"/>
                <w:lang w:val="en-US"/>
              </w:rPr>
              <w:t>Constitucional</w:t>
            </w:r>
            <w:proofErr w:type="spellEnd"/>
          </w:p>
        </w:tc>
        <w:tc>
          <w:tcPr>
            <w:tcW w:w="0" w:type="auto"/>
            <w:hideMark/>
          </w:tcPr>
          <w:p w14:paraId="1A7574D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Revisó nuevamente la constitucionalidad de la regla que niega efectos legales a las declaraciones de retención presentadas sin pago total.</w:t>
            </w:r>
          </w:p>
        </w:tc>
        <w:tc>
          <w:tcPr>
            <w:tcW w:w="0" w:type="auto"/>
            <w:hideMark/>
          </w:tcPr>
          <w:p w14:paraId="270F136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Actualizó la comprensión constitucional del artículo 580-1 dentro del periodo de estudio.</w:t>
            </w:r>
          </w:p>
        </w:tc>
      </w:tr>
      <w:tr w:rsidR="00CC1C3F" w:rsidRPr="006177E4" w14:paraId="67276602" w14:textId="77777777" w:rsidTr="00C01B90">
        <w:trPr>
          <w:trHeight w:val="864"/>
        </w:trPr>
        <w:tc>
          <w:tcPr>
            <w:tcW w:w="0" w:type="auto"/>
            <w:hideMark/>
          </w:tcPr>
          <w:p w14:paraId="74487DE3"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Consejo de Estado, Sección Cuarta</w:t>
            </w:r>
          </w:p>
        </w:tc>
        <w:tc>
          <w:tcPr>
            <w:tcW w:w="0" w:type="auto"/>
            <w:hideMark/>
          </w:tcPr>
          <w:p w14:paraId="1C12670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2014</w:t>
            </w:r>
          </w:p>
        </w:tc>
        <w:tc>
          <w:tcPr>
            <w:tcW w:w="0" w:type="auto"/>
            <w:hideMark/>
          </w:tcPr>
          <w:p w14:paraId="0906367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4E63D69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Consejo de Estado, Sección Cuarta. </w:t>
            </w:r>
            <w:r w:rsidRPr="006177E4">
              <w:rPr>
                <w:rFonts w:eastAsia="Times New Roman" w:cs="Times New Roman"/>
                <w:color w:val="000000"/>
                <w:szCs w:val="24"/>
                <w:lang w:val="en-US"/>
              </w:rPr>
              <w:t xml:space="preserve">(2014). </w:t>
            </w: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exp. 25000-23-27-000-2009-00075-01 (18304).</w:t>
            </w:r>
          </w:p>
        </w:tc>
        <w:tc>
          <w:tcPr>
            <w:tcW w:w="0" w:type="auto"/>
            <w:hideMark/>
          </w:tcPr>
          <w:p w14:paraId="672CE9A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Repositorio jurisprudencial del Consejo de Estado</w:t>
            </w:r>
          </w:p>
        </w:tc>
        <w:tc>
          <w:tcPr>
            <w:tcW w:w="0" w:type="auto"/>
            <w:hideMark/>
          </w:tcPr>
          <w:p w14:paraId="410D64D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Explicó que la exigencia de pago total responde a la finalidad de impedir que el agente retenedor financie su operación con recursos retenidos a terceros.</w:t>
            </w:r>
          </w:p>
        </w:tc>
        <w:tc>
          <w:tcPr>
            <w:tcW w:w="0" w:type="auto"/>
            <w:hideMark/>
          </w:tcPr>
          <w:p w14:paraId="39E37C6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Aportó la lectura contenciosa sobre el sentido teleológico de la exigencia de pago total.</w:t>
            </w:r>
          </w:p>
        </w:tc>
      </w:tr>
      <w:tr w:rsidR="00CC1C3F" w:rsidRPr="006177E4" w14:paraId="199BE278" w14:textId="77777777" w:rsidTr="00C01B90">
        <w:trPr>
          <w:trHeight w:val="864"/>
        </w:trPr>
        <w:tc>
          <w:tcPr>
            <w:tcW w:w="0" w:type="auto"/>
            <w:hideMark/>
          </w:tcPr>
          <w:p w14:paraId="6D81539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Autor no identificado en archivo</w:t>
            </w:r>
          </w:p>
        </w:tc>
        <w:tc>
          <w:tcPr>
            <w:tcW w:w="0" w:type="auto"/>
            <w:hideMark/>
          </w:tcPr>
          <w:p w14:paraId="15707AC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2018</w:t>
            </w:r>
          </w:p>
        </w:tc>
        <w:tc>
          <w:tcPr>
            <w:tcW w:w="0" w:type="auto"/>
            <w:hideMark/>
          </w:tcPr>
          <w:p w14:paraId="17241E75"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Documento</w:t>
            </w:r>
            <w:proofErr w:type="spellEnd"/>
            <w:r w:rsidRPr="006177E4">
              <w:rPr>
                <w:rFonts w:eastAsia="Times New Roman" w:cs="Times New Roman"/>
                <w:color w:val="000000"/>
                <w:szCs w:val="24"/>
                <w:lang w:val="en-US"/>
              </w:rPr>
              <w:t xml:space="preserve"> doctrinal / </w:t>
            </w:r>
            <w:proofErr w:type="spellStart"/>
            <w:r w:rsidRPr="006177E4">
              <w:rPr>
                <w:rFonts w:eastAsia="Times New Roman" w:cs="Times New Roman"/>
                <w:color w:val="000000"/>
                <w:szCs w:val="24"/>
                <w:lang w:val="en-US"/>
              </w:rPr>
              <w:t>académico</w:t>
            </w:r>
            <w:proofErr w:type="spellEnd"/>
          </w:p>
        </w:tc>
        <w:tc>
          <w:tcPr>
            <w:tcW w:w="0" w:type="auto"/>
            <w:hideMark/>
          </w:tcPr>
          <w:p w14:paraId="5FB13E6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Análisis de la obligación formal de declarar, y sus supuestos de </w:t>
            </w:r>
            <w:r w:rsidRPr="006177E4">
              <w:rPr>
                <w:rFonts w:eastAsia="Times New Roman" w:cs="Times New Roman"/>
                <w:color w:val="000000"/>
                <w:szCs w:val="24"/>
              </w:rPr>
              <w:lastRenderedPageBreak/>
              <w:t>ineficacia, no presentación, corrección y firmeza</w:t>
            </w:r>
          </w:p>
        </w:tc>
        <w:tc>
          <w:tcPr>
            <w:tcW w:w="0" w:type="auto"/>
            <w:hideMark/>
          </w:tcPr>
          <w:p w14:paraId="2DB2DAD8"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Vlex</w:t>
            </w:r>
            <w:proofErr w:type="spellEnd"/>
          </w:p>
        </w:tc>
        <w:tc>
          <w:tcPr>
            <w:tcW w:w="0" w:type="auto"/>
            <w:hideMark/>
          </w:tcPr>
          <w:p w14:paraId="41824E8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Desarrolla categorías dogmáticas </w:t>
            </w:r>
            <w:r w:rsidRPr="006177E4">
              <w:rPr>
                <w:rFonts w:eastAsia="Times New Roman" w:cs="Times New Roman"/>
                <w:color w:val="000000"/>
                <w:szCs w:val="24"/>
              </w:rPr>
              <w:lastRenderedPageBreak/>
              <w:t>útiles para diferenciar ineficacia, no presentación, corrección y firmeza de las declaraciones.</w:t>
            </w:r>
          </w:p>
        </w:tc>
        <w:tc>
          <w:tcPr>
            <w:tcW w:w="0" w:type="auto"/>
            <w:hideMark/>
          </w:tcPr>
          <w:p w14:paraId="3F0ABA5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Fortalece el marco conceptual del </w:t>
            </w:r>
            <w:r w:rsidRPr="006177E4">
              <w:rPr>
                <w:rFonts w:eastAsia="Times New Roman" w:cs="Times New Roman"/>
                <w:color w:val="000000"/>
                <w:szCs w:val="24"/>
              </w:rPr>
              <w:lastRenderedPageBreak/>
              <w:t>objetivo 1 y la delimitación de figuras afines.</w:t>
            </w:r>
          </w:p>
        </w:tc>
      </w:tr>
      <w:tr w:rsidR="00CC1C3F" w:rsidRPr="006177E4" w14:paraId="4E87E4F6" w14:textId="77777777" w:rsidTr="00C01B90">
        <w:trPr>
          <w:trHeight w:val="864"/>
        </w:trPr>
        <w:tc>
          <w:tcPr>
            <w:tcW w:w="0" w:type="auto"/>
            <w:hideMark/>
          </w:tcPr>
          <w:p w14:paraId="0C4BCBE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c>
          <w:tcPr>
            <w:tcW w:w="0" w:type="auto"/>
            <w:hideMark/>
          </w:tcPr>
          <w:p w14:paraId="52DAC44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2020</w:t>
            </w:r>
          </w:p>
        </w:tc>
        <w:tc>
          <w:tcPr>
            <w:tcW w:w="0" w:type="auto"/>
            <w:hideMark/>
          </w:tcPr>
          <w:p w14:paraId="2DA96DDA"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57E820A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w:t>
            </w:r>
            <w:r w:rsidRPr="006177E4">
              <w:rPr>
                <w:rFonts w:eastAsia="Times New Roman" w:cs="Times New Roman"/>
                <w:color w:val="000000"/>
                <w:szCs w:val="24"/>
                <w:lang w:val="en-US"/>
              </w:rPr>
              <w:t xml:space="preserve">(2020).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902639 de 2020.</w:t>
            </w:r>
          </w:p>
        </w:tc>
        <w:tc>
          <w:tcPr>
            <w:tcW w:w="0" w:type="auto"/>
            <w:hideMark/>
          </w:tcPr>
          <w:p w14:paraId="7F39AC69"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6298411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Precisó que la declaración presentada sin pago total antes del vencimiento produce efectos si el pago total se efectúa dentro de los </w:t>
            </w:r>
            <w:r w:rsidRPr="006177E4">
              <w:rPr>
                <w:rFonts w:eastAsia="Times New Roman" w:cs="Times New Roman"/>
                <w:color w:val="000000"/>
                <w:szCs w:val="24"/>
              </w:rPr>
              <w:lastRenderedPageBreak/>
              <w:t>dos meses siguientes.</w:t>
            </w:r>
          </w:p>
        </w:tc>
        <w:tc>
          <w:tcPr>
            <w:tcW w:w="0" w:type="auto"/>
            <w:hideMark/>
          </w:tcPr>
          <w:p w14:paraId="0606D0E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Aportó la interpretación administrativa sobre la excepción temporal prevista en el inciso 5 del artículo 580-1.</w:t>
            </w:r>
          </w:p>
        </w:tc>
      </w:tr>
      <w:tr w:rsidR="00CC1C3F" w:rsidRPr="006177E4" w14:paraId="2C0C3B36" w14:textId="77777777" w:rsidTr="00C01B90">
        <w:trPr>
          <w:trHeight w:val="864"/>
        </w:trPr>
        <w:tc>
          <w:tcPr>
            <w:tcW w:w="0" w:type="auto"/>
            <w:hideMark/>
          </w:tcPr>
          <w:p w14:paraId="4E67851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DIAN</w:t>
            </w:r>
          </w:p>
        </w:tc>
        <w:tc>
          <w:tcPr>
            <w:tcW w:w="0" w:type="auto"/>
            <w:hideMark/>
          </w:tcPr>
          <w:p w14:paraId="74688C8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2020</w:t>
            </w:r>
          </w:p>
        </w:tc>
        <w:tc>
          <w:tcPr>
            <w:tcW w:w="0" w:type="auto"/>
            <w:hideMark/>
          </w:tcPr>
          <w:p w14:paraId="69E40F73"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6D31AB1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w:t>
            </w:r>
            <w:r w:rsidRPr="006177E4">
              <w:rPr>
                <w:rFonts w:eastAsia="Times New Roman" w:cs="Times New Roman"/>
                <w:color w:val="000000"/>
                <w:szCs w:val="24"/>
                <w:lang w:val="en-US"/>
              </w:rPr>
              <w:t xml:space="preserve">(2020).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910619 de 2020.</w:t>
            </w:r>
          </w:p>
        </w:tc>
        <w:tc>
          <w:tcPr>
            <w:tcW w:w="0" w:type="auto"/>
            <w:hideMark/>
          </w:tcPr>
          <w:p w14:paraId="257D2B95"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4DFDBCC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Desarrolló el carácter de título ejecutivo de la declaración inicialmente presentada y la finalidad recaudatoria de la modificación introducida por la Ley 2010 de 2019.</w:t>
            </w:r>
          </w:p>
        </w:tc>
        <w:tc>
          <w:tcPr>
            <w:tcW w:w="0" w:type="auto"/>
            <w:hideMark/>
          </w:tcPr>
          <w:p w14:paraId="1A4033B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Fue útil para explicar el cobro coactivo de declaraciones ineficaces.</w:t>
            </w:r>
          </w:p>
        </w:tc>
      </w:tr>
      <w:tr w:rsidR="00CC1C3F" w:rsidRPr="006177E4" w14:paraId="739EEE22" w14:textId="77777777" w:rsidTr="00C01B90">
        <w:trPr>
          <w:trHeight w:val="576"/>
        </w:trPr>
        <w:tc>
          <w:tcPr>
            <w:tcW w:w="0" w:type="auto"/>
            <w:hideMark/>
          </w:tcPr>
          <w:p w14:paraId="6C4850A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c>
          <w:tcPr>
            <w:tcW w:w="0" w:type="auto"/>
            <w:hideMark/>
          </w:tcPr>
          <w:p w14:paraId="2D4AB57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262062E2"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437E4AF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Dirección de Impuestos y Aduanas Nacionales. (2021). Oficio 905544 de 2021 (100208221-840 del 16 de junio de 2021).</w:t>
            </w:r>
          </w:p>
        </w:tc>
        <w:tc>
          <w:tcPr>
            <w:tcW w:w="0" w:type="auto"/>
            <w:hideMark/>
          </w:tcPr>
          <w:p w14:paraId="5F0F0840"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5EBC5843"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Sistematizó respuestas sobre eficacia, cobro coactivo y corrección de declaraciones ineficaces.</w:t>
            </w:r>
          </w:p>
        </w:tc>
        <w:tc>
          <w:tcPr>
            <w:tcW w:w="0" w:type="auto"/>
            <w:hideMark/>
          </w:tcPr>
          <w:p w14:paraId="7A92FA7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Aportó desarrollo doctrinal detallado sobre la operatividad del artículo 580-1.</w:t>
            </w:r>
          </w:p>
        </w:tc>
      </w:tr>
      <w:tr w:rsidR="00CC1C3F" w:rsidRPr="006177E4" w14:paraId="391BF134" w14:textId="77777777" w:rsidTr="00C01B90">
        <w:trPr>
          <w:trHeight w:val="864"/>
        </w:trPr>
        <w:tc>
          <w:tcPr>
            <w:tcW w:w="0" w:type="auto"/>
            <w:hideMark/>
          </w:tcPr>
          <w:p w14:paraId="33227EF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DIAN</w:t>
            </w:r>
          </w:p>
        </w:tc>
        <w:tc>
          <w:tcPr>
            <w:tcW w:w="0" w:type="auto"/>
            <w:hideMark/>
          </w:tcPr>
          <w:p w14:paraId="4D6DCA3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07F426FC"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3C88341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w:t>
            </w:r>
            <w:r w:rsidRPr="006177E4">
              <w:rPr>
                <w:rFonts w:eastAsia="Times New Roman" w:cs="Times New Roman"/>
                <w:color w:val="000000"/>
                <w:szCs w:val="24"/>
                <w:lang w:val="en-US"/>
              </w:rPr>
              <w:t xml:space="preserve">(2021).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905545 de 2021.</w:t>
            </w:r>
          </w:p>
        </w:tc>
        <w:tc>
          <w:tcPr>
            <w:tcW w:w="0" w:type="auto"/>
            <w:hideMark/>
          </w:tcPr>
          <w:p w14:paraId="50432614"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3B18B14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Reiteró que no es posible corregir una declaración de retención en la fuente ineficaz; debe presentarse </w:t>
            </w:r>
            <w:r w:rsidRPr="006177E4">
              <w:rPr>
                <w:rFonts w:eastAsia="Times New Roman" w:cs="Times New Roman"/>
                <w:color w:val="000000"/>
                <w:szCs w:val="24"/>
              </w:rPr>
              <w:lastRenderedPageBreak/>
              <w:t>nuevamente con pago total, sanción por extemporaneidad e intereses.</w:t>
            </w:r>
          </w:p>
        </w:tc>
        <w:tc>
          <w:tcPr>
            <w:tcW w:w="0" w:type="auto"/>
            <w:hideMark/>
          </w:tcPr>
          <w:p w14:paraId="3D5676E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Aportó el criterio operativo sobre subsanación de la ineficacia.</w:t>
            </w:r>
          </w:p>
        </w:tc>
      </w:tr>
      <w:tr w:rsidR="00CC1C3F" w:rsidRPr="006177E4" w14:paraId="22E96203" w14:textId="77777777" w:rsidTr="00C01B90">
        <w:trPr>
          <w:trHeight w:val="576"/>
        </w:trPr>
        <w:tc>
          <w:tcPr>
            <w:tcW w:w="0" w:type="auto"/>
            <w:hideMark/>
          </w:tcPr>
          <w:p w14:paraId="000132B5"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DIAN</w:t>
            </w:r>
          </w:p>
        </w:tc>
        <w:tc>
          <w:tcPr>
            <w:tcW w:w="0" w:type="auto"/>
            <w:hideMark/>
          </w:tcPr>
          <w:p w14:paraId="490302E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13940848"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310E6CC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w:t>
            </w:r>
            <w:r w:rsidRPr="006177E4">
              <w:rPr>
                <w:rFonts w:eastAsia="Times New Roman" w:cs="Times New Roman"/>
                <w:color w:val="000000"/>
                <w:szCs w:val="24"/>
                <w:lang w:val="en-US"/>
              </w:rPr>
              <w:t xml:space="preserve">(2021).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913636 de 2021.</w:t>
            </w:r>
          </w:p>
        </w:tc>
        <w:tc>
          <w:tcPr>
            <w:tcW w:w="0" w:type="auto"/>
            <w:hideMark/>
          </w:tcPr>
          <w:p w14:paraId="116EDD3E"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652A3EA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Analizó la aplicación del artículo 45 de la Ley 2155 de 2021 a declaraciones de retención en la fuente ineficaces.</w:t>
            </w:r>
          </w:p>
        </w:tc>
        <w:tc>
          <w:tcPr>
            <w:tcW w:w="0" w:type="auto"/>
            <w:hideMark/>
          </w:tcPr>
          <w:p w14:paraId="20B38B0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Permitió incorporar el tratamiento temporal de reducción de sanciones e intereses dentro del análisis del periodo.</w:t>
            </w:r>
          </w:p>
        </w:tc>
      </w:tr>
      <w:tr w:rsidR="00CC1C3F" w:rsidRPr="006177E4" w14:paraId="19FADC74" w14:textId="77777777" w:rsidTr="00C01B90">
        <w:trPr>
          <w:trHeight w:val="864"/>
        </w:trPr>
        <w:tc>
          <w:tcPr>
            <w:tcW w:w="0" w:type="auto"/>
            <w:hideMark/>
          </w:tcPr>
          <w:p w14:paraId="6E61D81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c>
          <w:tcPr>
            <w:tcW w:w="0" w:type="auto"/>
            <w:hideMark/>
          </w:tcPr>
          <w:p w14:paraId="3AABE3B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2023</w:t>
            </w:r>
          </w:p>
        </w:tc>
        <w:tc>
          <w:tcPr>
            <w:tcW w:w="0" w:type="auto"/>
            <w:hideMark/>
          </w:tcPr>
          <w:p w14:paraId="6F4CAD63"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6BA4A619"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w:t>
            </w:r>
            <w:r w:rsidRPr="006177E4">
              <w:rPr>
                <w:rFonts w:eastAsia="Times New Roman" w:cs="Times New Roman"/>
                <w:color w:val="000000"/>
                <w:szCs w:val="24"/>
                <w:lang w:val="en-US"/>
              </w:rPr>
              <w:t xml:space="preserve">(2023).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4638 de 2023.</w:t>
            </w:r>
          </w:p>
        </w:tc>
        <w:tc>
          <w:tcPr>
            <w:tcW w:w="0" w:type="auto"/>
            <w:hideMark/>
          </w:tcPr>
          <w:p w14:paraId="26850618"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584787A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Diferenció los efectos de la declaración sin pago total para el agente retenedor y para la administración, destacando su mérito ejecutivo.</w:t>
            </w:r>
          </w:p>
        </w:tc>
        <w:tc>
          <w:tcPr>
            <w:tcW w:w="0" w:type="auto"/>
            <w:hideMark/>
          </w:tcPr>
          <w:p w14:paraId="4B2D0A8F"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Fue decisivo para explicar la doble naturaleza jurídica y administrativa de la declaración ineficaz.</w:t>
            </w:r>
          </w:p>
        </w:tc>
      </w:tr>
      <w:tr w:rsidR="00CC1C3F" w:rsidRPr="006177E4" w14:paraId="46BC749A" w14:textId="77777777" w:rsidTr="00C01B90">
        <w:trPr>
          <w:trHeight w:val="864"/>
        </w:trPr>
        <w:tc>
          <w:tcPr>
            <w:tcW w:w="0" w:type="auto"/>
            <w:hideMark/>
          </w:tcPr>
          <w:p w14:paraId="47E8131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DIAN</w:t>
            </w:r>
          </w:p>
        </w:tc>
        <w:tc>
          <w:tcPr>
            <w:tcW w:w="0" w:type="auto"/>
            <w:hideMark/>
          </w:tcPr>
          <w:p w14:paraId="2D309DF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2024</w:t>
            </w:r>
          </w:p>
        </w:tc>
        <w:tc>
          <w:tcPr>
            <w:tcW w:w="0" w:type="auto"/>
            <w:hideMark/>
          </w:tcPr>
          <w:p w14:paraId="3D27D874"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Concepto</w:t>
            </w:r>
            <w:proofErr w:type="spellEnd"/>
            <w:r w:rsidRPr="006177E4">
              <w:rPr>
                <w:rFonts w:eastAsia="Times New Roman" w:cs="Times New Roman"/>
                <w:color w:val="000000"/>
                <w:szCs w:val="24"/>
                <w:lang w:val="en-US"/>
              </w:rPr>
              <w:t xml:space="preserve"> doctrinal</w:t>
            </w:r>
          </w:p>
        </w:tc>
        <w:tc>
          <w:tcPr>
            <w:tcW w:w="0" w:type="auto"/>
            <w:hideMark/>
          </w:tcPr>
          <w:p w14:paraId="3CA7B2EE"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w:t>
            </w:r>
            <w:r w:rsidRPr="006177E4">
              <w:rPr>
                <w:rFonts w:eastAsia="Times New Roman" w:cs="Times New Roman"/>
                <w:color w:val="000000"/>
                <w:szCs w:val="24"/>
                <w:lang w:val="en-US"/>
              </w:rPr>
              <w:t xml:space="preserve">(2024). </w:t>
            </w:r>
            <w:proofErr w:type="spellStart"/>
            <w:r w:rsidRPr="006177E4">
              <w:rPr>
                <w:rFonts w:eastAsia="Times New Roman" w:cs="Times New Roman"/>
                <w:color w:val="000000"/>
                <w:szCs w:val="24"/>
                <w:lang w:val="en-US"/>
              </w:rPr>
              <w:t>Concepto</w:t>
            </w:r>
            <w:proofErr w:type="spellEnd"/>
            <w:r w:rsidRPr="006177E4">
              <w:rPr>
                <w:rFonts w:eastAsia="Times New Roman" w:cs="Times New Roman"/>
                <w:color w:val="000000"/>
                <w:szCs w:val="24"/>
                <w:lang w:val="en-US"/>
              </w:rPr>
              <w:t xml:space="preserve"> 8678 de 2024.</w:t>
            </w:r>
          </w:p>
        </w:tc>
        <w:tc>
          <w:tcPr>
            <w:tcW w:w="0" w:type="auto"/>
            <w:hideMark/>
          </w:tcPr>
          <w:p w14:paraId="088837AB"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6CCC617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Precisó la interpretación del inciso 5 del artículo 580-1, el alcance del </w:t>
            </w:r>
            <w:r w:rsidRPr="006177E4">
              <w:rPr>
                <w:rFonts w:eastAsia="Times New Roman" w:cs="Times New Roman"/>
                <w:color w:val="000000"/>
                <w:szCs w:val="24"/>
              </w:rPr>
              <w:lastRenderedPageBreak/>
              <w:t>vencimiento del plazo para declarar y la necesidad de presentar de nuevo la declaración cuando opera la ineficacia.</w:t>
            </w:r>
          </w:p>
        </w:tc>
        <w:tc>
          <w:tcPr>
            <w:tcW w:w="0" w:type="auto"/>
            <w:hideMark/>
          </w:tcPr>
          <w:p w14:paraId="77C474A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Aportó actualización doctrinal reciente y aclaró el </w:t>
            </w:r>
            <w:r w:rsidRPr="006177E4">
              <w:rPr>
                <w:rFonts w:eastAsia="Times New Roman" w:cs="Times New Roman"/>
                <w:color w:val="000000"/>
                <w:szCs w:val="24"/>
              </w:rPr>
              <w:lastRenderedPageBreak/>
              <w:t>tratamiento de declaraciones extemporáneas posteriores a una declaración ineficaz.</w:t>
            </w:r>
          </w:p>
        </w:tc>
      </w:tr>
      <w:tr w:rsidR="00CC1C3F" w:rsidRPr="006177E4" w14:paraId="789D24B9" w14:textId="77777777" w:rsidTr="00C01B90">
        <w:trPr>
          <w:trHeight w:val="576"/>
        </w:trPr>
        <w:tc>
          <w:tcPr>
            <w:tcW w:w="0" w:type="auto"/>
            <w:hideMark/>
          </w:tcPr>
          <w:p w14:paraId="46D1FF8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Saldarriaga Ramírez, Sandra Andrea</w:t>
            </w:r>
          </w:p>
        </w:tc>
        <w:tc>
          <w:tcPr>
            <w:tcW w:w="0" w:type="auto"/>
            <w:hideMark/>
          </w:tcPr>
          <w:p w14:paraId="0143BD4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2024</w:t>
            </w:r>
          </w:p>
        </w:tc>
        <w:tc>
          <w:tcPr>
            <w:tcW w:w="0" w:type="auto"/>
            <w:hideMark/>
          </w:tcPr>
          <w:p w14:paraId="1EBFFB5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Tesis de </w:t>
            </w:r>
            <w:proofErr w:type="spellStart"/>
            <w:r w:rsidRPr="006177E4">
              <w:rPr>
                <w:rFonts w:eastAsia="Times New Roman" w:cs="Times New Roman"/>
                <w:color w:val="000000"/>
                <w:szCs w:val="24"/>
                <w:lang w:val="en-US"/>
              </w:rPr>
              <w:t>maestría</w:t>
            </w:r>
            <w:proofErr w:type="spellEnd"/>
          </w:p>
        </w:tc>
        <w:tc>
          <w:tcPr>
            <w:tcW w:w="0" w:type="auto"/>
            <w:hideMark/>
          </w:tcPr>
          <w:p w14:paraId="461B2B0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Saldarriaga Ramírez, S. A. (2024). Ineficacia de las declaraciones de retención en la fuente. Un análisis comparativo frente a los cambios normativos de los años 2011 al 2023 y su relación con la debida gestión de cobro por parte de la DIAN </w:t>
            </w:r>
            <w:r w:rsidRPr="006177E4">
              <w:rPr>
                <w:rFonts w:eastAsia="Times New Roman" w:cs="Times New Roman"/>
                <w:color w:val="000000"/>
                <w:szCs w:val="24"/>
              </w:rPr>
              <w:lastRenderedPageBreak/>
              <w:t>seccional Villavicencio [Tesis de maestría, Universidad Externado de Colombia].</w:t>
            </w:r>
          </w:p>
        </w:tc>
        <w:tc>
          <w:tcPr>
            <w:tcW w:w="0" w:type="auto"/>
            <w:hideMark/>
          </w:tcPr>
          <w:p w14:paraId="1B4F7844" w14:textId="77777777" w:rsidR="00CC1C3F" w:rsidRPr="006177E4" w:rsidRDefault="00CC1C3F" w:rsidP="00263B16">
            <w:pPr>
              <w:spacing w:line="480" w:lineRule="auto"/>
              <w:jc w:val="center"/>
              <w:rPr>
                <w:rFonts w:eastAsia="Times New Roman" w:cs="Times New Roman"/>
                <w:color w:val="000000"/>
                <w:szCs w:val="24"/>
              </w:rPr>
            </w:pPr>
            <w:proofErr w:type="spellStart"/>
            <w:r w:rsidRPr="006177E4">
              <w:rPr>
                <w:rFonts w:eastAsia="Times New Roman" w:cs="Times New Roman"/>
                <w:color w:val="000000"/>
                <w:szCs w:val="24"/>
              </w:rPr>
              <w:lastRenderedPageBreak/>
              <w:t>Bdigital</w:t>
            </w:r>
            <w:proofErr w:type="spellEnd"/>
            <w:r w:rsidRPr="006177E4">
              <w:rPr>
                <w:rFonts w:eastAsia="Times New Roman" w:cs="Times New Roman"/>
                <w:color w:val="000000"/>
                <w:szCs w:val="24"/>
              </w:rPr>
              <w:t xml:space="preserve"> Universidad Externado de Colombia</w:t>
            </w:r>
          </w:p>
        </w:tc>
        <w:tc>
          <w:tcPr>
            <w:tcW w:w="0" w:type="auto"/>
            <w:hideMark/>
          </w:tcPr>
          <w:p w14:paraId="52C57F1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Analiza comparativamente la evolución normativa de la figura y su relación con la gestión de </w:t>
            </w:r>
            <w:r w:rsidRPr="006177E4">
              <w:rPr>
                <w:rFonts w:eastAsia="Times New Roman" w:cs="Times New Roman"/>
                <w:color w:val="000000"/>
                <w:szCs w:val="24"/>
              </w:rPr>
              <w:lastRenderedPageBreak/>
              <w:t>cobro de una seccional DIAN.</w:t>
            </w:r>
          </w:p>
        </w:tc>
        <w:tc>
          <w:tcPr>
            <w:tcW w:w="0" w:type="auto"/>
            <w:hideMark/>
          </w:tcPr>
          <w:p w14:paraId="7DA9DD56"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Constituyó un antecedente directo y altamente pertinente para contrastar el caso de Ibagué </w:t>
            </w:r>
            <w:r w:rsidRPr="006177E4">
              <w:rPr>
                <w:rFonts w:eastAsia="Times New Roman" w:cs="Times New Roman"/>
                <w:color w:val="000000"/>
                <w:szCs w:val="24"/>
              </w:rPr>
              <w:lastRenderedPageBreak/>
              <w:t>con otra seccional.</w:t>
            </w:r>
          </w:p>
        </w:tc>
      </w:tr>
      <w:tr w:rsidR="00CC1C3F" w:rsidRPr="006177E4" w14:paraId="55BD12F8" w14:textId="77777777" w:rsidTr="00C01B90">
        <w:trPr>
          <w:trHeight w:val="864"/>
        </w:trPr>
        <w:tc>
          <w:tcPr>
            <w:tcW w:w="0" w:type="auto"/>
            <w:hideMark/>
          </w:tcPr>
          <w:p w14:paraId="3F96D06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Camacho Tovar, Paola Andrea</w:t>
            </w:r>
          </w:p>
        </w:tc>
        <w:tc>
          <w:tcPr>
            <w:tcW w:w="0" w:type="auto"/>
            <w:hideMark/>
          </w:tcPr>
          <w:p w14:paraId="17C601B9"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223CC4D1"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revista</w:t>
            </w:r>
            <w:proofErr w:type="spellEnd"/>
          </w:p>
        </w:tc>
        <w:tc>
          <w:tcPr>
            <w:tcW w:w="0" w:type="auto"/>
            <w:hideMark/>
          </w:tcPr>
          <w:p w14:paraId="105738A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Camacho Tovar, P. A. (2021). Retención en la fuente para efectos del impuesto sobre la renta en ingresos de la cédula del trabajo: análisis del caso de los docentes catedráticos y personas naturales con vinculación múltiple en Colombia. </w:t>
            </w:r>
            <w:proofErr w:type="spellStart"/>
            <w:r w:rsidRPr="006177E4">
              <w:rPr>
                <w:rFonts w:eastAsia="Times New Roman" w:cs="Times New Roman"/>
                <w:color w:val="000000"/>
                <w:szCs w:val="24"/>
                <w:lang w:val="en-US"/>
              </w:rPr>
              <w:t>Revista</w:t>
            </w:r>
            <w:proofErr w:type="spellEnd"/>
            <w:r w:rsidRPr="006177E4">
              <w:rPr>
                <w:rFonts w:eastAsia="Times New Roman" w:cs="Times New Roman"/>
                <w:color w:val="000000"/>
                <w:szCs w:val="24"/>
                <w:lang w:val="en-US"/>
              </w:rPr>
              <w:t xml:space="preserve"> de Derecho Fiscal, (19), 133-159. https://doi.org/10.18601/16926722.n19.06</w:t>
            </w:r>
          </w:p>
        </w:tc>
        <w:tc>
          <w:tcPr>
            <w:tcW w:w="0" w:type="auto"/>
            <w:hideMark/>
          </w:tcPr>
          <w:p w14:paraId="7D25376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Revista de Derecho Fiscal / </w:t>
            </w:r>
            <w:proofErr w:type="spellStart"/>
            <w:r w:rsidRPr="006177E4">
              <w:rPr>
                <w:rFonts w:eastAsia="Times New Roman" w:cs="Times New Roman"/>
                <w:color w:val="000000"/>
                <w:szCs w:val="24"/>
              </w:rPr>
              <w:t>Bdigital</w:t>
            </w:r>
            <w:proofErr w:type="spellEnd"/>
            <w:r w:rsidRPr="006177E4">
              <w:rPr>
                <w:rFonts w:eastAsia="Times New Roman" w:cs="Times New Roman"/>
                <w:color w:val="000000"/>
                <w:szCs w:val="24"/>
              </w:rPr>
              <w:t xml:space="preserve"> Universidad Externado</w:t>
            </w:r>
          </w:p>
        </w:tc>
        <w:tc>
          <w:tcPr>
            <w:tcW w:w="0" w:type="auto"/>
            <w:hideMark/>
          </w:tcPr>
          <w:p w14:paraId="17CA86D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Examina problemas interpretativos y prácticos en la aplicación de la retención en la fuente sobre rentas de trabajo.</w:t>
            </w:r>
          </w:p>
        </w:tc>
        <w:tc>
          <w:tcPr>
            <w:tcW w:w="0" w:type="auto"/>
            <w:hideMark/>
          </w:tcPr>
          <w:p w14:paraId="4FA3B0A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Aunque no estudia la ineficacia del artículo 580-1, aportó un antecedente especializado sobre complejidades operativas del sistema de retención.</w:t>
            </w:r>
          </w:p>
        </w:tc>
      </w:tr>
      <w:tr w:rsidR="00CC1C3F" w:rsidRPr="006177E4" w14:paraId="4EC9CCDB" w14:textId="77777777" w:rsidTr="00C01B90">
        <w:trPr>
          <w:trHeight w:val="864"/>
        </w:trPr>
        <w:tc>
          <w:tcPr>
            <w:tcW w:w="0" w:type="auto"/>
            <w:hideMark/>
          </w:tcPr>
          <w:p w14:paraId="518D8A3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Espinosa Díaz, Yuli </w:t>
            </w:r>
            <w:proofErr w:type="spellStart"/>
            <w:r w:rsidRPr="006177E4">
              <w:rPr>
                <w:rFonts w:eastAsia="Times New Roman" w:cs="Times New Roman"/>
                <w:color w:val="000000"/>
                <w:szCs w:val="24"/>
              </w:rPr>
              <w:t>Samary</w:t>
            </w:r>
            <w:proofErr w:type="spellEnd"/>
            <w:r w:rsidRPr="006177E4">
              <w:rPr>
                <w:rFonts w:eastAsia="Times New Roman" w:cs="Times New Roman"/>
                <w:color w:val="000000"/>
                <w:szCs w:val="24"/>
              </w:rPr>
              <w:t xml:space="preserve">; Rodríguez Torres, Geraldine Tatiana; Díaz </w:t>
            </w:r>
            <w:proofErr w:type="spellStart"/>
            <w:r w:rsidRPr="006177E4">
              <w:rPr>
                <w:rFonts w:eastAsia="Times New Roman" w:cs="Times New Roman"/>
                <w:color w:val="000000"/>
                <w:szCs w:val="24"/>
              </w:rPr>
              <w:t>Díaz</w:t>
            </w:r>
            <w:proofErr w:type="spellEnd"/>
            <w:r w:rsidRPr="006177E4">
              <w:rPr>
                <w:rFonts w:eastAsia="Times New Roman" w:cs="Times New Roman"/>
                <w:color w:val="000000"/>
                <w:szCs w:val="24"/>
              </w:rPr>
              <w:t>, Fredy; Porras Mejía, Eder</w:t>
            </w:r>
          </w:p>
        </w:tc>
        <w:tc>
          <w:tcPr>
            <w:tcW w:w="0" w:type="auto"/>
            <w:hideMark/>
          </w:tcPr>
          <w:p w14:paraId="3DFB21F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2022</w:t>
            </w:r>
          </w:p>
        </w:tc>
        <w:tc>
          <w:tcPr>
            <w:tcW w:w="0" w:type="auto"/>
            <w:hideMark/>
          </w:tcPr>
          <w:p w14:paraId="6652C1FE"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investigación</w:t>
            </w:r>
            <w:proofErr w:type="spellEnd"/>
          </w:p>
        </w:tc>
        <w:tc>
          <w:tcPr>
            <w:tcW w:w="0" w:type="auto"/>
            <w:hideMark/>
          </w:tcPr>
          <w:p w14:paraId="0FE90F2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Espinosa Díaz, Y. S., Rodríguez Torres, G. T., Díaz </w:t>
            </w:r>
            <w:proofErr w:type="spellStart"/>
            <w:r w:rsidRPr="006177E4">
              <w:rPr>
                <w:rFonts w:eastAsia="Times New Roman" w:cs="Times New Roman"/>
                <w:color w:val="000000"/>
                <w:szCs w:val="24"/>
              </w:rPr>
              <w:t>Díaz</w:t>
            </w:r>
            <w:proofErr w:type="spellEnd"/>
            <w:r w:rsidRPr="006177E4">
              <w:rPr>
                <w:rFonts w:eastAsia="Times New Roman" w:cs="Times New Roman"/>
                <w:color w:val="000000"/>
                <w:szCs w:val="24"/>
              </w:rPr>
              <w:t xml:space="preserve">, F., &amp; Porras Mejía, E. (2022). Cultura tributaria como estrategia para prevenir el incumplimiento de los deberes formales del contribuyente. </w:t>
            </w:r>
            <w:proofErr w:type="spellStart"/>
            <w:r w:rsidRPr="006177E4">
              <w:rPr>
                <w:rFonts w:eastAsia="Times New Roman" w:cs="Times New Roman"/>
                <w:color w:val="000000"/>
                <w:szCs w:val="24"/>
                <w:lang w:val="en-US"/>
              </w:rPr>
              <w:t>Apuntes</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Contables</w:t>
            </w:r>
            <w:proofErr w:type="spellEnd"/>
            <w:r w:rsidRPr="006177E4">
              <w:rPr>
                <w:rFonts w:eastAsia="Times New Roman" w:cs="Times New Roman"/>
                <w:color w:val="000000"/>
                <w:szCs w:val="24"/>
                <w:lang w:val="en-US"/>
              </w:rPr>
              <w:t>, (31), 153-171. https://doi.org/10.18601/16577175.n31.09</w:t>
            </w:r>
          </w:p>
        </w:tc>
        <w:tc>
          <w:tcPr>
            <w:tcW w:w="0" w:type="auto"/>
            <w:hideMark/>
          </w:tcPr>
          <w:p w14:paraId="7AF6475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Apuntes Contables / Universidad Externado de Colombia</w:t>
            </w:r>
          </w:p>
        </w:tc>
        <w:tc>
          <w:tcPr>
            <w:tcW w:w="0" w:type="auto"/>
            <w:hideMark/>
          </w:tcPr>
          <w:p w14:paraId="551CCDF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Relaciona la cultura tributaria con el cumplimiento de los deberes formales del contribuyente.</w:t>
            </w:r>
          </w:p>
        </w:tc>
        <w:tc>
          <w:tcPr>
            <w:tcW w:w="0" w:type="auto"/>
            <w:hideMark/>
          </w:tcPr>
          <w:p w14:paraId="4D158CD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Aportó un antecedente contextual para explicar que la ineficacia también puede leerse en clave de cumplimiento formal y cultura tributaria.</w:t>
            </w:r>
          </w:p>
        </w:tc>
      </w:tr>
      <w:tr w:rsidR="00CC1C3F" w:rsidRPr="006177E4" w14:paraId="29E11A3D" w14:textId="77777777" w:rsidTr="00C01B90">
        <w:trPr>
          <w:trHeight w:val="864"/>
        </w:trPr>
        <w:tc>
          <w:tcPr>
            <w:tcW w:w="0" w:type="auto"/>
            <w:hideMark/>
          </w:tcPr>
          <w:p w14:paraId="2EC4CDD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Congreso de la República </w:t>
            </w:r>
            <w:r w:rsidRPr="006177E4">
              <w:rPr>
                <w:rFonts w:eastAsia="Times New Roman" w:cs="Times New Roman"/>
                <w:color w:val="000000"/>
                <w:szCs w:val="24"/>
              </w:rPr>
              <w:lastRenderedPageBreak/>
              <w:t>de Colombia</w:t>
            </w:r>
          </w:p>
        </w:tc>
        <w:tc>
          <w:tcPr>
            <w:tcW w:w="0" w:type="auto"/>
            <w:hideMark/>
          </w:tcPr>
          <w:p w14:paraId="4F199A9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2006</w:t>
            </w:r>
          </w:p>
        </w:tc>
        <w:tc>
          <w:tcPr>
            <w:tcW w:w="0" w:type="auto"/>
            <w:hideMark/>
          </w:tcPr>
          <w:p w14:paraId="244CFC8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Norma legal (</w:t>
            </w:r>
            <w:proofErr w:type="spellStart"/>
            <w:r w:rsidRPr="006177E4">
              <w:rPr>
                <w:rFonts w:eastAsia="Times New Roman" w:cs="Times New Roman"/>
                <w:color w:val="000000"/>
                <w:szCs w:val="24"/>
                <w:lang w:val="en-US"/>
              </w:rPr>
              <w:t>antecedente</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histórico</w:t>
            </w:r>
            <w:proofErr w:type="spellEnd"/>
            <w:r w:rsidRPr="006177E4">
              <w:rPr>
                <w:rFonts w:eastAsia="Times New Roman" w:cs="Times New Roman"/>
                <w:color w:val="000000"/>
                <w:szCs w:val="24"/>
                <w:lang w:val="en-US"/>
              </w:rPr>
              <w:t>)</w:t>
            </w:r>
          </w:p>
        </w:tc>
        <w:tc>
          <w:tcPr>
            <w:tcW w:w="0" w:type="auto"/>
            <w:hideMark/>
          </w:tcPr>
          <w:p w14:paraId="3881C20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Congreso de la República de Colombia. (2006). Ley 1066 de 2006, por la cual se dictan normas </w:t>
            </w:r>
            <w:r w:rsidRPr="006177E4">
              <w:rPr>
                <w:rFonts w:eastAsia="Times New Roman" w:cs="Times New Roman"/>
                <w:color w:val="000000"/>
                <w:szCs w:val="24"/>
              </w:rPr>
              <w:lastRenderedPageBreak/>
              <w:t>para la normalización de la cartera pública y se dictan otras disposiciones.</w:t>
            </w:r>
          </w:p>
        </w:tc>
        <w:tc>
          <w:tcPr>
            <w:tcW w:w="0" w:type="auto"/>
            <w:hideMark/>
          </w:tcPr>
          <w:p w14:paraId="64FD7CB4"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SUIN-</w:t>
            </w:r>
            <w:proofErr w:type="spellStart"/>
            <w:r w:rsidRPr="006177E4">
              <w:rPr>
                <w:rFonts w:eastAsia="Times New Roman" w:cs="Times New Roman"/>
                <w:color w:val="000000"/>
                <w:szCs w:val="24"/>
                <w:lang w:val="en-US"/>
              </w:rPr>
              <w:t>Juriscol</w:t>
            </w:r>
            <w:proofErr w:type="spellEnd"/>
          </w:p>
        </w:tc>
        <w:tc>
          <w:tcPr>
            <w:tcW w:w="0" w:type="auto"/>
            <w:hideMark/>
          </w:tcPr>
          <w:p w14:paraId="6BA5F063"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Introdujo el antecedente de considerar no </w:t>
            </w:r>
            <w:r w:rsidRPr="006177E4">
              <w:rPr>
                <w:rFonts w:eastAsia="Times New Roman" w:cs="Times New Roman"/>
                <w:color w:val="000000"/>
                <w:szCs w:val="24"/>
              </w:rPr>
              <w:lastRenderedPageBreak/>
              <w:t>presentadas las declaraciones de retención en la fuente sin pago, útil para reconstruir el tránsito normativo previo al artículo 580-1 ET.</w:t>
            </w:r>
          </w:p>
        </w:tc>
        <w:tc>
          <w:tcPr>
            <w:tcW w:w="0" w:type="auto"/>
            <w:hideMark/>
          </w:tcPr>
          <w:p w14:paraId="5803EE7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Permite explicar el antecedente </w:t>
            </w:r>
            <w:r w:rsidRPr="006177E4">
              <w:rPr>
                <w:rFonts w:eastAsia="Times New Roman" w:cs="Times New Roman"/>
                <w:color w:val="000000"/>
                <w:szCs w:val="24"/>
              </w:rPr>
              <w:lastRenderedPageBreak/>
              <w:t>inmediato de la figura de la ineficacia y fortalecer la periodización normativa.</w:t>
            </w:r>
          </w:p>
        </w:tc>
      </w:tr>
      <w:tr w:rsidR="00CC1C3F" w:rsidRPr="006177E4" w14:paraId="57E45F3D" w14:textId="77777777" w:rsidTr="00C01B90">
        <w:trPr>
          <w:trHeight w:val="576"/>
        </w:trPr>
        <w:tc>
          <w:tcPr>
            <w:tcW w:w="0" w:type="auto"/>
            <w:hideMark/>
          </w:tcPr>
          <w:p w14:paraId="3BB84E0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c>
          <w:tcPr>
            <w:tcW w:w="0" w:type="auto"/>
            <w:hideMark/>
          </w:tcPr>
          <w:p w14:paraId="28975C4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2019</w:t>
            </w:r>
          </w:p>
        </w:tc>
        <w:tc>
          <w:tcPr>
            <w:tcW w:w="0" w:type="auto"/>
            <w:hideMark/>
          </w:tcPr>
          <w:p w14:paraId="51BB1C67"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Doctrina</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oficial</w:t>
            </w:r>
            <w:proofErr w:type="spellEnd"/>
          </w:p>
        </w:tc>
        <w:tc>
          <w:tcPr>
            <w:tcW w:w="0" w:type="auto"/>
            <w:hideMark/>
          </w:tcPr>
          <w:p w14:paraId="123D7FC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[DIAN]. </w:t>
            </w:r>
            <w:r w:rsidRPr="006177E4">
              <w:rPr>
                <w:rFonts w:eastAsia="Times New Roman" w:cs="Times New Roman"/>
                <w:color w:val="000000"/>
                <w:szCs w:val="24"/>
                <w:lang w:val="en-US"/>
              </w:rPr>
              <w:t xml:space="preserve">(2019).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29278 de 2019.</w:t>
            </w:r>
          </w:p>
        </w:tc>
        <w:tc>
          <w:tcPr>
            <w:tcW w:w="0" w:type="auto"/>
            <w:hideMark/>
          </w:tcPr>
          <w:p w14:paraId="5C5AA48B"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1C67406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Precisa la aplicación del artículo 580-1 ET y las condiciones </w:t>
            </w:r>
            <w:r w:rsidRPr="006177E4">
              <w:rPr>
                <w:rFonts w:eastAsia="Times New Roman" w:cs="Times New Roman"/>
                <w:color w:val="000000"/>
                <w:szCs w:val="24"/>
              </w:rPr>
              <w:lastRenderedPageBreak/>
              <w:t>excepcionales relacionadas con saldo a favor y pago.</w:t>
            </w:r>
          </w:p>
        </w:tc>
        <w:tc>
          <w:tcPr>
            <w:tcW w:w="0" w:type="auto"/>
            <w:hideMark/>
          </w:tcPr>
          <w:p w14:paraId="401DF24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Fortalece el análisis doctrinal del período inmediatament</w:t>
            </w:r>
            <w:r w:rsidRPr="006177E4">
              <w:rPr>
                <w:rFonts w:eastAsia="Times New Roman" w:cs="Times New Roman"/>
                <w:color w:val="000000"/>
                <w:szCs w:val="24"/>
              </w:rPr>
              <w:lastRenderedPageBreak/>
              <w:t>e anterior a la Ley 2010 de 2019.</w:t>
            </w:r>
          </w:p>
        </w:tc>
      </w:tr>
      <w:tr w:rsidR="00CC1C3F" w:rsidRPr="006177E4" w14:paraId="31345AEF" w14:textId="77777777" w:rsidTr="00C01B90">
        <w:trPr>
          <w:trHeight w:val="864"/>
        </w:trPr>
        <w:tc>
          <w:tcPr>
            <w:tcW w:w="0" w:type="auto"/>
            <w:hideMark/>
          </w:tcPr>
          <w:p w14:paraId="6F26920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Rueda Mantilla, David</w:t>
            </w:r>
          </w:p>
        </w:tc>
        <w:tc>
          <w:tcPr>
            <w:tcW w:w="0" w:type="auto"/>
            <w:hideMark/>
          </w:tcPr>
          <w:p w14:paraId="35BC315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2017</w:t>
            </w:r>
          </w:p>
        </w:tc>
        <w:tc>
          <w:tcPr>
            <w:tcW w:w="0" w:type="auto"/>
            <w:hideMark/>
          </w:tcPr>
          <w:p w14:paraId="0FBCBB22"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científico</w:t>
            </w:r>
            <w:proofErr w:type="spellEnd"/>
          </w:p>
        </w:tc>
        <w:tc>
          <w:tcPr>
            <w:tcW w:w="0" w:type="auto"/>
            <w:hideMark/>
          </w:tcPr>
          <w:p w14:paraId="5663BE7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Rueda Mantilla, D. (2017). Improcedencia de las sanciones por extemporaneidad y por no declarar cuando se presenta oportunamente la declaración de retención en la fuente sin pago total. </w:t>
            </w:r>
            <w:proofErr w:type="spellStart"/>
            <w:r w:rsidRPr="006177E4">
              <w:rPr>
                <w:rFonts w:eastAsia="Times New Roman" w:cs="Times New Roman"/>
                <w:color w:val="000000"/>
                <w:szCs w:val="24"/>
                <w:lang w:val="en-US"/>
              </w:rPr>
              <w:t>Revista</w:t>
            </w:r>
            <w:proofErr w:type="spellEnd"/>
            <w:r w:rsidRPr="006177E4">
              <w:rPr>
                <w:rFonts w:eastAsia="Times New Roman" w:cs="Times New Roman"/>
                <w:color w:val="000000"/>
                <w:szCs w:val="24"/>
                <w:lang w:val="en-US"/>
              </w:rPr>
              <w:t xml:space="preserve"> de Derecho Fiscal, (11), 53–70. https://doi.org/10.18601/16926722.n11.03</w:t>
            </w:r>
          </w:p>
        </w:tc>
        <w:tc>
          <w:tcPr>
            <w:tcW w:w="0" w:type="auto"/>
            <w:hideMark/>
          </w:tcPr>
          <w:p w14:paraId="4B90025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Revista de Derecho Fiscal, Universidad Externado de Colombia</w:t>
            </w:r>
          </w:p>
        </w:tc>
        <w:tc>
          <w:tcPr>
            <w:tcW w:w="0" w:type="auto"/>
            <w:hideMark/>
          </w:tcPr>
          <w:p w14:paraId="6EB705F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Sostiene la improcedencia de ciertas sanciones cuando la declaración fue presentada oportunamente, aunque sin pago total.</w:t>
            </w:r>
          </w:p>
        </w:tc>
        <w:tc>
          <w:tcPr>
            <w:tcW w:w="0" w:type="auto"/>
            <w:hideMark/>
          </w:tcPr>
          <w:p w14:paraId="7E6CDBA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Aporta discusión especializada sobre la diferencia entre ineficacia y régimen sancionatorio.</w:t>
            </w:r>
          </w:p>
        </w:tc>
      </w:tr>
      <w:tr w:rsidR="00CC1C3F" w:rsidRPr="006177E4" w14:paraId="16E7AAE3" w14:textId="77777777" w:rsidTr="00C01B90">
        <w:trPr>
          <w:trHeight w:val="576"/>
        </w:trPr>
        <w:tc>
          <w:tcPr>
            <w:tcW w:w="0" w:type="auto"/>
            <w:hideMark/>
          </w:tcPr>
          <w:p w14:paraId="409149A2"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Rincón</w:t>
            </w:r>
            <w:proofErr w:type="spellEnd"/>
            <w:r w:rsidRPr="006177E4">
              <w:rPr>
                <w:rFonts w:eastAsia="Times New Roman" w:cs="Times New Roman"/>
                <w:color w:val="000000"/>
                <w:szCs w:val="24"/>
                <w:lang w:val="en-US"/>
              </w:rPr>
              <w:t xml:space="preserve"> Palacio, </w:t>
            </w:r>
            <w:r w:rsidRPr="006177E4">
              <w:rPr>
                <w:rFonts w:eastAsia="Times New Roman" w:cs="Times New Roman"/>
                <w:color w:val="000000"/>
                <w:szCs w:val="24"/>
                <w:lang w:val="en-US"/>
              </w:rPr>
              <w:lastRenderedPageBreak/>
              <w:t>Adriana Paola</w:t>
            </w:r>
          </w:p>
        </w:tc>
        <w:tc>
          <w:tcPr>
            <w:tcW w:w="0" w:type="auto"/>
            <w:hideMark/>
          </w:tcPr>
          <w:p w14:paraId="20C2984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2018</w:t>
            </w:r>
          </w:p>
        </w:tc>
        <w:tc>
          <w:tcPr>
            <w:tcW w:w="0" w:type="auto"/>
            <w:hideMark/>
          </w:tcPr>
          <w:p w14:paraId="6458C01F"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científico</w:t>
            </w:r>
            <w:proofErr w:type="spellEnd"/>
          </w:p>
        </w:tc>
        <w:tc>
          <w:tcPr>
            <w:tcW w:w="0" w:type="auto"/>
            <w:hideMark/>
          </w:tcPr>
          <w:p w14:paraId="3BCF476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Rincón Palacio, A. P. (2018). Problemática asociada a la </w:t>
            </w:r>
            <w:r w:rsidRPr="006177E4">
              <w:rPr>
                <w:rFonts w:eastAsia="Times New Roman" w:cs="Times New Roman"/>
                <w:color w:val="000000"/>
                <w:szCs w:val="24"/>
              </w:rPr>
              <w:lastRenderedPageBreak/>
              <w:t xml:space="preserve">consagración de la ineficacia de las declaraciones de retención en la fuente. </w:t>
            </w:r>
            <w:proofErr w:type="spellStart"/>
            <w:r w:rsidRPr="006177E4">
              <w:rPr>
                <w:rFonts w:eastAsia="Times New Roman" w:cs="Times New Roman"/>
                <w:color w:val="000000"/>
                <w:szCs w:val="24"/>
                <w:lang w:val="en-US"/>
              </w:rPr>
              <w:t>Revista</w:t>
            </w:r>
            <w:proofErr w:type="spellEnd"/>
            <w:r w:rsidRPr="006177E4">
              <w:rPr>
                <w:rFonts w:eastAsia="Times New Roman" w:cs="Times New Roman"/>
                <w:color w:val="000000"/>
                <w:szCs w:val="24"/>
                <w:lang w:val="en-US"/>
              </w:rPr>
              <w:t xml:space="preserve"> de Derecho Fiscal, (13), 273–312. https://doi.org/10.18601/16926722.n13.10</w:t>
            </w:r>
          </w:p>
        </w:tc>
        <w:tc>
          <w:tcPr>
            <w:tcW w:w="0" w:type="auto"/>
            <w:hideMark/>
          </w:tcPr>
          <w:p w14:paraId="19F3ABC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Revista de Derecho </w:t>
            </w:r>
            <w:r w:rsidRPr="006177E4">
              <w:rPr>
                <w:rFonts w:eastAsia="Times New Roman" w:cs="Times New Roman"/>
                <w:color w:val="000000"/>
                <w:szCs w:val="24"/>
              </w:rPr>
              <w:lastRenderedPageBreak/>
              <w:t>Fiscal, Universidad Externado de Colombia</w:t>
            </w:r>
          </w:p>
        </w:tc>
        <w:tc>
          <w:tcPr>
            <w:tcW w:w="0" w:type="auto"/>
            <w:hideMark/>
          </w:tcPr>
          <w:p w14:paraId="3411342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Analiza las dificultades </w:t>
            </w:r>
            <w:r w:rsidRPr="006177E4">
              <w:rPr>
                <w:rFonts w:eastAsia="Times New Roman" w:cs="Times New Roman"/>
                <w:color w:val="000000"/>
                <w:szCs w:val="24"/>
              </w:rPr>
              <w:lastRenderedPageBreak/>
              <w:t>prácticas de cobro y ejecución asociadas a las declaraciones ineficaces.</w:t>
            </w:r>
          </w:p>
        </w:tc>
        <w:tc>
          <w:tcPr>
            <w:tcW w:w="0" w:type="auto"/>
            <w:hideMark/>
          </w:tcPr>
          <w:p w14:paraId="130A8D9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Es una fuente académica </w:t>
            </w:r>
            <w:r w:rsidRPr="006177E4">
              <w:rPr>
                <w:rFonts w:eastAsia="Times New Roman" w:cs="Times New Roman"/>
                <w:color w:val="000000"/>
                <w:szCs w:val="24"/>
              </w:rPr>
              <w:lastRenderedPageBreak/>
              <w:t>directamente centrada en el problema jurídico del estudio.</w:t>
            </w:r>
          </w:p>
        </w:tc>
      </w:tr>
      <w:tr w:rsidR="00CC1C3F" w:rsidRPr="006177E4" w14:paraId="7F5FEECF" w14:textId="77777777" w:rsidTr="00C01B90">
        <w:trPr>
          <w:trHeight w:val="1152"/>
        </w:trPr>
        <w:tc>
          <w:tcPr>
            <w:tcW w:w="0" w:type="auto"/>
            <w:hideMark/>
          </w:tcPr>
          <w:p w14:paraId="50937AB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Consejo de Estado, Sección Cuarta</w:t>
            </w:r>
          </w:p>
        </w:tc>
        <w:tc>
          <w:tcPr>
            <w:tcW w:w="0" w:type="auto"/>
            <w:hideMark/>
          </w:tcPr>
          <w:p w14:paraId="44D6A2EE"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2022</w:t>
            </w:r>
          </w:p>
        </w:tc>
        <w:tc>
          <w:tcPr>
            <w:tcW w:w="0" w:type="auto"/>
            <w:hideMark/>
          </w:tcPr>
          <w:p w14:paraId="79355B0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0EF10757"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Consejo de Estado, Sala de lo Contencioso Administrativo, Sección Cuarta. </w:t>
            </w:r>
            <w:r w:rsidRPr="006177E4">
              <w:rPr>
                <w:rFonts w:eastAsia="Times New Roman" w:cs="Times New Roman"/>
                <w:color w:val="000000"/>
                <w:szCs w:val="24"/>
                <w:lang w:val="en-US"/>
              </w:rPr>
              <w:t xml:space="preserve">(2022, 3 de </w:t>
            </w:r>
            <w:proofErr w:type="spellStart"/>
            <w:r w:rsidRPr="006177E4">
              <w:rPr>
                <w:rFonts w:eastAsia="Times New Roman" w:cs="Times New Roman"/>
                <w:color w:val="000000"/>
                <w:szCs w:val="24"/>
                <w:lang w:val="en-US"/>
              </w:rPr>
              <w:t>noviembre</w:t>
            </w:r>
            <w:proofErr w:type="spellEnd"/>
            <w:r w:rsidRPr="006177E4">
              <w:rPr>
                <w:rFonts w:eastAsia="Times New Roman" w:cs="Times New Roman"/>
                <w:color w:val="000000"/>
                <w:szCs w:val="24"/>
                <w:lang w:val="en-US"/>
              </w:rPr>
              <w:t xml:space="preserve">). Rad. 11001-03-27-000-2020-00027-00 (25406) </w:t>
            </w:r>
            <w:proofErr w:type="spellStart"/>
            <w:r w:rsidRPr="006177E4">
              <w:rPr>
                <w:rFonts w:eastAsia="Times New Roman" w:cs="Times New Roman"/>
                <w:color w:val="000000"/>
                <w:szCs w:val="24"/>
                <w:lang w:val="en-US"/>
              </w:rPr>
              <w:t>acumulados</w:t>
            </w:r>
            <w:proofErr w:type="spellEnd"/>
            <w:r w:rsidRPr="006177E4">
              <w:rPr>
                <w:rFonts w:eastAsia="Times New Roman" w:cs="Times New Roman"/>
                <w:color w:val="000000"/>
                <w:szCs w:val="24"/>
                <w:lang w:val="en-US"/>
              </w:rPr>
              <w:t xml:space="preserve"> 25395, 25494 y 25541.</w:t>
            </w:r>
          </w:p>
        </w:tc>
        <w:tc>
          <w:tcPr>
            <w:tcW w:w="0" w:type="auto"/>
            <w:hideMark/>
          </w:tcPr>
          <w:p w14:paraId="4FB33D4A"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2A4331E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Declaró la nulidad del reglamento que extendía la ineficacia a declaraciones de IVA presentadas en períodos distintos, </w:t>
            </w:r>
            <w:r w:rsidRPr="006177E4">
              <w:rPr>
                <w:rFonts w:eastAsia="Times New Roman" w:cs="Times New Roman"/>
                <w:color w:val="000000"/>
                <w:szCs w:val="24"/>
              </w:rPr>
              <w:lastRenderedPageBreak/>
              <w:t>enfatizando que la ineficacia es una figura legalmente prevista para la retención en la fuente.</w:t>
            </w:r>
          </w:p>
        </w:tc>
        <w:tc>
          <w:tcPr>
            <w:tcW w:w="0" w:type="auto"/>
            <w:hideMark/>
          </w:tcPr>
          <w:p w14:paraId="6EDF161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Ayuda a delimitar la especialidad de la figura del artículo 580-1 ET y evita analogías indebidas.</w:t>
            </w:r>
          </w:p>
        </w:tc>
      </w:tr>
      <w:tr w:rsidR="00CC1C3F" w:rsidRPr="006177E4" w14:paraId="59497FDA" w14:textId="77777777" w:rsidTr="00C01B90">
        <w:trPr>
          <w:trHeight w:val="864"/>
        </w:trPr>
        <w:tc>
          <w:tcPr>
            <w:tcW w:w="0" w:type="auto"/>
            <w:hideMark/>
          </w:tcPr>
          <w:p w14:paraId="1E5975B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Figueredo Ortiz, Silvia Karina</w:t>
            </w:r>
          </w:p>
        </w:tc>
        <w:tc>
          <w:tcPr>
            <w:tcW w:w="0" w:type="auto"/>
            <w:hideMark/>
          </w:tcPr>
          <w:p w14:paraId="690579FE"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2022</w:t>
            </w:r>
          </w:p>
        </w:tc>
        <w:tc>
          <w:tcPr>
            <w:tcW w:w="0" w:type="auto"/>
            <w:hideMark/>
          </w:tcPr>
          <w:p w14:paraId="1225EBEE"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Trabajo</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grado</w:t>
            </w:r>
            <w:proofErr w:type="spellEnd"/>
          </w:p>
        </w:tc>
        <w:tc>
          <w:tcPr>
            <w:tcW w:w="0" w:type="auto"/>
            <w:hideMark/>
          </w:tcPr>
          <w:p w14:paraId="53D8B71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Figueredo Ortiz, S. K. (2022). Ineficacia en las declaraciones de retención en la fuente [Trabajo de grado, Universidad Santo Tomás].</w:t>
            </w:r>
          </w:p>
        </w:tc>
        <w:tc>
          <w:tcPr>
            <w:tcW w:w="0" w:type="auto"/>
            <w:hideMark/>
          </w:tcPr>
          <w:p w14:paraId="3BF4DEF3"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Repositorio</w:t>
            </w:r>
            <w:proofErr w:type="spellEnd"/>
            <w:r w:rsidRPr="006177E4">
              <w:rPr>
                <w:rFonts w:eastAsia="Times New Roman" w:cs="Times New Roman"/>
                <w:color w:val="000000"/>
                <w:szCs w:val="24"/>
                <w:lang w:val="en-US"/>
              </w:rPr>
              <w:t xml:space="preserve"> USTA</w:t>
            </w:r>
          </w:p>
        </w:tc>
        <w:tc>
          <w:tcPr>
            <w:tcW w:w="0" w:type="auto"/>
            <w:hideMark/>
          </w:tcPr>
          <w:p w14:paraId="3C19D1D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Aborda de forma directa la figura de la ineficacia en las declaraciones de retención en la fuente desde una perspectiva aplicada.</w:t>
            </w:r>
          </w:p>
        </w:tc>
        <w:tc>
          <w:tcPr>
            <w:tcW w:w="0" w:type="auto"/>
            <w:hideMark/>
          </w:tcPr>
          <w:p w14:paraId="4593FC7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Amplía los antecedentes académicos específicos sobre la figura y permite contrastar enfoques con </w:t>
            </w:r>
            <w:r w:rsidRPr="006177E4">
              <w:rPr>
                <w:rFonts w:eastAsia="Times New Roman" w:cs="Times New Roman"/>
                <w:color w:val="000000"/>
                <w:szCs w:val="24"/>
              </w:rPr>
              <w:lastRenderedPageBreak/>
              <w:t>otros trabajos de grado.</w:t>
            </w:r>
          </w:p>
        </w:tc>
      </w:tr>
      <w:tr w:rsidR="00CC1C3F" w:rsidRPr="006177E4" w14:paraId="3BB8680F" w14:textId="77777777" w:rsidTr="00C01B90">
        <w:trPr>
          <w:trHeight w:val="864"/>
        </w:trPr>
        <w:tc>
          <w:tcPr>
            <w:tcW w:w="0" w:type="auto"/>
            <w:hideMark/>
          </w:tcPr>
          <w:p w14:paraId="73BABC7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Salazar Camargo, Aura María</w:t>
            </w:r>
          </w:p>
        </w:tc>
        <w:tc>
          <w:tcPr>
            <w:tcW w:w="0" w:type="auto"/>
            <w:hideMark/>
          </w:tcPr>
          <w:p w14:paraId="5DDDEFA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2020</w:t>
            </w:r>
          </w:p>
        </w:tc>
        <w:tc>
          <w:tcPr>
            <w:tcW w:w="0" w:type="auto"/>
            <w:hideMark/>
          </w:tcPr>
          <w:p w14:paraId="263F0D2B"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Documento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académico</w:t>
            </w:r>
            <w:proofErr w:type="spellEnd"/>
          </w:p>
        </w:tc>
        <w:tc>
          <w:tcPr>
            <w:tcW w:w="0" w:type="auto"/>
            <w:hideMark/>
          </w:tcPr>
          <w:p w14:paraId="5BE8F30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Salazar Camargo, A. M. (2020). Documento académico identificado por archivo de carpeta [Referencia provisional pendiente de normalización bibliográfica].</w:t>
            </w:r>
          </w:p>
        </w:tc>
        <w:tc>
          <w:tcPr>
            <w:tcW w:w="0" w:type="auto"/>
            <w:hideMark/>
          </w:tcPr>
          <w:p w14:paraId="12BF32AD"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Vlex</w:t>
            </w:r>
            <w:proofErr w:type="spellEnd"/>
          </w:p>
        </w:tc>
        <w:tc>
          <w:tcPr>
            <w:tcW w:w="0" w:type="auto"/>
            <w:hideMark/>
          </w:tcPr>
          <w:p w14:paraId="4C07CAFF"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Fuente académica pendiente de normalización bibliográfica; por nombre de archivo corresponde a un trabajo individual del año 2020.</w:t>
            </w:r>
          </w:p>
        </w:tc>
        <w:tc>
          <w:tcPr>
            <w:tcW w:w="0" w:type="auto"/>
            <w:hideMark/>
          </w:tcPr>
          <w:p w14:paraId="620382A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Se incorpora al inventario para revisión posterior y eventual aprovechamiento como antecedente académico o doctrinal.</w:t>
            </w:r>
          </w:p>
        </w:tc>
      </w:tr>
      <w:tr w:rsidR="00CC1C3F" w:rsidRPr="006177E4" w14:paraId="4B6AA93B" w14:textId="77777777" w:rsidTr="00C01B90">
        <w:trPr>
          <w:trHeight w:val="576"/>
        </w:trPr>
        <w:tc>
          <w:tcPr>
            <w:tcW w:w="0" w:type="auto"/>
            <w:hideMark/>
          </w:tcPr>
          <w:p w14:paraId="2C7CD90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DIAN</w:t>
            </w:r>
          </w:p>
        </w:tc>
        <w:tc>
          <w:tcPr>
            <w:tcW w:w="0" w:type="auto"/>
            <w:hideMark/>
          </w:tcPr>
          <w:p w14:paraId="4C9F73C8"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2019</w:t>
            </w:r>
          </w:p>
        </w:tc>
        <w:tc>
          <w:tcPr>
            <w:tcW w:w="0" w:type="auto"/>
            <w:hideMark/>
          </w:tcPr>
          <w:p w14:paraId="1C299201"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01D2FBB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[DIAN]. </w:t>
            </w:r>
            <w:r w:rsidRPr="006177E4">
              <w:rPr>
                <w:rFonts w:eastAsia="Times New Roman" w:cs="Times New Roman"/>
                <w:color w:val="000000"/>
                <w:szCs w:val="24"/>
                <w:lang w:val="en-US"/>
              </w:rPr>
              <w:t xml:space="preserve">(2019).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22619 de 2019.</w:t>
            </w:r>
          </w:p>
        </w:tc>
        <w:tc>
          <w:tcPr>
            <w:tcW w:w="0" w:type="auto"/>
            <w:hideMark/>
          </w:tcPr>
          <w:p w14:paraId="16107786"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10C61ECF"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Desarrolla criterios administrativos </w:t>
            </w:r>
            <w:r w:rsidRPr="006177E4">
              <w:rPr>
                <w:rFonts w:eastAsia="Times New Roman" w:cs="Times New Roman"/>
                <w:color w:val="000000"/>
                <w:szCs w:val="24"/>
              </w:rPr>
              <w:lastRenderedPageBreak/>
              <w:t>sobre declaraciones de retención en la fuente ineficaces y facilidades de pago.</w:t>
            </w:r>
          </w:p>
        </w:tc>
        <w:tc>
          <w:tcPr>
            <w:tcW w:w="0" w:type="auto"/>
            <w:hideMark/>
          </w:tcPr>
          <w:p w14:paraId="1B98AE7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Complementa el análisis doctrinal del </w:t>
            </w:r>
            <w:r w:rsidRPr="006177E4">
              <w:rPr>
                <w:rFonts w:eastAsia="Times New Roman" w:cs="Times New Roman"/>
                <w:color w:val="000000"/>
                <w:szCs w:val="24"/>
              </w:rPr>
              <w:lastRenderedPageBreak/>
              <w:t>tránsito entre la ineficacia y la gestión de cobro.</w:t>
            </w:r>
          </w:p>
        </w:tc>
      </w:tr>
      <w:tr w:rsidR="00CC1C3F" w:rsidRPr="006177E4" w14:paraId="2C330F76" w14:textId="77777777" w:rsidTr="00C01B90">
        <w:trPr>
          <w:trHeight w:val="576"/>
        </w:trPr>
        <w:tc>
          <w:tcPr>
            <w:tcW w:w="0" w:type="auto"/>
            <w:hideMark/>
          </w:tcPr>
          <w:p w14:paraId="55EB22A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c>
          <w:tcPr>
            <w:tcW w:w="0" w:type="auto"/>
            <w:hideMark/>
          </w:tcPr>
          <w:p w14:paraId="389C97C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2020</w:t>
            </w:r>
          </w:p>
        </w:tc>
        <w:tc>
          <w:tcPr>
            <w:tcW w:w="0" w:type="auto"/>
            <w:hideMark/>
          </w:tcPr>
          <w:p w14:paraId="6A76F7CB"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doctrinal</w:t>
            </w:r>
          </w:p>
        </w:tc>
        <w:tc>
          <w:tcPr>
            <w:tcW w:w="0" w:type="auto"/>
            <w:hideMark/>
          </w:tcPr>
          <w:p w14:paraId="710D0C6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[DIAN]. </w:t>
            </w:r>
            <w:r w:rsidRPr="006177E4">
              <w:rPr>
                <w:rFonts w:eastAsia="Times New Roman" w:cs="Times New Roman"/>
                <w:color w:val="000000"/>
                <w:szCs w:val="24"/>
                <w:lang w:val="en-US"/>
              </w:rPr>
              <w:t xml:space="preserve">(2020). </w:t>
            </w: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903422 de 2020.</w:t>
            </w:r>
          </w:p>
        </w:tc>
        <w:tc>
          <w:tcPr>
            <w:tcW w:w="0" w:type="auto"/>
            <w:hideMark/>
          </w:tcPr>
          <w:p w14:paraId="1CA277BC"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1FD81B6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Aporta interpretación administrativa complementaria sobre la eficacia de declaraciones y sus efectos en </w:t>
            </w:r>
            <w:r w:rsidRPr="006177E4">
              <w:rPr>
                <w:rFonts w:eastAsia="Times New Roman" w:cs="Times New Roman"/>
                <w:color w:val="000000"/>
                <w:szCs w:val="24"/>
              </w:rPr>
              <w:lastRenderedPageBreak/>
              <w:t>materia de pago.</w:t>
            </w:r>
          </w:p>
        </w:tc>
        <w:tc>
          <w:tcPr>
            <w:tcW w:w="0" w:type="auto"/>
            <w:hideMark/>
          </w:tcPr>
          <w:p w14:paraId="409EEE9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Sirve para robustecer la línea doctrinal DIAN del período 2020.</w:t>
            </w:r>
          </w:p>
        </w:tc>
      </w:tr>
      <w:tr w:rsidR="00CC1C3F" w:rsidRPr="006177E4" w14:paraId="36DB0019" w14:textId="77777777" w:rsidTr="00C01B90">
        <w:trPr>
          <w:trHeight w:val="576"/>
        </w:trPr>
        <w:tc>
          <w:tcPr>
            <w:tcW w:w="0" w:type="auto"/>
            <w:hideMark/>
          </w:tcPr>
          <w:p w14:paraId="3DE4F31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Consejo de Estado, Sección Cuarta</w:t>
            </w:r>
          </w:p>
        </w:tc>
        <w:tc>
          <w:tcPr>
            <w:tcW w:w="0" w:type="auto"/>
            <w:hideMark/>
          </w:tcPr>
          <w:p w14:paraId="134E8F4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2019</w:t>
            </w:r>
          </w:p>
        </w:tc>
        <w:tc>
          <w:tcPr>
            <w:tcW w:w="0" w:type="auto"/>
            <w:hideMark/>
          </w:tcPr>
          <w:p w14:paraId="47DC3D9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673286D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Consejo de Estado, Sección Cuarta. </w:t>
            </w:r>
            <w:r w:rsidRPr="006177E4">
              <w:rPr>
                <w:rFonts w:eastAsia="Times New Roman" w:cs="Times New Roman"/>
                <w:color w:val="000000"/>
                <w:szCs w:val="24"/>
                <w:lang w:val="en-US"/>
              </w:rPr>
              <w:t xml:space="preserve">(2019). </w:t>
            </w: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exp. 11001-03-27-000-2014-00146-00 (21461).</w:t>
            </w:r>
          </w:p>
        </w:tc>
        <w:tc>
          <w:tcPr>
            <w:tcW w:w="0" w:type="auto"/>
            <w:hideMark/>
          </w:tcPr>
          <w:p w14:paraId="186AE109"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5747D954"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Controla doctrina administrativa relacionada con la ineficacia y la interpretación del artículo 580-1 del Estatuto Tributario.</w:t>
            </w:r>
          </w:p>
        </w:tc>
        <w:tc>
          <w:tcPr>
            <w:tcW w:w="0" w:type="auto"/>
            <w:hideMark/>
          </w:tcPr>
          <w:p w14:paraId="7A695B2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Fortalece la línea jurisprudencial contenciosa sobre la figura.</w:t>
            </w:r>
          </w:p>
        </w:tc>
      </w:tr>
      <w:tr w:rsidR="00CC1C3F" w:rsidRPr="006177E4" w14:paraId="44C55561" w14:textId="77777777" w:rsidTr="00C01B90">
        <w:trPr>
          <w:trHeight w:val="576"/>
        </w:trPr>
        <w:tc>
          <w:tcPr>
            <w:tcW w:w="0" w:type="auto"/>
            <w:hideMark/>
          </w:tcPr>
          <w:p w14:paraId="0A9F8E96"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Consejo de Estado, </w:t>
            </w:r>
            <w:r w:rsidRPr="006177E4">
              <w:rPr>
                <w:rFonts w:eastAsia="Times New Roman" w:cs="Times New Roman"/>
                <w:color w:val="000000"/>
                <w:szCs w:val="24"/>
              </w:rPr>
              <w:lastRenderedPageBreak/>
              <w:t>Sección Cuarta</w:t>
            </w:r>
          </w:p>
        </w:tc>
        <w:tc>
          <w:tcPr>
            <w:tcW w:w="0" w:type="auto"/>
            <w:hideMark/>
          </w:tcPr>
          <w:p w14:paraId="262DB94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2019</w:t>
            </w:r>
          </w:p>
        </w:tc>
        <w:tc>
          <w:tcPr>
            <w:tcW w:w="0" w:type="auto"/>
            <w:hideMark/>
          </w:tcPr>
          <w:p w14:paraId="4328C542"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0E245C3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Consejo de Estado, Sección Cuarta. </w:t>
            </w:r>
            <w:r w:rsidRPr="006177E4">
              <w:rPr>
                <w:rFonts w:eastAsia="Times New Roman" w:cs="Times New Roman"/>
                <w:color w:val="000000"/>
                <w:szCs w:val="24"/>
                <w:lang w:val="en-US"/>
              </w:rPr>
              <w:t xml:space="preserve">(2019). </w:t>
            </w: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exp. 11001-03-27-000-2017-00002-00.</w:t>
            </w:r>
          </w:p>
        </w:tc>
        <w:tc>
          <w:tcPr>
            <w:tcW w:w="0" w:type="auto"/>
            <w:hideMark/>
          </w:tcPr>
          <w:p w14:paraId="23F30273"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3CB1C66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Examina la validez de la doctrina DIAN </w:t>
            </w:r>
            <w:r w:rsidRPr="006177E4">
              <w:rPr>
                <w:rFonts w:eastAsia="Times New Roman" w:cs="Times New Roman"/>
                <w:color w:val="000000"/>
                <w:szCs w:val="24"/>
              </w:rPr>
              <w:lastRenderedPageBreak/>
              <w:t>sobre la aplicación del artículo 580-1 del Estatuto Tributario.</w:t>
            </w:r>
          </w:p>
        </w:tc>
        <w:tc>
          <w:tcPr>
            <w:tcW w:w="0" w:type="auto"/>
            <w:hideMark/>
          </w:tcPr>
          <w:p w14:paraId="0B1521F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Permite contrastar la interpretación </w:t>
            </w:r>
            <w:r w:rsidRPr="006177E4">
              <w:rPr>
                <w:rFonts w:eastAsia="Times New Roman" w:cs="Times New Roman"/>
                <w:color w:val="000000"/>
                <w:szCs w:val="24"/>
              </w:rPr>
              <w:lastRenderedPageBreak/>
              <w:t>administrativa con el control judicial de legalidad.</w:t>
            </w:r>
          </w:p>
        </w:tc>
      </w:tr>
      <w:tr w:rsidR="00CC1C3F" w:rsidRPr="006177E4" w14:paraId="6BC8A8E2" w14:textId="77777777" w:rsidTr="00C01B90">
        <w:trPr>
          <w:trHeight w:val="576"/>
        </w:trPr>
        <w:tc>
          <w:tcPr>
            <w:tcW w:w="0" w:type="auto"/>
            <w:hideMark/>
          </w:tcPr>
          <w:p w14:paraId="616930B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Consejo de Estado, Sección Cuarta</w:t>
            </w:r>
          </w:p>
        </w:tc>
        <w:tc>
          <w:tcPr>
            <w:tcW w:w="0" w:type="auto"/>
            <w:hideMark/>
          </w:tcPr>
          <w:p w14:paraId="1B7FE64E"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2019/2021</w:t>
            </w:r>
          </w:p>
        </w:tc>
        <w:tc>
          <w:tcPr>
            <w:tcW w:w="0" w:type="auto"/>
            <w:hideMark/>
          </w:tcPr>
          <w:p w14:paraId="14B30CCA"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33FE5BA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Consejo de Estado, Sección Cuarta. (2019/2021). Sentencia del 21 de febrero de 2019, </w:t>
            </w:r>
            <w:proofErr w:type="spellStart"/>
            <w:r w:rsidRPr="006177E4">
              <w:rPr>
                <w:rFonts w:eastAsia="Times New Roman" w:cs="Times New Roman"/>
                <w:color w:val="000000"/>
                <w:szCs w:val="24"/>
              </w:rPr>
              <w:t>Exp</w:t>
            </w:r>
            <w:proofErr w:type="spellEnd"/>
            <w:r w:rsidRPr="006177E4">
              <w:rPr>
                <w:rFonts w:eastAsia="Times New Roman" w:cs="Times New Roman"/>
                <w:color w:val="000000"/>
                <w:szCs w:val="24"/>
              </w:rPr>
              <w:t xml:space="preserve">. 21604, reiterada en la sentencia del 26 de agosto de 2021, </w:t>
            </w:r>
            <w:proofErr w:type="spellStart"/>
            <w:r w:rsidRPr="006177E4">
              <w:rPr>
                <w:rFonts w:eastAsia="Times New Roman" w:cs="Times New Roman"/>
                <w:color w:val="000000"/>
                <w:szCs w:val="24"/>
              </w:rPr>
              <w:t>Exp</w:t>
            </w:r>
            <w:proofErr w:type="spellEnd"/>
            <w:r w:rsidRPr="006177E4">
              <w:rPr>
                <w:rFonts w:eastAsia="Times New Roman" w:cs="Times New Roman"/>
                <w:color w:val="000000"/>
                <w:szCs w:val="24"/>
              </w:rPr>
              <w:t>. 25460.</w:t>
            </w:r>
          </w:p>
        </w:tc>
        <w:tc>
          <w:tcPr>
            <w:tcW w:w="0" w:type="auto"/>
            <w:hideMark/>
          </w:tcPr>
          <w:p w14:paraId="400FE1D3"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3C573DA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Desarrolla criterios sobre pago, exoneración o efectos asociados a declaraciones de retención y su tratamiento jurisprudencial.</w:t>
            </w:r>
          </w:p>
        </w:tc>
        <w:tc>
          <w:tcPr>
            <w:tcW w:w="0" w:type="auto"/>
            <w:hideMark/>
          </w:tcPr>
          <w:p w14:paraId="79E54658"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Aporta subreglas relevantes para el objetivo 2 sobre consecuencias legales y fiscales.</w:t>
            </w:r>
          </w:p>
        </w:tc>
      </w:tr>
      <w:tr w:rsidR="00CC1C3F" w:rsidRPr="006177E4" w14:paraId="7B0FD52F" w14:textId="77777777" w:rsidTr="00C01B90">
        <w:trPr>
          <w:trHeight w:val="576"/>
        </w:trPr>
        <w:tc>
          <w:tcPr>
            <w:tcW w:w="0" w:type="auto"/>
            <w:hideMark/>
          </w:tcPr>
          <w:p w14:paraId="0C03DD5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Consejo de Estado, Sección Cuarta</w:t>
            </w:r>
          </w:p>
        </w:tc>
        <w:tc>
          <w:tcPr>
            <w:tcW w:w="0" w:type="auto"/>
            <w:hideMark/>
          </w:tcPr>
          <w:p w14:paraId="0B4E1F9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4F1F331B"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7AF87CAE"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Consejo de Estado, Sección Cuarta. </w:t>
            </w:r>
            <w:r w:rsidRPr="006177E4">
              <w:rPr>
                <w:rFonts w:eastAsia="Times New Roman" w:cs="Times New Roman"/>
                <w:color w:val="000000"/>
                <w:szCs w:val="24"/>
                <w:lang w:val="en-US"/>
              </w:rPr>
              <w:t xml:space="preserve">(2021). </w:t>
            </w: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exp. 25000-23-37-000-2016-02088-01.</w:t>
            </w:r>
          </w:p>
        </w:tc>
        <w:tc>
          <w:tcPr>
            <w:tcW w:w="0" w:type="auto"/>
            <w:hideMark/>
          </w:tcPr>
          <w:p w14:paraId="29D4124D"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47CEEDD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Analiza la aplicación judicial del régimen de ineficacia y sus efectos en el procedimiento tributario.</w:t>
            </w:r>
          </w:p>
        </w:tc>
        <w:tc>
          <w:tcPr>
            <w:tcW w:w="0" w:type="auto"/>
            <w:hideMark/>
          </w:tcPr>
          <w:p w14:paraId="6886163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Apoya la reconstrucción jurisprudencial del objetivo 3 y el tratamiento de la declaración ineficaz.</w:t>
            </w:r>
          </w:p>
        </w:tc>
      </w:tr>
      <w:tr w:rsidR="00CC1C3F" w:rsidRPr="006177E4" w14:paraId="1FBF4527" w14:textId="77777777" w:rsidTr="00C01B90">
        <w:trPr>
          <w:trHeight w:val="576"/>
        </w:trPr>
        <w:tc>
          <w:tcPr>
            <w:tcW w:w="0" w:type="auto"/>
            <w:hideMark/>
          </w:tcPr>
          <w:p w14:paraId="297260AA"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Consejo de Estado, Sección Cuarta</w:t>
            </w:r>
          </w:p>
        </w:tc>
        <w:tc>
          <w:tcPr>
            <w:tcW w:w="0" w:type="auto"/>
            <w:hideMark/>
          </w:tcPr>
          <w:p w14:paraId="23F3258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2022</w:t>
            </w:r>
          </w:p>
        </w:tc>
        <w:tc>
          <w:tcPr>
            <w:tcW w:w="0" w:type="auto"/>
            <w:hideMark/>
          </w:tcPr>
          <w:p w14:paraId="41F2DE9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1D51418F"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Consejo de Estado, Sección Cuarta. (2022). Sentencia 25998 de 2022 sobre exoneración de intereses por declaraciones de retención ineficaces.</w:t>
            </w:r>
          </w:p>
        </w:tc>
        <w:tc>
          <w:tcPr>
            <w:tcW w:w="0" w:type="auto"/>
            <w:hideMark/>
          </w:tcPr>
          <w:p w14:paraId="514CDF78"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0D25D43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Aborda la exoneración de intereses en declaraciones de retención ineficaces en el contexto de la </w:t>
            </w:r>
            <w:r w:rsidRPr="006177E4">
              <w:rPr>
                <w:rFonts w:eastAsia="Times New Roman" w:cs="Times New Roman"/>
                <w:color w:val="000000"/>
                <w:szCs w:val="24"/>
              </w:rPr>
              <w:lastRenderedPageBreak/>
              <w:t>Ley 1819 de 2016.</w:t>
            </w:r>
          </w:p>
        </w:tc>
        <w:tc>
          <w:tcPr>
            <w:tcW w:w="0" w:type="auto"/>
            <w:hideMark/>
          </w:tcPr>
          <w:p w14:paraId="7F4BF33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Complementa el análisis de alivios, cargas y consecuencias fiscales de la ineficacia.</w:t>
            </w:r>
          </w:p>
        </w:tc>
      </w:tr>
      <w:tr w:rsidR="00CC1C3F" w:rsidRPr="006177E4" w14:paraId="4056A1F1" w14:textId="77777777" w:rsidTr="00C01B90">
        <w:trPr>
          <w:trHeight w:val="576"/>
        </w:trPr>
        <w:tc>
          <w:tcPr>
            <w:tcW w:w="0" w:type="auto"/>
            <w:hideMark/>
          </w:tcPr>
          <w:p w14:paraId="07CCA27E"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Consejo de Estado, Sección Cuarta</w:t>
            </w:r>
          </w:p>
        </w:tc>
        <w:tc>
          <w:tcPr>
            <w:tcW w:w="0" w:type="auto"/>
            <w:hideMark/>
          </w:tcPr>
          <w:p w14:paraId="50826D8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36B09EE6"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Providencia judicial</w:t>
            </w:r>
          </w:p>
        </w:tc>
        <w:tc>
          <w:tcPr>
            <w:tcW w:w="0" w:type="auto"/>
            <w:hideMark/>
          </w:tcPr>
          <w:p w14:paraId="30CCA2A4"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Consejo de Estado, Sección Cuarta. </w:t>
            </w:r>
            <w:r w:rsidRPr="006177E4">
              <w:rPr>
                <w:rFonts w:eastAsia="Times New Roman" w:cs="Times New Roman"/>
                <w:color w:val="000000"/>
                <w:szCs w:val="24"/>
                <w:lang w:val="en-US"/>
              </w:rPr>
              <w:t xml:space="preserve">(2021). </w:t>
            </w: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exp. 73001-23-33-000-2019-00382-01.</w:t>
            </w:r>
          </w:p>
        </w:tc>
        <w:tc>
          <w:tcPr>
            <w:tcW w:w="0" w:type="auto"/>
            <w:hideMark/>
          </w:tcPr>
          <w:p w14:paraId="35883330"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Consejo</w:t>
            </w:r>
            <w:proofErr w:type="spellEnd"/>
            <w:r w:rsidRPr="006177E4">
              <w:rPr>
                <w:rFonts w:eastAsia="Times New Roman" w:cs="Times New Roman"/>
                <w:color w:val="000000"/>
                <w:szCs w:val="24"/>
                <w:lang w:val="en-US"/>
              </w:rPr>
              <w:t xml:space="preserve"> de Estado</w:t>
            </w:r>
          </w:p>
        </w:tc>
        <w:tc>
          <w:tcPr>
            <w:tcW w:w="0" w:type="auto"/>
            <w:hideMark/>
          </w:tcPr>
          <w:p w14:paraId="45208876"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Decisión contenciosa útil para examinar efectos operativos del incumplimiento en declaraciones de retención.</w:t>
            </w:r>
          </w:p>
        </w:tc>
        <w:tc>
          <w:tcPr>
            <w:tcW w:w="0" w:type="auto"/>
            <w:hideMark/>
          </w:tcPr>
          <w:p w14:paraId="0C1FF069"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Aporta material adicional para el análisis del contexto seccional y la gestión de cobro.</w:t>
            </w:r>
          </w:p>
        </w:tc>
      </w:tr>
      <w:tr w:rsidR="00CC1C3F" w:rsidRPr="006177E4" w14:paraId="1C008D0C" w14:textId="77777777" w:rsidTr="00C01B90">
        <w:trPr>
          <w:trHeight w:val="576"/>
        </w:trPr>
        <w:tc>
          <w:tcPr>
            <w:tcW w:w="0" w:type="auto"/>
            <w:hideMark/>
          </w:tcPr>
          <w:p w14:paraId="568F846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 xml:space="preserve">Corte </w:t>
            </w:r>
            <w:proofErr w:type="spellStart"/>
            <w:r w:rsidRPr="006177E4">
              <w:rPr>
                <w:rFonts w:eastAsia="Times New Roman" w:cs="Times New Roman"/>
                <w:color w:val="000000"/>
                <w:szCs w:val="24"/>
                <w:lang w:val="en-US"/>
              </w:rPr>
              <w:t>Constitucional</w:t>
            </w:r>
            <w:proofErr w:type="spellEnd"/>
            <w:r w:rsidRPr="006177E4">
              <w:rPr>
                <w:rFonts w:eastAsia="Times New Roman" w:cs="Times New Roman"/>
                <w:color w:val="000000"/>
                <w:szCs w:val="24"/>
                <w:lang w:val="en-US"/>
              </w:rPr>
              <w:t xml:space="preserve"> de Colombia</w:t>
            </w:r>
          </w:p>
        </w:tc>
        <w:tc>
          <w:tcPr>
            <w:tcW w:w="0" w:type="auto"/>
            <w:hideMark/>
          </w:tcPr>
          <w:p w14:paraId="5AD81653"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2000</w:t>
            </w:r>
          </w:p>
        </w:tc>
        <w:tc>
          <w:tcPr>
            <w:tcW w:w="0" w:type="auto"/>
            <w:hideMark/>
          </w:tcPr>
          <w:p w14:paraId="2EDD47FE"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constitucionalidad</w:t>
            </w:r>
            <w:proofErr w:type="spellEnd"/>
          </w:p>
        </w:tc>
        <w:tc>
          <w:tcPr>
            <w:tcW w:w="0" w:type="auto"/>
            <w:hideMark/>
          </w:tcPr>
          <w:p w14:paraId="7A1FACF1"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Corte Constitucional de Colombia. (2000). Sentencia C-1144 de 2000.</w:t>
            </w:r>
          </w:p>
        </w:tc>
        <w:tc>
          <w:tcPr>
            <w:tcW w:w="0" w:type="auto"/>
            <w:hideMark/>
          </w:tcPr>
          <w:p w14:paraId="2C3A994E"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Relatoría</w:t>
            </w:r>
            <w:proofErr w:type="spellEnd"/>
            <w:r w:rsidRPr="006177E4">
              <w:rPr>
                <w:rFonts w:eastAsia="Times New Roman" w:cs="Times New Roman"/>
                <w:color w:val="000000"/>
                <w:szCs w:val="24"/>
                <w:lang w:val="en-US"/>
              </w:rPr>
              <w:t xml:space="preserve"> Corte </w:t>
            </w:r>
            <w:proofErr w:type="spellStart"/>
            <w:r w:rsidRPr="006177E4">
              <w:rPr>
                <w:rFonts w:eastAsia="Times New Roman" w:cs="Times New Roman"/>
                <w:color w:val="000000"/>
                <w:szCs w:val="24"/>
                <w:lang w:val="en-US"/>
              </w:rPr>
              <w:t>Constitucional</w:t>
            </w:r>
            <w:proofErr w:type="spellEnd"/>
          </w:p>
        </w:tc>
        <w:tc>
          <w:tcPr>
            <w:tcW w:w="0" w:type="auto"/>
            <w:hideMark/>
          </w:tcPr>
          <w:p w14:paraId="5F1813A2"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 xml:space="preserve">Diferencia la obligación del contribuyente y la del agente retenedor y </w:t>
            </w:r>
            <w:r w:rsidRPr="006177E4">
              <w:rPr>
                <w:rFonts w:eastAsia="Times New Roman" w:cs="Times New Roman"/>
                <w:color w:val="000000"/>
                <w:szCs w:val="24"/>
              </w:rPr>
              <w:lastRenderedPageBreak/>
              <w:t>resalta la función pública de recaudo.</w:t>
            </w:r>
          </w:p>
        </w:tc>
        <w:tc>
          <w:tcPr>
            <w:tcW w:w="0" w:type="auto"/>
            <w:hideMark/>
          </w:tcPr>
          <w:p w14:paraId="39B626F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lastRenderedPageBreak/>
              <w:t xml:space="preserve">Refuerza la fundamentación constitucional sobre la </w:t>
            </w:r>
            <w:r w:rsidRPr="006177E4">
              <w:rPr>
                <w:rFonts w:eastAsia="Times New Roman" w:cs="Times New Roman"/>
                <w:color w:val="000000"/>
                <w:szCs w:val="24"/>
              </w:rPr>
              <w:lastRenderedPageBreak/>
              <w:t>naturaleza de los dineros retenidos y el deber de consignarlos.</w:t>
            </w:r>
          </w:p>
        </w:tc>
      </w:tr>
      <w:tr w:rsidR="00CC1C3F" w:rsidRPr="006177E4" w14:paraId="5BF44059" w14:textId="77777777" w:rsidTr="00C01B90">
        <w:trPr>
          <w:trHeight w:val="576"/>
        </w:trPr>
        <w:tc>
          <w:tcPr>
            <w:tcW w:w="0" w:type="auto"/>
            <w:hideMark/>
          </w:tcPr>
          <w:p w14:paraId="5C2FC040"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 xml:space="preserve">Corte </w:t>
            </w:r>
            <w:proofErr w:type="spellStart"/>
            <w:r w:rsidRPr="006177E4">
              <w:rPr>
                <w:rFonts w:eastAsia="Times New Roman" w:cs="Times New Roman"/>
                <w:color w:val="000000"/>
                <w:szCs w:val="24"/>
                <w:lang w:val="en-US"/>
              </w:rPr>
              <w:t>Constitucional</w:t>
            </w:r>
            <w:proofErr w:type="spellEnd"/>
            <w:r w:rsidRPr="006177E4">
              <w:rPr>
                <w:rFonts w:eastAsia="Times New Roman" w:cs="Times New Roman"/>
                <w:color w:val="000000"/>
                <w:szCs w:val="24"/>
                <w:lang w:val="en-US"/>
              </w:rPr>
              <w:t xml:space="preserve"> de Colombia</w:t>
            </w:r>
          </w:p>
        </w:tc>
        <w:tc>
          <w:tcPr>
            <w:tcW w:w="0" w:type="auto"/>
            <w:hideMark/>
          </w:tcPr>
          <w:p w14:paraId="2EEF4E9D"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1995</w:t>
            </w:r>
          </w:p>
        </w:tc>
        <w:tc>
          <w:tcPr>
            <w:tcW w:w="0" w:type="auto"/>
            <w:hideMark/>
          </w:tcPr>
          <w:p w14:paraId="2DA79E13"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de </w:t>
            </w:r>
            <w:proofErr w:type="spellStart"/>
            <w:r w:rsidRPr="006177E4">
              <w:rPr>
                <w:rFonts w:eastAsia="Times New Roman" w:cs="Times New Roman"/>
                <w:color w:val="000000"/>
                <w:szCs w:val="24"/>
                <w:lang w:val="en-US"/>
              </w:rPr>
              <w:t>constitucionalidad</w:t>
            </w:r>
            <w:proofErr w:type="spellEnd"/>
          </w:p>
        </w:tc>
        <w:tc>
          <w:tcPr>
            <w:tcW w:w="0" w:type="auto"/>
            <w:hideMark/>
          </w:tcPr>
          <w:p w14:paraId="12680BDB"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Corte Constitucional de Colombia. (1995). Sentencia C-445 de 1995.</w:t>
            </w:r>
          </w:p>
        </w:tc>
        <w:tc>
          <w:tcPr>
            <w:tcW w:w="0" w:type="auto"/>
            <w:hideMark/>
          </w:tcPr>
          <w:p w14:paraId="3C9B98F1"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Relatoría</w:t>
            </w:r>
            <w:proofErr w:type="spellEnd"/>
            <w:r w:rsidRPr="006177E4">
              <w:rPr>
                <w:rFonts w:eastAsia="Times New Roman" w:cs="Times New Roman"/>
                <w:color w:val="000000"/>
                <w:szCs w:val="24"/>
                <w:lang w:val="en-US"/>
              </w:rPr>
              <w:t xml:space="preserve"> Corte </w:t>
            </w:r>
            <w:proofErr w:type="spellStart"/>
            <w:r w:rsidRPr="006177E4">
              <w:rPr>
                <w:rFonts w:eastAsia="Times New Roman" w:cs="Times New Roman"/>
                <w:color w:val="000000"/>
                <w:szCs w:val="24"/>
                <w:lang w:val="en-US"/>
              </w:rPr>
              <w:t>Constitucional</w:t>
            </w:r>
            <w:proofErr w:type="spellEnd"/>
          </w:p>
        </w:tc>
        <w:tc>
          <w:tcPr>
            <w:tcW w:w="0" w:type="auto"/>
            <w:hideMark/>
          </w:tcPr>
          <w:p w14:paraId="38471ADC"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Reconoce la retención en la fuente como mecanismo de recaudo anticipado y la conecta con el principio de eficiencia tributaria.</w:t>
            </w:r>
          </w:p>
        </w:tc>
        <w:tc>
          <w:tcPr>
            <w:tcW w:w="0" w:type="auto"/>
            <w:hideMark/>
          </w:tcPr>
          <w:p w14:paraId="1ADE4470"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Fortalece el sustento constitucional del recaudo anticipado dentro del marco teórico y metodológico.</w:t>
            </w:r>
          </w:p>
        </w:tc>
      </w:tr>
      <w:tr w:rsidR="00CC1C3F" w:rsidRPr="006177E4" w14:paraId="2E3C632C" w14:textId="77777777" w:rsidTr="00C01B90">
        <w:trPr>
          <w:trHeight w:val="864"/>
        </w:trPr>
        <w:tc>
          <w:tcPr>
            <w:tcW w:w="0" w:type="auto"/>
            <w:hideMark/>
          </w:tcPr>
          <w:p w14:paraId="445570FF"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c>
          <w:tcPr>
            <w:tcW w:w="0" w:type="auto"/>
            <w:hideMark/>
          </w:tcPr>
          <w:p w14:paraId="1CDCB83C"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lang w:val="en-US"/>
              </w:rPr>
              <w:t>2025</w:t>
            </w:r>
          </w:p>
        </w:tc>
        <w:tc>
          <w:tcPr>
            <w:tcW w:w="0" w:type="auto"/>
            <w:hideMark/>
          </w:tcPr>
          <w:p w14:paraId="5A94A837"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Doctrina oficial posterior al período</w:t>
            </w:r>
          </w:p>
        </w:tc>
        <w:tc>
          <w:tcPr>
            <w:tcW w:w="0" w:type="auto"/>
            <w:hideMark/>
          </w:tcPr>
          <w:p w14:paraId="14063EB1" w14:textId="77777777" w:rsidR="00CC1C3F" w:rsidRPr="006177E4" w:rsidRDefault="00CC1C3F" w:rsidP="00263B16">
            <w:pPr>
              <w:spacing w:line="480" w:lineRule="auto"/>
              <w:jc w:val="center"/>
              <w:rPr>
                <w:rFonts w:eastAsia="Times New Roman" w:cs="Times New Roman"/>
                <w:color w:val="000000"/>
                <w:szCs w:val="24"/>
                <w:lang w:val="en-US"/>
              </w:rPr>
            </w:pPr>
            <w:r w:rsidRPr="006177E4">
              <w:rPr>
                <w:rFonts w:eastAsia="Times New Roman" w:cs="Times New Roman"/>
                <w:color w:val="000000"/>
                <w:szCs w:val="24"/>
              </w:rPr>
              <w:t xml:space="preserve">Dirección de Impuestos y Aduanas Nacionales [DIAN]. </w:t>
            </w:r>
            <w:r w:rsidRPr="006177E4">
              <w:rPr>
                <w:rFonts w:eastAsia="Times New Roman" w:cs="Times New Roman"/>
                <w:color w:val="000000"/>
                <w:szCs w:val="24"/>
                <w:lang w:val="en-US"/>
              </w:rPr>
              <w:t xml:space="preserve">(2025). </w:t>
            </w:r>
            <w:proofErr w:type="spellStart"/>
            <w:r w:rsidRPr="006177E4">
              <w:rPr>
                <w:rFonts w:eastAsia="Times New Roman" w:cs="Times New Roman"/>
                <w:color w:val="000000"/>
                <w:szCs w:val="24"/>
                <w:lang w:val="en-US"/>
              </w:rPr>
              <w:t>Concepto</w:t>
            </w:r>
            <w:proofErr w:type="spellEnd"/>
            <w:r w:rsidRPr="006177E4">
              <w:rPr>
                <w:rFonts w:eastAsia="Times New Roman" w:cs="Times New Roman"/>
                <w:color w:val="000000"/>
                <w:szCs w:val="24"/>
                <w:lang w:val="en-US"/>
              </w:rPr>
              <w:t xml:space="preserve"> 16224 de 2025.</w:t>
            </w:r>
          </w:p>
        </w:tc>
        <w:tc>
          <w:tcPr>
            <w:tcW w:w="0" w:type="auto"/>
            <w:hideMark/>
          </w:tcPr>
          <w:p w14:paraId="4E9FD7AE" w14:textId="77777777" w:rsidR="00CC1C3F" w:rsidRPr="006177E4" w:rsidRDefault="00CC1C3F" w:rsidP="00263B16">
            <w:pPr>
              <w:spacing w:line="480" w:lineRule="auto"/>
              <w:jc w:val="center"/>
              <w:rPr>
                <w:rFonts w:eastAsia="Times New Roman" w:cs="Times New Roman"/>
                <w:color w:val="000000"/>
                <w:szCs w:val="24"/>
                <w:lang w:val="en-US"/>
              </w:rPr>
            </w:pPr>
            <w:proofErr w:type="spellStart"/>
            <w:r w:rsidRPr="006177E4">
              <w:rPr>
                <w:rFonts w:eastAsia="Times New Roman" w:cs="Times New Roman"/>
                <w:color w:val="000000"/>
                <w:szCs w:val="24"/>
                <w:lang w:val="en-US"/>
              </w:rPr>
              <w:t>Normograma</w:t>
            </w:r>
            <w:proofErr w:type="spellEnd"/>
            <w:r w:rsidRPr="006177E4">
              <w:rPr>
                <w:rFonts w:eastAsia="Times New Roman" w:cs="Times New Roman"/>
                <w:color w:val="000000"/>
                <w:szCs w:val="24"/>
                <w:lang w:val="en-US"/>
              </w:rPr>
              <w:t xml:space="preserve"> DIAN</w:t>
            </w:r>
          </w:p>
        </w:tc>
        <w:tc>
          <w:tcPr>
            <w:tcW w:w="0" w:type="auto"/>
            <w:hideMark/>
          </w:tcPr>
          <w:p w14:paraId="6521FDB5"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Reitera el alcance del inciso quinto del artículo 580-1 ET sobre el pago total dentro de los dos meses siguientes al vencimiento del plazo para declarar.</w:t>
            </w:r>
          </w:p>
        </w:tc>
        <w:tc>
          <w:tcPr>
            <w:tcW w:w="0" w:type="auto"/>
            <w:hideMark/>
          </w:tcPr>
          <w:p w14:paraId="640EFE3D" w14:textId="77777777" w:rsidR="00CC1C3F" w:rsidRPr="006177E4" w:rsidRDefault="00CC1C3F" w:rsidP="00263B16">
            <w:pPr>
              <w:spacing w:line="480" w:lineRule="auto"/>
              <w:jc w:val="center"/>
              <w:rPr>
                <w:rFonts w:eastAsia="Times New Roman" w:cs="Times New Roman"/>
                <w:color w:val="000000"/>
                <w:szCs w:val="24"/>
              </w:rPr>
            </w:pPr>
            <w:r w:rsidRPr="006177E4">
              <w:rPr>
                <w:rFonts w:eastAsia="Times New Roman" w:cs="Times New Roman"/>
                <w:color w:val="000000"/>
                <w:szCs w:val="24"/>
              </w:rPr>
              <w:t>Sirve como fuente de actualización doctrinal posterior al período 2014–2024, útil para advertir el estado actual de la interpretación oficial.</w:t>
            </w:r>
          </w:p>
        </w:tc>
      </w:tr>
    </w:tbl>
    <w:p w14:paraId="5DB54FDF" w14:textId="25CB2A07" w:rsidR="00CC1C3F" w:rsidRPr="006177E4" w:rsidRDefault="00F330B2" w:rsidP="00263B16">
      <w:pPr>
        <w:spacing w:line="480" w:lineRule="auto"/>
        <w:rPr>
          <w:rFonts w:eastAsia="Times New Roman" w:cs="Times New Roman"/>
          <w:szCs w:val="24"/>
        </w:rPr>
      </w:pPr>
      <w:r w:rsidRPr="00F330B2">
        <w:rPr>
          <w:rFonts w:eastAsia="Times New Roman" w:cs="Times New Roman"/>
          <w:i/>
          <w:iCs/>
          <w:szCs w:val="24"/>
        </w:rPr>
        <w:t>Nota.</w:t>
      </w:r>
      <w:r>
        <w:rPr>
          <w:rFonts w:eastAsia="Times New Roman" w:cs="Times New Roman"/>
          <w:szCs w:val="24"/>
        </w:rPr>
        <w:t xml:space="preserve"> </w:t>
      </w:r>
      <w:r w:rsidR="00CC1C3F" w:rsidRPr="006177E4">
        <w:rPr>
          <w:rFonts w:eastAsia="Times New Roman" w:cs="Times New Roman"/>
          <w:szCs w:val="24"/>
        </w:rPr>
        <w:t>Elaboración propia a partir de investigación fuentes secundarias y terciarias</w:t>
      </w:r>
      <w:r w:rsidR="00281800">
        <w:rPr>
          <w:rFonts w:eastAsia="Times New Roman" w:cs="Times New Roman"/>
          <w:szCs w:val="24"/>
        </w:rPr>
        <w:t xml:space="preserve"> </w:t>
      </w:r>
      <w:r w:rsidR="00281800" w:rsidRPr="006177E4">
        <w:rPr>
          <w:rFonts w:eastAsia="Times New Roman" w:cs="Times New Roman"/>
          <w:szCs w:val="24"/>
        </w:rPr>
        <w:t>(Acero y López, 2026)</w:t>
      </w:r>
      <w:r w:rsidR="00CC1C3F" w:rsidRPr="006177E4">
        <w:rPr>
          <w:rFonts w:eastAsia="Times New Roman" w:cs="Times New Roman"/>
          <w:szCs w:val="24"/>
        </w:rPr>
        <w:t>,</w:t>
      </w:r>
      <w:r w:rsidR="00390911" w:rsidRPr="006177E4">
        <w:rPr>
          <w:rFonts w:eastAsia="Times New Roman" w:cs="Times New Roman"/>
          <w:szCs w:val="24"/>
        </w:rPr>
        <w:t xml:space="preserve"> apoyo en</w:t>
      </w:r>
      <w:r w:rsidR="00CC1C3F" w:rsidRPr="006177E4">
        <w:rPr>
          <w:rFonts w:eastAsia="Times New Roman" w:cs="Times New Roman"/>
          <w:szCs w:val="24"/>
        </w:rPr>
        <w:t xml:space="preserve"> IA.</w:t>
      </w:r>
    </w:p>
    <w:p w14:paraId="0FC60365" w14:textId="77777777" w:rsidR="00CC1C3F" w:rsidRPr="006177E4" w:rsidRDefault="00CC1C3F" w:rsidP="00263B16">
      <w:pPr>
        <w:spacing w:line="480" w:lineRule="auto"/>
        <w:jc w:val="left"/>
        <w:rPr>
          <w:rFonts w:eastAsia="Times New Roman" w:cs="Times New Roman"/>
          <w:i/>
          <w:iCs/>
          <w:szCs w:val="24"/>
        </w:rPr>
      </w:pPr>
    </w:p>
    <w:p w14:paraId="3A7CE3F4" w14:textId="77777777" w:rsidR="00CC1C3F" w:rsidRPr="006177E4" w:rsidRDefault="00CC1C3F" w:rsidP="00263B16">
      <w:pPr>
        <w:spacing w:line="480" w:lineRule="auto"/>
        <w:jc w:val="left"/>
        <w:rPr>
          <w:rFonts w:eastAsia="Times New Roman" w:cs="Times New Roman"/>
          <w:i/>
          <w:iCs/>
          <w:szCs w:val="24"/>
        </w:rPr>
      </w:pPr>
    </w:p>
    <w:p w14:paraId="6441CC33" w14:textId="77777777" w:rsidR="00CC1C3F" w:rsidRPr="006177E4" w:rsidRDefault="00CC1C3F" w:rsidP="00263B16">
      <w:pPr>
        <w:spacing w:line="480" w:lineRule="auto"/>
        <w:jc w:val="left"/>
        <w:rPr>
          <w:rFonts w:eastAsia="Times New Roman" w:cs="Times New Roman"/>
          <w:i/>
          <w:iCs/>
          <w:szCs w:val="24"/>
        </w:rPr>
      </w:pPr>
    </w:p>
    <w:p w14:paraId="4B43A215" w14:textId="77777777" w:rsidR="00CC1C3F" w:rsidRPr="006177E4" w:rsidRDefault="00CC1C3F" w:rsidP="00263B16">
      <w:pPr>
        <w:spacing w:line="480" w:lineRule="auto"/>
        <w:jc w:val="left"/>
        <w:rPr>
          <w:rFonts w:eastAsia="Times New Roman" w:cs="Times New Roman"/>
          <w:i/>
          <w:iCs/>
          <w:szCs w:val="24"/>
        </w:rPr>
        <w:sectPr w:rsidR="00CC1C3F" w:rsidRPr="006177E4" w:rsidSect="00F913E9">
          <w:pgSz w:w="15840" w:h="12240" w:orient="landscape"/>
          <w:pgMar w:top="1440" w:right="1440" w:bottom="1440" w:left="1440" w:header="720" w:footer="720" w:gutter="0"/>
          <w:cols w:space="720"/>
        </w:sectPr>
      </w:pPr>
    </w:p>
    <w:p w14:paraId="74F2A5EB" w14:textId="47B24865" w:rsidR="00F330B2" w:rsidRDefault="00CC1C3F" w:rsidP="008C471E">
      <w:pPr>
        <w:pStyle w:val="PrrAPA"/>
      </w:pPr>
      <w:r w:rsidRPr="006177E4">
        <w:lastRenderedPageBreak/>
        <w:t xml:space="preserve">Finalmente, como instrumento complementario se aplicó una entrevista estructurada a trece expertos, orientada a contrastar los hallazgos documentales con la experiencia de profesionales de la administración tributaria y contadores, revisores fiscales y docentes externos de la jurisdicción de la Dirección Seccional de Impuestos y Aduanas de Ibagué. </w:t>
      </w:r>
      <w:r w:rsidR="00281800">
        <w:t xml:space="preserve">Los cuales fueron seleccionados por su conocimiento, experiencia y pertinencia con el objeto de estudio quienes, además de cumplir con los criterios de idoneidad estaban disponibles y aceptaron participar. </w:t>
      </w:r>
      <w:r w:rsidRPr="006177E4">
        <w:t xml:space="preserve">La entrevista se incorporó y ejecutó en la tesis como complemento a la revisión documental, con el fin de obtener opiniones frente a la ineficacia de las declaraciones de retención en la fuente, con percepciones cualificadas sobre las causas de la ineficacia, sus efectos operativos y las posibles rutas de mejora en el contexto institucional y profesional. Según </w:t>
      </w:r>
      <w:sdt>
        <w:sdtPr>
          <w:rPr>
            <w:color w:val="000000"/>
          </w:rPr>
          <w:tag w:val="MENDELEY_CITATION_v3_eyJjaXRhdGlvbklEIjoiTUVOREVMRVlfQ0lUQVRJT05fZTdmMjBlNGQtYTY4Ny00ZWQyLTk5ZjctM2ZlM2I4YjNkZjlkIiwicHJvcGVydGllcyI6eyJub3RlSW5kZXgiOjB9LCJpc0VkaXRlZCI6ZmFsc2UsIm1hbnVhbE92ZXJyaWRlIjp7ImlzTWFudWFsbHlPdmVycmlkZGVuIjp0cnVlLCJjaXRlcHJvY1RleHQiOiIoSGVybmHMgW5kZXogU2FtcGllcmkgJiMzODsgTWVuZG96YSBUb3JyZXMsIDIwMTgpIiwibWFudWFsT3ZlcnJpZGVUZXh0IjoiKEhlcm5hzIFuZGV6IFNhbXBpZXJp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
          <w:id w:val="-1180272449"/>
          <w:placeholder>
            <w:docPart w:val="DefaultPlaceholder_-1854013440"/>
          </w:placeholder>
        </w:sdtPr>
        <w:sdtEndPr/>
        <w:sdtContent>
          <w:proofErr w:type="spellStart"/>
          <w:r w:rsidR="009A1775" w:rsidRPr="006177E4">
            <w:rPr>
              <w:rFonts w:eastAsia="Times New Roman"/>
              <w:color w:val="000000"/>
            </w:rPr>
            <w:t>Hernández</w:t>
          </w:r>
          <w:proofErr w:type="spellEnd"/>
          <w:r w:rsidR="009A1775" w:rsidRPr="006177E4">
            <w:rPr>
              <w:rFonts w:eastAsia="Times New Roman"/>
              <w:color w:val="000000"/>
            </w:rPr>
            <w:t xml:space="preserve"> </w:t>
          </w:r>
          <w:r w:rsidR="00F330B2">
            <w:rPr>
              <w:rFonts w:eastAsia="Times New Roman"/>
              <w:color w:val="000000"/>
            </w:rPr>
            <w:t>et al (</w:t>
          </w:r>
          <w:r w:rsidR="009A1775" w:rsidRPr="006177E4">
            <w:rPr>
              <w:rFonts w:eastAsia="Times New Roman"/>
              <w:color w:val="000000"/>
            </w:rPr>
            <w:t>2018)</w:t>
          </w:r>
        </w:sdtContent>
      </w:sdt>
      <w:r w:rsidR="00BE1B7D" w:rsidRPr="006177E4">
        <w:rPr>
          <w:color w:val="000000"/>
        </w:rPr>
        <w:t xml:space="preserve"> </w:t>
      </w:r>
      <w:r w:rsidRPr="006177E4">
        <w:t>la</w:t>
      </w:r>
      <w:r w:rsidR="00BE1B7D" w:rsidRPr="006177E4">
        <w:t xml:space="preserve"> </w:t>
      </w:r>
      <w:r w:rsidRPr="006177E4">
        <w:t xml:space="preserve">entrevista, es una técnica de recolección de información abierta y flexible que, a través de una conversación entre el entrevistador y el participante, permite comprender en profundidad experiencias, percepciones y significados; por ello, se apoya principalmente en preguntas abiertas y neutrales formuladas en el lenguaje de los entrevistados. </w:t>
      </w:r>
    </w:p>
    <w:p w14:paraId="2159C5DA" w14:textId="77777777" w:rsidR="00F330B2" w:rsidRDefault="00CC1C3F" w:rsidP="008C471E">
      <w:pPr>
        <w:pStyle w:val="PrrAPA"/>
      </w:pPr>
      <w:r w:rsidRPr="006177E4">
        <w:t>La entrevista se aplicó a expertos pertenecientes a los siguientes perfiles: funcionario de fiscalización DIAN, funcionario de recaudo y cobranzas DIAN, funcionario del área jurídica DIAN, contador, revisor fiscal, docente universitario y metodólogo. La elección de estos perfiles respondió a la necesidad de reunir visiones complementarias sobre cumplimiento, interpretación jurídica, gestión administrativa, práctica contable y consistencia metodológica.</w:t>
      </w:r>
    </w:p>
    <w:p w14:paraId="1646F453" w14:textId="3547DF99" w:rsidR="00CC1C3F" w:rsidRPr="006177E4" w:rsidRDefault="00CC1C3F" w:rsidP="008C471E">
      <w:pPr>
        <w:pStyle w:val="PrrAPA"/>
      </w:pPr>
      <w:r w:rsidRPr="006177E4">
        <w:t>En primer lugar, se solicitó a los expertos validar la pertinencia del instrumento de recolección de información, para valorar la pertinencia, coherencia y correspondencia del instrumento frente a los objetivos de investigación, a la cual respondieron de manera positiva sin modificaciones de fondo, que fueron aplicadas al instrumento final.</w:t>
      </w:r>
    </w:p>
    <w:p w14:paraId="0A40B35D" w14:textId="77777777" w:rsidR="00F330B2" w:rsidRDefault="00F330B2" w:rsidP="00263B16">
      <w:pPr>
        <w:pStyle w:val="Descripcin"/>
        <w:spacing w:after="0" w:line="480" w:lineRule="auto"/>
        <w:rPr>
          <w:rFonts w:cs="Times New Roman"/>
          <w:b/>
          <w:bCs/>
          <w:i w:val="0"/>
          <w:iCs w:val="0"/>
          <w:szCs w:val="24"/>
        </w:rPr>
      </w:pPr>
      <w:bookmarkStart w:id="111" w:name="_Toc227978307"/>
    </w:p>
    <w:p w14:paraId="7CC2E40E" w14:textId="77777777" w:rsidR="000C59BD" w:rsidRDefault="00F330B2" w:rsidP="00263B16">
      <w:pPr>
        <w:pStyle w:val="Descripcin"/>
        <w:spacing w:after="0" w:line="480" w:lineRule="auto"/>
      </w:pPr>
      <w:bookmarkStart w:id="112" w:name="_Toc229077705"/>
      <w:bookmarkEnd w:id="111"/>
      <w:r w:rsidRPr="00F330B2">
        <w:rPr>
          <w:b/>
          <w:bCs/>
          <w:i w:val="0"/>
          <w:iCs w:val="0"/>
        </w:rPr>
        <w:t xml:space="preserve">Tabla </w:t>
      </w:r>
      <w:r w:rsidRPr="00F330B2">
        <w:rPr>
          <w:b/>
          <w:bCs/>
          <w:i w:val="0"/>
          <w:iCs w:val="0"/>
        </w:rPr>
        <w:fldChar w:fldCharType="begin"/>
      </w:r>
      <w:r w:rsidRPr="00F330B2">
        <w:rPr>
          <w:b/>
          <w:bCs/>
          <w:i w:val="0"/>
          <w:iCs w:val="0"/>
        </w:rPr>
        <w:instrText xml:space="preserve"> SEQ Tabla \* ARABIC </w:instrText>
      </w:r>
      <w:r w:rsidRPr="00F330B2">
        <w:rPr>
          <w:b/>
          <w:bCs/>
          <w:i w:val="0"/>
          <w:iCs w:val="0"/>
        </w:rPr>
        <w:fldChar w:fldCharType="separate"/>
      </w:r>
      <w:r w:rsidR="00D64F6E">
        <w:rPr>
          <w:b/>
          <w:bCs/>
          <w:i w:val="0"/>
          <w:iCs w:val="0"/>
          <w:noProof/>
        </w:rPr>
        <w:t>6</w:t>
      </w:r>
      <w:r w:rsidRPr="00F330B2">
        <w:rPr>
          <w:b/>
          <w:bCs/>
          <w:i w:val="0"/>
          <w:iCs w:val="0"/>
        </w:rPr>
        <w:fldChar w:fldCharType="end"/>
      </w:r>
      <w:r>
        <w:t xml:space="preserve"> </w:t>
      </w:r>
    </w:p>
    <w:p w14:paraId="1308CB56" w14:textId="5DFAE227" w:rsidR="00CC1C3F" w:rsidRPr="000C59BD" w:rsidRDefault="00CC1C3F" w:rsidP="00263B16">
      <w:pPr>
        <w:pStyle w:val="Descripcin"/>
        <w:spacing w:after="0" w:line="480" w:lineRule="auto"/>
        <w:rPr>
          <w:rFonts w:eastAsia="Times New Roman" w:cs="Times New Roman"/>
          <w:szCs w:val="24"/>
        </w:rPr>
      </w:pPr>
      <w:r w:rsidRPr="000C59BD">
        <w:rPr>
          <w:rFonts w:eastAsia="Times New Roman" w:cs="Times New Roman"/>
          <w:szCs w:val="24"/>
        </w:rPr>
        <w:t>Ficha técnica del instrumento de entrevista</w:t>
      </w:r>
      <w:bookmarkEnd w:id="112"/>
    </w:p>
    <w:tbl>
      <w:tblPr>
        <w:tblStyle w:val="Tablaconcuadrculaclar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325"/>
        <w:gridCol w:w="6025"/>
      </w:tblGrid>
      <w:tr w:rsidR="00CC1C3F" w:rsidRPr="006177E4" w14:paraId="55C1C98A" w14:textId="77777777" w:rsidTr="00F330B2">
        <w:tc>
          <w:tcPr>
            <w:tcW w:w="3325" w:type="dxa"/>
            <w:hideMark/>
          </w:tcPr>
          <w:p w14:paraId="536D6C32" w14:textId="77777777" w:rsidR="00CC1C3F" w:rsidRPr="006177E4" w:rsidRDefault="00CC1C3F" w:rsidP="00263B16">
            <w:pPr>
              <w:spacing w:line="480" w:lineRule="auto"/>
              <w:rPr>
                <w:rFonts w:cs="Times New Roman"/>
                <w:szCs w:val="24"/>
              </w:rPr>
            </w:pPr>
            <w:r w:rsidRPr="006177E4">
              <w:rPr>
                <w:rFonts w:cs="Times New Roman"/>
                <w:b/>
                <w:szCs w:val="24"/>
              </w:rPr>
              <w:t>Nombre del instrumento</w:t>
            </w:r>
          </w:p>
        </w:tc>
        <w:tc>
          <w:tcPr>
            <w:tcW w:w="6025" w:type="dxa"/>
            <w:hideMark/>
          </w:tcPr>
          <w:p w14:paraId="27DC9EB8" w14:textId="77777777" w:rsidR="00CC1C3F" w:rsidRPr="006177E4" w:rsidRDefault="00CC1C3F" w:rsidP="00263B16">
            <w:pPr>
              <w:spacing w:line="480" w:lineRule="auto"/>
              <w:rPr>
                <w:rFonts w:cs="Times New Roman"/>
                <w:szCs w:val="24"/>
              </w:rPr>
            </w:pPr>
            <w:r w:rsidRPr="006177E4">
              <w:rPr>
                <w:rFonts w:cs="Times New Roman"/>
                <w:szCs w:val="24"/>
              </w:rPr>
              <w:t>Guion de entrevista estructurada a expertos para análisis tributario de la figura la ineficacia de las declaraciones de retención en la fuente en renta.</w:t>
            </w:r>
          </w:p>
        </w:tc>
      </w:tr>
      <w:tr w:rsidR="00CC1C3F" w:rsidRPr="006177E4" w14:paraId="376DD848" w14:textId="77777777" w:rsidTr="00F330B2">
        <w:tc>
          <w:tcPr>
            <w:tcW w:w="3325" w:type="dxa"/>
            <w:hideMark/>
          </w:tcPr>
          <w:p w14:paraId="065DA507" w14:textId="77777777" w:rsidR="00CC1C3F" w:rsidRPr="006177E4" w:rsidRDefault="00CC1C3F" w:rsidP="00263B16">
            <w:pPr>
              <w:spacing w:line="480" w:lineRule="auto"/>
              <w:rPr>
                <w:rFonts w:cs="Times New Roman"/>
                <w:szCs w:val="24"/>
              </w:rPr>
            </w:pPr>
            <w:r w:rsidRPr="006177E4">
              <w:rPr>
                <w:rFonts w:cs="Times New Roman"/>
                <w:b/>
                <w:szCs w:val="24"/>
              </w:rPr>
              <w:lastRenderedPageBreak/>
              <w:t>Técnica</w:t>
            </w:r>
          </w:p>
        </w:tc>
        <w:tc>
          <w:tcPr>
            <w:tcW w:w="6025" w:type="dxa"/>
            <w:hideMark/>
          </w:tcPr>
          <w:p w14:paraId="5190B49D" w14:textId="77777777" w:rsidR="00CC1C3F" w:rsidRPr="006177E4" w:rsidRDefault="00CC1C3F" w:rsidP="00263B16">
            <w:pPr>
              <w:spacing w:line="480" w:lineRule="auto"/>
              <w:rPr>
                <w:rFonts w:cs="Times New Roman"/>
                <w:szCs w:val="24"/>
              </w:rPr>
            </w:pPr>
            <w:r w:rsidRPr="006177E4">
              <w:rPr>
                <w:rFonts w:cs="Times New Roman"/>
                <w:szCs w:val="24"/>
              </w:rPr>
              <w:t>Entrevista estructurada.</w:t>
            </w:r>
          </w:p>
        </w:tc>
      </w:tr>
      <w:tr w:rsidR="00CC1C3F" w:rsidRPr="006177E4" w14:paraId="47F6387E" w14:textId="77777777" w:rsidTr="00F330B2">
        <w:tc>
          <w:tcPr>
            <w:tcW w:w="3325" w:type="dxa"/>
            <w:hideMark/>
          </w:tcPr>
          <w:p w14:paraId="0C0F158E" w14:textId="77777777" w:rsidR="00CC1C3F" w:rsidRPr="006177E4" w:rsidRDefault="00CC1C3F" w:rsidP="00263B16">
            <w:pPr>
              <w:spacing w:line="480" w:lineRule="auto"/>
              <w:rPr>
                <w:rFonts w:cs="Times New Roman"/>
                <w:szCs w:val="24"/>
              </w:rPr>
            </w:pPr>
            <w:r w:rsidRPr="006177E4">
              <w:rPr>
                <w:rFonts w:cs="Times New Roman"/>
                <w:b/>
                <w:szCs w:val="24"/>
              </w:rPr>
              <w:t>Tipo de validación</w:t>
            </w:r>
          </w:p>
        </w:tc>
        <w:tc>
          <w:tcPr>
            <w:tcW w:w="6025" w:type="dxa"/>
            <w:hideMark/>
          </w:tcPr>
          <w:p w14:paraId="39BAA26E" w14:textId="77777777" w:rsidR="00CC1C3F" w:rsidRPr="006177E4" w:rsidRDefault="00CC1C3F" w:rsidP="00263B16">
            <w:pPr>
              <w:spacing w:line="480" w:lineRule="auto"/>
              <w:rPr>
                <w:rFonts w:cs="Times New Roman"/>
                <w:szCs w:val="24"/>
              </w:rPr>
            </w:pPr>
            <w:r w:rsidRPr="006177E4">
              <w:rPr>
                <w:rFonts w:cs="Times New Roman"/>
                <w:szCs w:val="24"/>
              </w:rPr>
              <w:t>Pertinencia del instrumento y validez de contenido por juicio de expertos.</w:t>
            </w:r>
          </w:p>
        </w:tc>
      </w:tr>
      <w:tr w:rsidR="00CC1C3F" w:rsidRPr="006177E4" w14:paraId="13DFAA21" w14:textId="77777777" w:rsidTr="00F330B2">
        <w:tc>
          <w:tcPr>
            <w:tcW w:w="3325" w:type="dxa"/>
            <w:hideMark/>
          </w:tcPr>
          <w:p w14:paraId="4BE20E24" w14:textId="77777777" w:rsidR="00CC1C3F" w:rsidRPr="006177E4" w:rsidRDefault="00CC1C3F" w:rsidP="00263B16">
            <w:pPr>
              <w:spacing w:line="480" w:lineRule="auto"/>
              <w:rPr>
                <w:rFonts w:cs="Times New Roman"/>
                <w:szCs w:val="24"/>
              </w:rPr>
            </w:pPr>
            <w:r w:rsidRPr="006177E4">
              <w:rPr>
                <w:rFonts w:cs="Times New Roman"/>
                <w:b/>
                <w:szCs w:val="24"/>
              </w:rPr>
              <w:t>Dimensión de validación</w:t>
            </w:r>
          </w:p>
        </w:tc>
        <w:tc>
          <w:tcPr>
            <w:tcW w:w="6025" w:type="dxa"/>
            <w:hideMark/>
          </w:tcPr>
          <w:p w14:paraId="3A456926" w14:textId="77777777" w:rsidR="00CC1C3F" w:rsidRPr="006177E4" w:rsidRDefault="00CC1C3F" w:rsidP="00263B16">
            <w:pPr>
              <w:spacing w:line="480" w:lineRule="auto"/>
              <w:rPr>
                <w:rFonts w:cs="Times New Roman"/>
                <w:szCs w:val="24"/>
              </w:rPr>
            </w:pPr>
            <w:r w:rsidRPr="006177E4">
              <w:rPr>
                <w:rFonts w:cs="Times New Roman"/>
                <w:szCs w:val="24"/>
              </w:rPr>
              <w:t>Correspondencia con objetivos; relevancia temática; claridad de redacción; suficiencia de preguntas; orden lógico; viabilidad de aplicación; sesgo y preguntas inducidas.</w:t>
            </w:r>
          </w:p>
        </w:tc>
      </w:tr>
      <w:tr w:rsidR="00CC1C3F" w:rsidRPr="006177E4" w14:paraId="309C552F" w14:textId="77777777" w:rsidTr="00F330B2">
        <w:tc>
          <w:tcPr>
            <w:tcW w:w="3325" w:type="dxa"/>
            <w:hideMark/>
          </w:tcPr>
          <w:p w14:paraId="068E66DE" w14:textId="77777777" w:rsidR="00CC1C3F" w:rsidRPr="006177E4" w:rsidRDefault="00CC1C3F" w:rsidP="00263B16">
            <w:pPr>
              <w:spacing w:line="480" w:lineRule="auto"/>
              <w:rPr>
                <w:rFonts w:cs="Times New Roman"/>
                <w:szCs w:val="24"/>
              </w:rPr>
            </w:pPr>
            <w:r w:rsidRPr="006177E4">
              <w:rPr>
                <w:rFonts w:cs="Times New Roman"/>
                <w:b/>
                <w:szCs w:val="24"/>
              </w:rPr>
              <w:t>Unidad informante</w:t>
            </w:r>
          </w:p>
        </w:tc>
        <w:tc>
          <w:tcPr>
            <w:tcW w:w="6025" w:type="dxa"/>
            <w:hideMark/>
          </w:tcPr>
          <w:p w14:paraId="200D12F0" w14:textId="77777777" w:rsidR="00CC1C3F" w:rsidRPr="006177E4" w:rsidRDefault="00CC1C3F" w:rsidP="00263B16">
            <w:pPr>
              <w:spacing w:line="480" w:lineRule="auto"/>
              <w:rPr>
                <w:rFonts w:cs="Times New Roman"/>
                <w:szCs w:val="24"/>
              </w:rPr>
            </w:pPr>
            <w:r w:rsidRPr="006177E4">
              <w:rPr>
                <w:rFonts w:cs="Times New Roman"/>
                <w:szCs w:val="24"/>
              </w:rPr>
              <w:t>Expertos: funcionarios, profesionales y académicos con experiencia en tributación o gestión tributaria.</w:t>
            </w:r>
          </w:p>
        </w:tc>
      </w:tr>
      <w:tr w:rsidR="00CC1C3F" w:rsidRPr="006177E4" w14:paraId="49DD0AFF" w14:textId="77777777" w:rsidTr="00F330B2">
        <w:tc>
          <w:tcPr>
            <w:tcW w:w="3325" w:type="dxa"/>
            <w:hideMark/>
          </w:tcPr>
          <w:p w14:paraId="787CB74D" w14:textId="77777777" w:rsidR="00CC1C3F" w:rsidRPr="006177E4" w:rsidRDefault="00CC1C3F" w:rsidP="00263B16">
            <w:pPr>
              <w:spacing w:line="480" w:lineRule="auto"/>
              <w:rPr>
                <w:rFonts w:cs="Times New Roman"/>
                <w:szCs w:val="24"/>
              </w:rPr>
            </w:pPr>
            <w:r w:rsidRPr="006177E4">
              <w:rPr>
                <w:rFonts w:cs="Times New Roman"/>
                <w:b/>
                <w:szCs w:val="24"/>
              </w:rPr>
              <w:t>Modalidad de aplicación</w:t>
            </w:r>
          </w:p>
        </w:tc>
        <w:tc>
          <w:tcPr>
            <w:tcW w:w="6025" w:type="dxa"/>
            <w:hideMark/>
          </w:tcPr>
          <w:p w14:paraId="6390ECE5" w14:textId="77777777" w:rsidR="00CC1C3F" w:rsidRPr="006177E4" w:rsidRDefault="00CC1C3F" w:rsidP="00263B16">
            <w:pPr>
              <w:spacing w:line="480" w:lineRule="auto"/>
              <w:rPr>
                <w:rFonts w:cs="Times New Roman"/>
                <w:szCs w:val="24"/>
              </w:rPr>
            </w:pPr>
            <w:r w:rsidRPr="006177E4">
              <w:rPr>
                <w:rFonts w:cs="Times New Roman"/>
                <w:szCs w:val="24"/>
              </w:rPr>
              <w:t>Presencial o virtual, con consentimiento informado y registro de respuestas.</w:t>
            </w:r>
          </w:p>
        </w:tc>
      </w:tr>
      <w:tr w:rsidR="00CC1C3F" w:rsidRPr="006177E4" w14:paraId="56AA6015" w14:textId="77777777" w:rsidTr="00F330B2">
        <w:tc>
          <w:tcPr>
            <w:tcW w:w="3325" w:type="dxa"/>
            <w:hideMark/>
          </w:tcPr>
          <w:p w14:paraId="3FFBB181" w14:textId="77777777" w:rsidR="00CC1C3F" w:rsidRPr="006177E4" w:rsidRDefault="00CC1C3F" w:rsidP="00263B16">
            <w:pPr>
              <w:spacing w:line="480" w:lineRule="auto"/>
              <w:rPr>
                <w:rFonts w:cs="Times New Roman"/>
                <w:szCs w:val="24"/>
              </w:rPr>
            </w:pPr>
            <w:r w:rsidRPr="006177E4">
              <w:rPr>
                <w:rFonts w:cs="Times New Roman"/>
                <w:b/>
                <w:szCs w:val="24"/>
              </w:rPr>
              <w:t>Tiempo estimado</w:t>
            </w:r>
          </w:p>
        </w:tc>
        <w:tc>
          <w:tcPr>
            <w:tcW w:w="6025" w:type="dxa"/>
            <w:hideMark/>
          </w:tcPr>
          <w:p w14:paraId="35D565AD" w14:textId="77777777" w:rsidR="00CC1C3F" w:rsidRPr="006177E4" w:rsidRDefault="00CC1C3F" w:rsidP="00263B16">
            <w:pPr>
              <w:spacing w:line="480" w:lineRule="auto"/>
              <w:rPr>
                <w:rFonts w:cs="Times New Roman"/>
                <w:szCs w:val="24"/>
              </w:rPr>
            </w:pPr>
            <w:r w:rsidRPr="006177E4">
              <w:rPr>
                <w:rFonts w:cs="Times New Roman"/>
                <w:szCs w:val="24"/>
              </w:rPr>
              <w:t>20 a 40 minutos por entrevista.</w:t>
            </w:r>
          </w:p>
        </w:tc>
      </w:tr>
      <w:tr w:rsidR="00CC1C3F" w:rsidRPr="006177E4" w14:paraId="0C2C622B" w14:textId="77777777" w:rsidTr="00F330B2">
        <w:tc>
          <w:tcPr>
            <w:tcW w:w="3325" w:type="dxa"/>
            <w:hideMark/>
          </w:tcPr>
          <w:p w14:paraId="6134F558" w14:textId="77777777" w:rsidR="00CC1C3F" w:rsidRPr="006177E4" w:rsidRDefault="00CC1C3F" w:rsidP="00263B16">
            <w:pPr>
              <w:spacing w:line="480" w:lineRule="auto"/>
              <w:rPr>
                <w:rFonts w:cs="Times New Roman"/>
                <w:szCs w:val="24"/>
              </w:rPr>
            </w:pPr>
            <w:r w:rsidRPr="006177E4">
              <w:rPr>
                <w:rFonts w:cs="Times New Roman"/>
                <w:b/>
                <w:szCs w:val="24"/>
              </w:rPr>
              <w:t>Producto esperado</w:t>
            </w:r>
          </w:p>
        </w:tc>
        <w:tc>
          <w:tcPr>
            <w:tcW w:w="6025" w:type="dxa"/>
            <w:hideMark/>
          </w:tcPr>
          <w:p w14:paraId="47B52A81" w14:textId="77777777" w:rsidR="00CC1C3F" w:rsidRPr="006177E4" w:rsidRDefault="00CC1C3F" w:rsidP="00263B16">
            <w:pPr>
              <w:spacing w:line="480" w:lineRule="auto"/>
              <w:rPr>
                <w:rFonts w:cs="Times New Roman"/>
                <w:szCs w:val="24"/>
              </w:rPr>
            </w:pPr>
            <w:r w:rsidRPr="006177E4">
              <w:rPr>
                <w:rFonts w:cs="Times New Roman"/>
                <w:szCs w:val="24"/>
              </w:rPr>
              <w:t>Concepto de validación, observaciones de mejora y versión ajustada del instrumento.</w:t>
            </w:r>
          </w:p>
        </w:tc>
      </w:tr>
    </w:tbl>
    <w:p w14:paraId="3B302418" w14:textId="030C5770" w:rsidR="00D0733C" w:rsidRPr="006177E4" w:rsidRDefault="00F330B2" w:rsidP="00263B16">
      <w:pPr>
        <w:spacing w:line="480" w:lineRule="auto"/>
        <w:jc w:val="left"/>
        <w:rPr>
          <w:rFonts w:cs="Times New Roman"/>
          <w:szCs w:val="24"/>
        </w:rPr>
      </w:pPr>
      <w:r w:rsidRPr="00F330B2">
        <w:rPr>
          <w:rFonts w:cs="Times New Roman"/>
          <w:i/>
          <w:iCs/>
          <w:szCs w:val="24"/>
        </w:rPr>
        <w:t>Nota</w:t>
      </w:r>
      <w:r>
        <w:rPr>
          <w:rFonts w:cs="Times New Roman"/>
          <w:szCs w:val="24"/>
        </w:rPr>
        <w:t xml:space="preserve">. </w:t>
      </w:r>
      <w:r w:rsidR="00281800">
        <w:rPr>
          <w:rFonts w:cs="Times New Roman"/>
          <w:szCs w:val="24"/>
        </w:rPr>
        <w:t>E</w:t>
      </w:r>
      <w:r w:rsidR="00D0733C">
        <w:rPr>
          <w:rFonts w:cs="Times New Roman"/>
          <w:szCs w:val="24"/>
        </w:rPr>
        <w:t>laboración</w:t>
      </w:r>
      <w:r>
        <w:rPr>
          <w:rFonts w:cs="Times New Roman"/>
          <w:szCs w:val="24"/>
        </w:rPr>
        <w:t xml:space="preserve"> propia</w:t>
      </w:r>
      <w:r w:rsidR="00281800">
        <w:rPr>
          <w:rFonts w:cs="Times New Roman"/>
          <w:szCs w:val="24"/>
        </w:rPr>
        <w:t xml:space="preserve"> </w:t>
      </w:r>
      <w:r w:rsidR="00281800" w:rsidRPr="006177E4">
        <w:rPr>
          <w:rFonts w:eastAsia="Times New Roman" w:cs="Times New Roman"/>
          <w:szCs w:val="24"/>
        </w:rPr>
        <w:t>(Acero y López, 2026)</w:t>
      </w:r>
    </w:p>
    <w:p w14:paraId="27DF4701" w14:textId="77777777" w:rsidR="00D0733C" w:rsidRDefault="00CC1C3F" w:rsidP="008C471E">
      <w:pPr>
        <w:pStyle w:val="PrrAPA"/>
      </w:pPr>
      <w:r w:rsidRPr="006177E4">
        <w:t>Este procedimiento se incluyó para garantizar que las preguntas tenían correspondencia con los objetivos del estudio, con las categorías de análisis previamente definidas y con el lenguaje técnico. En consecuencia, la ficha de validación contempló criterios de pertinencia, claridad, coherencia, suficiencia y relevancia de las preguntas frente a las categorías: causas de la ineficacia, consecuencias legales, fiscales y operativas, y estrategias de mejora. Las preguntas fueron redactadas de manera técnica, pero comprensible, y se orientaron a obtener información útil para contrastar la explicación normativa con la experiencia institucional y profesional sobre la ineficacia de las declaraciones de retención en la fuente.</w:t>
      </w:r>
    </w:p>
    <w:p w14:paraId="3C918811" w14:textId="4AD35135" w:rsidR="00CC1C3F" w:rsidRPr="006177E4" w:rsidRDefault="00CC1C3F" w:rsidP="008C471E">
      <w:pPr>
        <w:pStyle w:val="PrrAPA"/>
      </w:pPr>
      <w:r w:rsidRPr="006177E4">
        <w:t>En cuanto a la aplicación del instrumento, las preguntas junto con el consentimiento informado para el tratamiento de los datos, se remitió vía correo electrónico a los expertos, quienes en un 100% enviaron las respuestas por este medio.</w:t>
      </w:r>
    </w:p>
    <w:p w14:paraId="60D1F771" w14:textId="77777777" w:rsidR="00D10CAF" w:rsidRPr="006177E4" w:rsidRDefault="00D10CAF" w:rsidP="00263B16">
      <w:pPr>
        <w:spacing w:line="480" w:lineRule="auto"/>
        <w:jc w:val="left"/>
        <w:rPr>
          <w:rFonts w:cs="Times New Roman"/>
          <w:szCs w:val="24"/>
        </w:rPr>
      </w:pPr>
    </w:p>
    <w:p w14:paraId="212CFB6D" w14:textId="77777777" w:rsidR="000C59BD" w:rsidRDefault="00D0733C" w:rsidP="00263B16">
      <w:pPr>
        <w:pStyle w:val="Descripcin"/>
        <w:spacing w:after="0" w:line="480" w:lineRule="auto"/>
      </w:pPr>
      <w:bookmarkStart w:id="113" w:name="_Toc229077706"/>
      <w:r w:rsidRPr="00D0733C">
        <w:rPr>
          <w:b/>
          <w:bCs/>
          <w:i w:val="0"/>
          <w:iCs w:val="0"/>
        </w:rPr>
        <w:lastRenderedPageBreak/>
        <w:t xml:space="preserve">Tabla </w:t>
      </w:r>
      <w:r w:rsidRPr="00D0733C">
        <w:rPr>
          <w:b/>
          <w:bCs/>
          <w:i w:val="0"/>
          <w:iCs w:val="0"/>
        </w:rPr>
        <w:fldChar w:fldCharType="begin"/>
      </w:r>
      <w:r w:rsidRPr="00D0733C">
        <w:rPr>
          <w:b/>
          <w:bCs/>
          <w:i w:val="0"/>
          <w:iCs w:val="0"/>
        </w:rPr>
        <w:instrText xml:space="preserve"> SEQ Tabla \* ARABIC </w:instrText>
      </w:r>
      <w:r w:rsidRPr="00D0733C">
        <w:rPr>
          <w:b/>
          <w:bCs/>
          <w:i w:val="0"/>
          <w:iCs w:val="0"/>
        </w:rPr>
        <w:fldChar w:fldCharType="separate"/>
      </w:r>
      <w:r w:rsidR="00D64F6E">
        <w:rPr>
          <w:b/>
          <w:bCs/>
          <w:i w:val="0"/>
          <w:iCs w:val="0"/>
          <w:noProof/>
        </w:rPr>
        <w:t>7</w:t>
      </w:r>
      <w:r w:rsidRPr="00D0733C">
        <w:rPr>
          <w:b/>
          <w:bCs/>
          <w:i w:val="0"/>
          <w:iCs w:val="0"/>
        </w:rPr>
        <w:fldChar w:fldCharType="end"/>
      </w:r>
      <w:r>
        <w:t xml:space="preserve"> </w:t>
      </w:r>
    </w:p>
    <w:p w14:paraId="2F86ABDC" w14:textId="5BB3F0E2" w:rsidR="00CC1C3F" w:rsidRPr="000C59BD" w:rsidRDefault="00CC1C3F" w:rsidP="00263B16">
      <w:pPr>
        <w:pStyle w:val="Descripcin"/>
        <w:spacing w:after="0" w:line="480" w:lineRule="auto"/>
        <w:rPr>
          <w:rFonts w:cs="Times New Roman"/>
          <w:szCs w:val="24"/>
        </w:rPr>
      </w:pPr>
      <w:r w:rsidRPr="000C59BD">
        <w:rPr>
          <w:rFonts w:eastAsia="Times New Roman" w:cs="Times New Roman"/>
          <w:szCs w:val="24"/>
        </w:rPr>
        <w:t>Ficha técnica de la entrevista</w:t>
      </w:r>
      <w:bookmarkEnd w:id="113"/>
    </w:p>
    <w:tbl>
      <w:tblPr>
        <w:tblStyle w:val="Tablaconcuadrculaclara"/>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55"/>
        <w:gridCol w:w="5805"/>
      </w:tblGrid>
      <w:tr w:rsidR="00CC1C3F" w:rsidRPr="006177E4" w14:paraId="194360DA" w14:textId="77777777" w:rsidTr="00D0733C">
        <w:tc>
          <w:tcPr>
            <w:tcW w:w="5000" w:type="pct"/>
            <w:gridSpan w:val="2"/>
            <w:hideMark/>
          </w:tcPr>
          <w:p w14:paraId="5C7BED17" w14:textId="77777777" w:rsidR="00CC1C3F" w:rsidRPr="006177E4" w:rsidRDefault="00CC1C3F" w:rsidP="00263B16">
            <w:pPr>
              <w:spacing w:line="480" w:lineRule="auto"/>
              <w:jc w:val="center"/>
              <w:rPr>
                <w:rFonts w:cs="Times New Roman"/>
                <w:szCs w:val="24"/>
                <w:lang w:val="es-ES"/>
              </w:rPr>
            </w:pPr>
            <w:r w:rsidRPr="006177E4">
              <w:rPr>
                <w:rFonts w:cs="Times New Roman"/>
                <w:b/>
                <w:szCs w:val="24"/>
              </w:rPr>
              <w:t>Instrumento</w:t>
            </w:r>
          </w:p>
        </w:tc>
      </w:tr>
      <w:tr w:rsidR="00CC1C3F" w:rsidRPr="006177E4" w14:paraId="7C7919D0" w14:textId="77777777" w:rsidTr="00D0733C">
        <w:tc>
          <w:tcPr>
            <w:tcW w:w="1899" w:type="pct"/>
            <w:hideMark/>
          </w:tcPr>
          <w:p w14:paraId="48E74856" w14:textId="77777777" w:rsidR="00CC1C3F" w:rsidRPr="006177E4" w:rsidRDefault="00CC1C3F" w:rsidP="00263B16">
            <w:pPr>
              <w:spacing w:line="480" w:lineRule="auto"/>
              <w:rPr>
                <w:rFonts w:cs="Times New Roman"/>
                <w:szCs w:val="24"/>
              </w:rPr>
            </w:pPr>
            <w:r w:rsidRPr="006177E4">
              <w:rPr>
                <w:rFonts w:cs="Times New Roman"/>
                <w:szCs w:val="24"/>
              </w:rPr>
              <w:t>Tipo de instrumento</w:t>
            </w:r>
          </w:p>
        </w:tc>
        <w:tc>
          <w:tcPr>
            <w:tcW w:w="3101" w:type="pct"/>
            <w:hideMark/>
          </w:tcPr>
          <w:p w14:paraId="6BCEED79" w14:textId="77777777" w:rsidR="00CC1C3F" w:rsidRPr="006177E4" w:rsidRDefault="00CC1C3F" w:rsidP="00263B16">
            <w:pPr>
              <w:spacing w:line="480" w:lineRule="auto"/>
              <w:rPr>
                <w:rFonts w:cs="Times New Roman"/>
                <w:szCs w:val="24"/>
              </w:rPr>
            </w:pPr>
            <w:r w:rsidRPr="006177E4">
              <w:rPr>
                <w:rFonts w:cs="Times New Roman"/>
                <w:szCs w:val="24"/>
              </w:rPr>
              <w:t>Entrevista estructurada</w:t>
            </w:r>
          </w:p>
        </w:tc>
      </w:tr>
      <w:tr w:rsidR="00CC1C3F" w:rsidRPr="006177E4" w14:paraId="4A76B4D2" w14:textId="77777777" w:rsidTr="00D0733C">
        <w:tc>
          <w:tcPr>
            <w:tcW w:w="1899" w:type="pct"/>
            <w:hideMark/>
          </w:tcPr>
          <w:p w14:paraId="4CE03F44" w14:textId="77777777" w:rsidR="00CC1C3F" w:rsidRPr="006177E4" w:rsidRDefault="00CC1C3F" w:rsidP="00263B16">
            <w:pPr>
              <w:spacing w:line="480" w:lineRule="auto"/>
              <w:rPr>
                <w:rFonts w:cs="Times New Roman"/>
                <w:szCs w:val="24"/>
              </w:rPr>
            </w:pPr>
            <w:r w:rsidRPr="006177E4">
              <w:rPr>
                <w:rFonts w:cs="Times New Roman"/>
                <w:szCs w:val="24"/>
              </w:rPr>
              <w:t>Técnica de recolección</w:t>
            </w:r>
          </w:p>
        </w:tc>
        <w:tc>
          <w:tcPr>
            <w:tcW w:w="3101" w:type="pct"/>
            <w:hideMark/>
          </w:tcPr>
          <w:p w14:paraId="51E7F389" w14:textId="77777777" w:rsidR="00CC1C3F" w:rsidRPr="006177E4" w:rsidRDefault="00CC1C3F" w:rsidP="00263B16">
            <w:pPr>
              <w:spacing w:line="480" w:lineRule="auto"/>
              <w:rPr>
                <w:rFonts w:cs="Times New Roman"/>
                <w:szCs w:val="24"/>
              </w:rPr>
            </w:pPr>
            <w:r w:rsidRPr="006177E4">
              <w:rPr>
                <w:rFonts w:cs="Times New Roman"/>
                <w:szCs w:val="24"/>
              </w:rPr>
              <w:t>Entrevista individual con preguntas diseñadas</w:t>
            </w:r>
          </w:p>
        </w:tc>
      </w:tr>
      <w:tr w:rsidR="00CC1C3F" w:rsidRPr="006177E4" w14:paraId="606377B2" w14:textId="77777777" w:rsidTr="00D0733C">
        <w:tc>
          <w:tcPr>
            <w:tcW w:w="1899" w:type="pct"/>
            <w:hideMark/>
          </w:tcPr>
          <w:p w14:paraId="4703C543" w14:textId="77777777" w:rsidR="00CC1C3F" w:rsidRPr="006177E4" w:rsidRDefault="00CC1C3F" w:rsidP="00263B16">
            <w:pPr>
              <w:spacing w:line="480" w:lineRule="auto"/>
              <w:rPr>
                <w:rFonts w:cs="Times New Roman"/>
                <w:szCs w:val="24"/>
              </w:rPr>
            </w:pPr>
            <w:r w:rsidRPr="006177E4">
              <w:rPr>
                <w:rFonts w:cs="Times New Roman"/>
                <w:szCs w:val="24"/>
              </w:rPr>
              <w:t>Población objetivo</w:t>
            </w:r>
          </w:p>
        </w:tc>
        <w:tc>
          <w:tcPr>
            <w:tcW w:w="3101" w:type="pct"/>
            <w:hideMark/>
          </w:tcPr>
          <w:p w14:paraId="76B38789" w14:textId="77777777" w:rsidR="00CC1C3F" w:rsidRPr="006177E4" w:rsidRDefault="00CC1C3F" w:rsidP="00263B16">
            <w:pPr>
              <w:spacing w:line="480" w:lineRule="auto"/>
              <w:rPr>
                <w:rFonts w:cs="Times New Roman"/>
                <w:szCs w:val="24"/>
              </w:rPr>
            </w:pPr>
            <w:r w:rsidRPr="006177E4">
              <w:rPr>
                <w:rFonts w:cs="Times New Roman"/>
                <w:szCs w:val="24"/>
              </w:rPr>
              <w:t>Expertos en derecho tributario o procedimiento tributario, agentes retenedores</w:t>
            </w:r>
          </w:p>
        </w:tc>
      </w:tr>
      <w:tr w:rsidR="00CC1C3F" w:rsidRPr="006177E4" w14:paraId="0FF1028D" w14:textId="77777777" w:rsidTr="00D0733C">
        <w:tc>
          <w:tcPr>
            <w:tcW w:w="1899" w:type="pct"/>
            <w:hideMark/>
          </w:tcPr>
          <w:p w14:paraId="62F3DB47" w14:textId="77777777" w:rsidR="00CC1C3F" w:rsidRPr="006177E4" w:rsidRDefault="00CC1C3F" w:rsidP="00263B16">
            <w:pPr>
              <w:spacing w:line="480" w:lineRule="auto"/>
              <w:rPr>
                <w:rFonts w:cs="Times New Roman"/>
                <w:szCs w:val="24"/>
              </w:rPr>
            </w:pPr>
            <w:r w:rsidRPr="006177E4">
              <w:rPr>
                <w:rFonts w:cs="Times New Roman"/>
                <w:szCs w:val="24"/>
              </w:rPr>
              <w:t>Modalidad de aplicación</w:t>
            </w:r>
          </w:p>
        </w:tc>
        <w:tc>
          <w:tcPr>
            <w:tcW w:w="3101" w:type="pct"/>
            <w:hideMark/>
          </w:tcPr>
          <w:p w14:paraId="4030170C" w14:textId="77777777" w:rsidR="00CC1C3F" w:rsidRPr="006177E4" w:rsidRDefault="00CC1C3F" w:rsidP="00263B16">
            <w:pPr>
              <w:spacing w:line="480" w:lineRule="auto"/>
              <w:rPr>
                <w:rFonts w:cs="Times New Roman"/>
                <w:szCs w:val="24"/>
              </w:rPr>
            </w:pPr>
            <w:r w:rsidRPr="006177E4">
              <w:rPr>
                <w:rFonts w:cs="Times New Roman"/>
                <w:szCs w:val="24"/>
              </w:rPr>
              <w:t xml:space="preserve">Virtual, mediante Microsoft </w:t>
            </w:r>
            <w:proofErr w:type="spellStart"/>
            <w:r w:rsidRPr="006177E4">
              <w:rPr>
                <w:rFonts w:cs="Times New Roman"/>
                <w:szCs w:val="24"/>
              </w:rPr>
              <w:t>Teams</w:t>
            </w:r>
            <w:proofErr w:type="spellEnd"/>
            <w:r w:rsidRPr="006177E4">
              <w:rPr>
                <w:rFonts w:cs="Times New Roman"/>
                <w:szCs w:val="24"/>
              </w:rPr>
              <w:t xml:space="preserve"> o respuestas vía correo electrónico</w:t>
            </w:r>
          </w:p>
        </w:tc>
      </w:tr>
      <w:tr w:rsidR="00CC1C3F" w:rsidRPr="006177E4" w14:paraId="0B38BD40" w14:textId="77777777" w:rsidTr="00D0733C">
        <w:tc>
          <w:tcPr>
            <w:tcW w:w="1899" w:type="pct"/>
            <w:hideMark/>
          </w:tcPr>
          <w:p w14:paraId="2BFB90DF" w14:textId="77777777" w:rsidR="00CC1C3F" w:rsidRPr="006177E4" w:rsidRDefault="00CC1C3F" w:rsidP="00263B16">
            <w:pPr>
              <w:spacing w:line="480" w:lineRule="auto"/>
              <w:rPr>
                <w:rFonts w:cs="Times New Roman"/>
                <w:szCs w:val="24"/>
              </w:rPr>
            </w:pPr>
            <w:r w:rsidRPr="006177E4">
              <w:rPr>
                <w:rFonts w:cs="Times New Roman"/>
                <w:szCs w:val="24"/>
              </w:rPr>
              <w:t>Duración estimada</w:t>
            </w:r>
          </w:p>
        </w:tc>
        <w:tc>
          <w:tcPr>
            <w:tcW w:w="3101" w:type="pct"/>
            <w:hideMark/>
          </w:tcPr>
          <w:p w14:paraId="6CF196F2" w14:textId="77777777" w:rsidR="00CC1C3F" w:rsidRPr="006177E4" w:rsidRDefault="00CC1C3F" w:rsidP="00263B16">
            <w:pPr>
              <w:spacing w:line="480" w:lineRule="auto"/>
              <w:rPr>
                <w:rFonts w:cs="Times New Roman"/>
                <w:szCs w:val="24"/>
              </w:rPr>
            </w:pPr>
            <w:r w:rsidRPr="006177E4">
              <w:rPr>
                <w:rFonts w:cs="Times New Roman"/>
                <w:szCs w:val="24"/>
              </w:rPr>
              <w:t>15 a 25 minutos</w:t>
            </w:r>
          </w:p>
        </w:tc>
      </w:tr>
      <w:tr w:rsidR="00CC1C3F" w:rsidRPr="006177E4" w14:paraId="52D6ECC9" w14:textId="77777777" w:rsidTr="00D0733C">
        <w:tc>
          <w:tcPr>
            <w:tcW w:w="1899" w:type="pct"/>
            <w:hideMark/>
          </w:tcPr>
          <w:p w14:paraId="1AC0F321" w14:textId="77777777" w:rsidR="00CC1C3F" w:rsidRPr="006177E4" w:rsidRDefault="00CC1C3F" w:rsidP="00263B16">
            <w:pPr>
              <w:spacing w:line="480" w:lineRule="auto"/>
              <w:rPr>
                <w:rFonts w:cs="Times New Roman"/>
                <w:szCs w:val="24"/>
              </w:rPr>
            </w:pPr>
            <w:r w:rsidRPr="006177E4">
              <w:rPr>
                <w:rFonts w:cs="Times New Roman"/>
                <w:szCs w:val="24"/>
              </w:rPr>
              <w:t>Finalidad</w:t>
            </w:r>
          </w:p>
        </w:tc>
        <w:tc>
          <w:tcPr>
            <w:tcW w:w="3101" w:type="pct"/>
            <w:hideMark/>
          </w:tcPr>
          <w:p w14:paraId="773BF946" w14:textId="77777777" w:rsidR="00CC1C3F" w:rsidRPr="006177E4" w:rsidRDefault="00CC1C3F" w:rsidP="00263B16">
            <w:pPr>
              <w:spacing w:line="480" w:lineRule="auto"/>
              <w:rPr>
                <w:rFonts w:cs="Times New Roman"/>
                <w:szCs w:val="24"/>
              </w:rPr>
            </w:pPr>
            <w:r w:rsidRPr="006177E4">
              <w:rPr>
                <w:rFonts w:cs="Times New Roman"/>
                <w:szCs w:val="24"/>
              </w:rPr>
              <w:t>Obtener información especializada para analizar causas, consecuencias y problemáticas de la ineficacia de las declaraciones de retención en la fuente</w:t>
            </w:r>
          </w:p>
        </w:tc>
      </w:tr>
    </w:tbl>
    <w:p w14:paraId="7A504AE2" w14:textId="13F3B88D" w:rsidR="00D0733C" w:rsidRDefault="00D0733C" w:rsidP="00263B16">
      <w:pPr>
        <w:pStyle w:val="PrrAPA"/>
      </w:pPr>
      <w:bookmarkStart w:id="114" w:name="_Toc228250796"/>
      <w:r w:rsidRPr="00D0733C">
        <w:rPr>
          <w:i/>
          <w:iCs/>
        </w:rPr>
        <w:t>Nota.</w:t>
      </w:r>
      <w:r>
        <w:t xml:space="preserve"> </w:t>
      </w:r>
      <w:r w:rsidR="00E27C5F">
        <w:t>E</w:t>
      </w:r>
      <w:r>
        <w:t>laboración propia</w:t>
      </w:r>
      <w:r w:rsidR="00281800">
        <w:t xml:space="preserve"> </w:t>
      </w:r>
      <w:r w:rsidR="00281800" w:rsidRPr="006177E4">
        <w:rPr>
          <w:rFonts w:eastAsia="Times New Roman"/>
        </w:rPr>
        <w:t>(Acero y López, 2026)</w:t>
      </w:r>
    </w:p>
    <w:p w14:paraId="7F83CC7D" w14:textId="77777777" w:rsidR="00D0733C" w:rsidRDefault="00D0733C" w:rsidP="00263B16">
      <w:pPr>
        <w:pStyle w:val="PrrAPA"/>
      </w:pPr>
    </w:p>
    <w:p w14:paraId="627A82D6" w14:textId="3BBA6F65" w:rsidR="00CC1C3F" w:rsidRPr="00D0733C" w:rsidRDefault="00CC1C3F" w:rsidP="00263B16">
      <w:pPr>
        <w:pStyle w:val="Ttulo2"/>
      </w:pPr>
      <w:bookmarkStart w:id="115" w:name="_Toc229077662"/>
      <w:r w:rsidRPr="00D0733C">
        <w:t>Fuentes de Investigación</w:t>
      </w:r>
      <w:bookmarkEnd w:id="114"/>
      <w:bookmarkEnd w:id="115"/>
    </w:p>
    <w:p w14:paraId="6C1E01A5" w14:textId="77777777" w:rsidR="00CC1C3F" w:rsidRPr="006177E4" w:rsidRDefault="00CC1C3F" w:rsidP="008C471E">
      <w:pPr>
        <w:pStyle w:val="PrrAPA"/>
      </w:pPr>
      <w:r w:rsidRPr="006177E4">
        <w:t>La investigación se fundamentó en fuentes primarias, secundarias y terciarias, seleccionadas de acuerdo con su pertinencia jurídica, doctrinal, jurisprudencial y académica frente al problema de la ineficacia de las declaraciones de retención en la fuente. En el siguiente diagrama se sintetiza la estrategia de búsqueda correspondiente a las fuentes secundarias y terciarias.</w:t>
      </w:r>
    </w:p>
    <w:p w14:paraId="71FE7499" w14:textId="77777777" w:rsidR="00D0733C" w:rsidRDefault="00D0733C" w:rsidP="00263B16">
      <w:pPr>
        <w:pStyle w:val="Descripcin"/>
        <w:spacing w:after="0" w:line="480" w:lineRule="auto"/>
        <w:rPr>
          <w:rFonts w:cs="Times New Roman"/>
          <w:b/>
          <w:bCs/>
          <w:szCs w:val="24"/>
        </w:rPr>
      </w:pPr>
      <w:bookmarkStart w:id="116" w:name="_Toc227978316"/>
    </w:p>
    <w:p w14:paraId="4AA621AB" w14:textId="77777777" w:rsidR="000C59BD" w:rsidRDefault="00D0733C" w:rsidP="00263B16">
      <w:pPr>
        <w:pStyle w:val="Descripcin"/>
        <w:spacing w:after="0" w:line="480" w:lineRule="auto"/>
        <w:rPr>
          <w:b/>
          <w:bCs/>
          <w:i w:val="0"/>
          <w:iCs w:val="0"/>
        </w:rPr>
      </w:pPr>
      <w:bookmarkStart w:id="117" w:name="_Toc229077715"/>
      <w:r w:rsidRPr="00D0733C">
        <w:rPr>
          <w:b/>
          <w:bCs/>
          <w:i w:val="0"/>
          <w:iCs w:val="0"/>
        </w:rPr>
        <w:t xml:space="preserve">Figura  </w:t>
      </w:r>
      <w:r w:rsidRPr="00D0733C">
        <w:rPr>
          <w:b/>
          <w:bCs/>
          <w:i w:val="0"/>
          <w:iCs w:val="0"/>
        </w:rPr>
        <w:fldChar w:fldCharType="begin"/>
      </w:r>
      <w:r w:rsidRPr="00D0733C">
        <w:rPr>
          <w:b/>
          <w:bCs/>
          <w:i w:val="0"/>
          <w:iCs w:val="0"/>
        </w:rPr>
        <w:instrText xml:space="preserve"> SEQ Figura_ \* ARABIC </w:instrText>
      </w:r>
      <w:r w:rsidRPr="00D0733C">
        <w:rPr>
          <w:b/>
          <w:bCs/>
          <w:i w:val="0"/>
          <w:iCs w:val="0"/>
        </w:rPr>
        <w:fldChar w:fldCharType="separate"/>
      </w:r>
      <w:r w:rsidR="00F01079">
        <w:rPr>
          <w:b/>
          <w:bCs/>
          <w:i w:val="0"/>
          <w:iCs w:val="0"/>
          <w:noProof/>
        </w:rPr>
        <w:t>6</w:t>
      </w:r>
      <w:r w:rsidRPr="00D0733C">
        <w:rPr>
          <w:b/>
          <w:bCs/>
          <w:i w:val="0"/>
          <w:iCs w:val="0"/>
        </w:rPr>
        <w:fldChar w:fldCharType="end"/>
      </w:r>
      <w:bookmarkEnd w:id="116"/>
    </w:p>
    <w:p w14:paraId="3B05B500" w14:textId="62668006" w:rsidR="00CC1C3F" w:rsidRPr="006177E4" w:rsidRDefault="00CC1C3F" w:rsidP="00263B16">
      <w:pPr>
        <w:pStyle w:val="Descripcin"/>
        <w:spacing w:after="0" w:line="480" w:lineRule="auto"/>
        <w:rPr>
          <w:rFonts w:cs="Times New Roman"/>
          <w:szCs w:val="24"/>
        </w:rPr>
      </w:pPr>
      <w:r w:rsidRPr="00D0733C">
        <w:rPr>
          <w:rFonts w:cs="Times New Roman"/>
          <w:szCs w:val="24"/>
        </w:rPr>
        <w:t>Fuentes de investigación análisis documental</w:t>
      </w:r>
      <w:r w:rsidR="00D0733C">
        <w:rPr>
          <w:rFonts w:cs="Times New Roman"/>
          <w:szCs w:val="24"/>
        </w:rPr>
        <w:t>.</w:t>
      </w:r>
      <w:bookmarkEnd w:id="117"/>
    </w:p>
    <w:p w14:paraId="64FD967E" w14:textId="26F8D55B" w:rsidR="00CC1C3F" w:rsidRPr="006177E4" w:rsidRDefault="00CC1C3F" w:rsidP="00263B16">
      <w:pPr>
        <w:spacing w:line="480" w:lineRule="auto"/>
        <w:ind w:firstLine="720"/>
        <w:jc w:val="left"/>
        <w:rPr>
          <w:rFonts w:cs="Times New Roman"/>
          <w:szCs w:val="24"/>
        </w:rPr>
      </w:pPr>
      <w:r w:rsidRPr="006177E4">
        <w:rPr>
          <w:rFonts w:cs="Times New Roman"/>
          <w:noProof/>
          <w:szCs w:val="24"/>
          <w:lang w:eastAsia="es-CO"/>
        </w:rPr>
        <w:lastRenderedPageBreak/>
        <w:drawing>
          <wp:inline distT="0" distB="0" distL="0" distR="0" wp14:anchorId="53F26ACD" wp14:editId="3FCD221C">
            <wp:extent cx="5676900" cy="33604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76900" cy="3360420"/>
                    </a:xfrm>
                    <a:prstGeom prst="rect">
                      <a:avLst/>
                    </a:prstGeom>
                    <a:noFill/>
                    <a:ln>
                      <a:noFill/>
                    </a:ln>
                  </pic:spPr>
                </pic:pic>
              </a:graphicData>
            </a:graphic>
          </wp:inline>
        </w:drawing>
      </w:r>
    </w:p>
    <w:p w14:paraId="19B8DD07" w14:textId="7E8A1D15" w:rsidR="00CC1C3F" w:rsidRPr="006177E4" w:rsidRDefault="00D0733C" w:rsidP="00263B16">
      <w:pPr>
        <w:spacing w:line="480" w:lineRule="auto"/>
        <w:rPr>
          <w:rFonts w:eastAsia="Times New Roman" w:cs="Times New Roman"/>
          <w:szCs w:val="24"/>
        </w:rPr>
      </w:pPr>
      <w:r>
        <w:rPr>
          <w:rFonts w:eastAsia="Times New Roman" w:cs="Times New Roman"/>
          <w:szCs w:val="24"/>
        </w:rPr>
        <w:t xml:space="preserve">Nota. </w:t>
      </w:r>
      <w:r w:rsidRPr="00E27C5F">
        <w:rPr>
          <w:rFonts w:eastAsia="Times New Roman" w:cs="Times New Roman"/>
          <w:szCs w:val="24"/>
        </w:rPr>
        <w:t>E</w:t>
      </w:r>
      <w:r w:rsidR="0059202D" w:rsidRPr="00E27C5F">
        <w:rPr>
          <w:rFonts w:eastAsia="Times New Roman" w:cs="Times New Roman"/>
          <w:szCs w:val="24"/>
        </w:rPr>
        <w:t>la</w:t>
      </w:r>
      <w:r w:rsidR="0059202D" w:rsidRPr="006177E4">
        <w:rPr>
          <w:rFonts w:eastAsia="Times New Roman" w:cs="Times New Roman"/>
          <w:szCs w:val="24"/>
        </w:rPr>
        <w:t>boración propia</w:t>
      </w:r>
      <w:r w:rsidR="000C59BD">
        <w:rPr>
          <w:rFonts w:eastAsia="Times New Roman" w:cs="Times New Roman"/>
          <w:szCs w:val="24"/>
        </w:rPr>
        <w:t>.</w:t>
      </w:r>
      <w:r w:rsidR="0059202D" w:rsidRPr="006177E4">
        <w:rPr>
          <w:rFonts w:eastAsia="Times New Roman" w:cs="Times New Roman"/>
          <w:szCs w:val="24"/>
        </w:rPr>
        <w:t xml:space="preserve"> (Acero y López, 2026)</w:t>
      </w:r>
      <w:r w:rsidR="00E92827" w:rsidRPr="006177E4">
        <w:rPr>
          <w:rFonts w:eastAsia="Times New Roman" w:cs="Times New Roman"/>
          <w:szCs w:val="24"/>
        </w:rPr>
        <w:t xml:space="preserve"> apoyo IA</w:t>
      </w:r>
    </w:p>
    <w:p w14:paraId="64040E1D" w14:textId="41FE60A5" w:rsidR="00CC1C3F" w:rsidRPr="006177E4" w:rsidRDefault="00CC1C3F" w:rsidP="008C471E">
      <w:pPr>
        <w:pStyle w:val="PrrAPA"/>
      </w:pPr>
      <w:r w:rsidRPr="006177E4">
        <w:t>El análisis documental estuvo conformado por normas constitucionales, legales, reglamentarias y penales; jurisprudencia de la Corte Constitucional y del Consejo de Estado; doctrina oficial de la Dirección de Impuestos y Aduanas Nacionales (DIAN); y antecedentes académicos especializados. En el ámbito normativo, se estudiaron los artículos</w:t>
      </w:r>
      <w:r w:rsidR="008E7D01" w:rsidRPr="006177E4">
        <w:t xml:space="preserve"> </w:t>
      </w:r>
      <w:sdt>
        <w:sdtPr>
          <w:rPr>
            <w:color w:val="000000"/>
          </w:rPr>
          <w:tag w:val="MENDELEY_CITATION_v3_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"/>
          <w:id w:val="311068083"/>
          <w:placeholder>
            <w:docPart w:val="DefaultPlaceholder_-1854013440"/>
          </w:placeholder>
        </w:sdtPr>
        <w:sdtEndPr/>
        <w:sdtContent>
          <w:r w:rsidR="009A1775" w:rsidRPr="006177E4">
            <w:rPr>
              <w:color w:val="000000"/>
            </w:rPr>
            <w:t xml:space="preserve">Constitución Política de Colombia </w:t>
          </w:r>
          <w:r w:rsidR="00D0733C">
            <w:rPr>
              <w:color w:val="000000"/>
            </w:rPr>
            <w:t>(</w:t>
          </w:r>
          <w:r w:rsidR="009A1775" w:rsidRPr="006177E4">
            <w:rPr>
              <w:color w:val="000000"/>
            </w:rPr>
            <w:t>1991</w:t>
          </w:r>
          <w:r w:rsidR="00D0733C">
            <w:rPr>
              <w:color w:val="000000"/>
            </w:rPr>
            <w:t xml:space="preserve">) </w:t>
          </w:r>
          <w:r w:rsidR="009A1775" w:rsidRPr="006177E4">
            <w:rPr>
              <w:color w:val="000000"/>
            </w:rPr>
            <w:t>art. 95 y art. 363</w:t>
          </w:r>
        </w:sdtContent>
      </w:sdt>
      <w:r w:rsidRPr="006177E4">
        <w:t xml:space="preserve">, el </w:t>
      </w:r>
      <w:sdt>
        <w:sdtPr>
          <w:rPr>
            <w:color w:val="000000"/>
          </w:rPr>
          <w:tag w:val="MENDELEY_CITATION_v3_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"/>
          <w:id w:val="-2017446535"/>
          <w:placeholder>
            <w:docPart w:val="DefaultPlaceholder_-1854013440"/>
          </w:placeholder>
        </w:sdtPr>
        <w:sdtEndPr/>
        <w:sdtContent>
          <w:r w:rsidR="009A1775" w:rsidRPr="006177E4">
            <w:rPr>
              <w:color w:val="000000"/>
            </w:rPr>
            <w:t xml:space="preserve">Decreto 624 </w:t>
          </w:r>
          <w:r w:rsidR="00D0733C">
            <w:rPr>
              <w:color w:val="000000"/>
            </w:rPr>
            <w:t>(</w:t>
          </w:r>
          <w:r w:rsidR="009A1775" w:rsidRPr="006177E4">
            <w:rPr>
              <w:color w:val="000000"/>
            </w:rPr>
            <w:t>1989</w:t>
          </w:r>
          <w:r w:rsidR="00D0733C">
            <w:rPr>
              <w:color w:val="000000"/>
            </w:rPr>
            <w:t>)</w:t>
          </w:r>
          <w:r w:rsidR="009A1775" w:rsidRPr="006177E4">
            <w:rPr>
              <w:color w:val="000000"/>
            </w:rPr>
            <w:t xml:space="preserve"> Estatuto Tributario</w:t>
          </w:r>
          <w:r w:rsidR="00D0733C">
            <w:rPr>
              <w:color w:val="000000"/>
            </w:rPr>
            <w:t xml:space="preserve"> </w:t>
          </w:r>
        </w:sdtContent>
      </w:sdt>
      <w:r w:rsidRPr="006177E4">
        <w:t>en las disposiciones relacionadas con la retención en la fuente y el procedimiento tributario, la</w:t>
      </w:r>
      <w:r w:rsidR="008E7D01" w:rsidRPr="006177E4">
        <w:t xml:space="preserve"> </w:t>
      </w:r>
      <w:sdt>
        <w:sdtPr>
          <w:rPr>
            <w:color w:val="000000"/>
          </w:rPr>
          <w:tag w:val="MENDELEY_CITATION_v3_eyJjaXRhdGlvbklEIjoiTUVOREVMRVlfQ0lUQVRJT05fMTc0M2U1MTgtOTY3ZC00NzY4LTgxNWItMzVhMmRkY2FmZDVl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
          <w:id w:val="1755702739"/>
          <w:placeholder>
            <w:docPart w:val="A716CF43B8184696A38DC7DCB3A4FD23"/>
          </w:placeholder>
        </w:sdtPr>
        <w:sdtEndPr/>
        <w:sdtContent>
          <w:r w:rsidR="009A1775" w:rsidRPr="006177E4">
            <w:rPr>
              <w:color w:val="000000"/>
            </w:rPr>
            <w:t>Ley 1430</w:t>
          </w:r>
          <w:r w:rsidR="00D0733C">
            <w:rPr>
              <w:color w:val="000000"/>
            </w:rPr>
            <w:t xml:space="preserve"> (</w:t>
          </w:r>
          <w:r w:rsidR="009A1775" w:rsidRPr="006177E4">
            <w:rPr>
              <w:color w:val="000000"/>
            </w:rPr>
            <w:t>2010)</w:t>
          </w:r>
        </w:sdtContent>
      </w:sdt>
      <w:r w:rsidR="008E7D01" w:rsidRPr="006177E4">
        <w:rPr>
          <w:color w:val="000000"/>
        </w:rPr>
        <w:t xml:space="preserve">, </w:t>
      </w:r>
      <w:sdt>
        <w:sdtPr>
          <w:rPr>
            <w:color w:val="000000"/>
          </w:rPr>
          <w:tag w:val="MENDELEY_CITATION_v3_eyJjaXRhdGlvbklEIjoiTUVOREVMRVlfQ0lUQVRJT05fZWIzYmQyMzItNWViMi00YjRkLWFmNjEtNTFhYWJlMGNhMWY5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
          <w:id w:val="886071363"/>
          <w:placeholder>
            <w:docPart w:val="A716CF43B8184696A38DC7DCB3A4FD23"/>
          </w:placeholder>
        </w:sdtPr>
        <w:sdtEndPr/>
        <w:sdtContent>
          <w:r w:rsidR="009A1775" w:rsidRPr="006177E4">
            <w:rPr>
              <w:color w:val="000000"/>
            </w:rPr>
            <w:t xml:space="preserve">Ley 1819 </w:t>
          </w:r>
          <w:r w:rsidR="00D0733C">
            <w:rPr>
              <w:color w:val="000000"/>
            </w:rPr>
            <w:t>(</w:t>
          </w:r>
          <w:r w:rsidR="009A1775" w:rsidRPr="006177E4">
            <w:rPr>
              <w:color w:val="000000"/>
            </w:rPr>
            <w:t>2016)</w:t>
          </w:r>
        </w:sdtContent>
      </w:sdt>
      <w:r w:rsidR="008E7D01" w:rsidRPr="006177E4">
        <w:rPr>
          <w:color w:val="000000"/>
        </w:rPr>
        <w:t>,</w:t>
      </w:r>
      <w:sdt>
        <w:sdtPr>
          <w:rPr>
            <w:color w:val="000000"/>
          </w:rPr>
          <w:tag w:val="MENDELEY_CITATION_v3_eyJjaXRhdGlvbklEIjoiTUVOREVMRVlfQ0lUQVRJT05fZTAwODVkZDctYzdmMS00MWIxLTk3ZTAtYjBiZDU3ODAwYWNh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
          <w:id w:val="842973826"/>
          <w:placeholder>
            <w:docPart w:val="A716CF43B8184696A38DC7DCB3A4FD23"/>
          </w:placeholder>
        </w:sdtPr>
        <w:sdtEndPr/>
        <w:sdtContent>
          <w:r w:rsidR="00D0733C">
            <w:rPr>
              <w:color w:val="000000"/>
            </w:rPr>
            <w:t xml:space="preserve"> </w:t>
          </w:r>
          <w:r w:rsidR="009A1775" w:rsidRPr="006177E4">
            <w:rPr>
              <w:color w:val="000000"/>
            </w:rPr>
            <w:t xml:space="preserve">Ley 2010 </w:t>
          </w:r>
          <w:r w:rsidR="00D0733C">
            <w:rPr>
              <w:color w:val="000000"/>
            </w:rPr>
            <w:t>(</w:t>
          </w:r>
          <w:r w:rsidR="009A1775" w:rsidRPr="006177E4">
            <w:rPr>
              <w:color w:val="000000"/>
            </w:rPr>
            <w:t>2019)</w:t>
          </w:r>
        </w:sdtContent>
      </w:sdt>
      <w:r w:rsidR="008E7D01" w:rsidRPr="006177E4">
        <w:rPr>
          <w:color w:val="000000"/>
        </w:rPr>
        <w:t>,</w:t>
      </w:r>
      <w:sdt>
        <w:sdtPr>
          <w:rPr>
            <w:color w:val="000000"/>
          </w:rPr>
          <w:tag w:val="MENDELEY_CITATION_v3_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MwMDQ1MDI4IiwiaXNzdWVkIjp7ImRhdGUtcGFydHMiOltbMjAyMl1dfSwibGFuZ3VhZ2UiOiJlcyIsImFic3RyYWN0IjoiQWRpY2lvbsOzIGVsIHBhcsOhZ3JhZm8gMyBkZWwgYXJ0w61jdWxvIDU4MC0xIGRlbCBFc3RhdHV0byBUcmlidXRhcmlvIHkgcmVndWzDsyBlbCBzdXB1ZXN0byBkZSBtZW5vciBjdWFudMOtYSBubyBzdXBlcmlvciBhIDEwIFVWVC4iLCJwdWJsaXNoZXIiOiJDb25ncmVzbyBkZSBsYSBSZXDDumJsaWNhIGRlIENvbG9tYmlhIn0sImlzVGVtcG9yYXJ5IjpmYWxzZX1dfQ=="/>
          <w:id w:val="1718316257"/>
          <w:placeholder>
            <w:docPart w:val="A716CF43B8184696A38DC7DCB3A4FD23"/>
          </w:placeholder>
        </w:sdtPr>
        <w:sdtEndPr/>
        <w:sdtContent>
          <w:r w:rsidR="00D0733C">
            <w:rPr>
              <w:color w:val="000000"/>
            </w:rPr>
            <w:t xml:space="preserve"> </w:t>
          </w:r>
          <w:r w:rsidR="009A1775" w:rsidRPr="006177E4">
            <w:rPr>
              <w:color w:val="000000"/>
            </w:rPr>
            <w:t xml:space="preserve">Ley 2277 </w:t>
          </w:r>
          <w:r w:rsidR="00D0733C">
            <w:rPr>
              <w:color w:val="000000"/>
            </w:rPr>
            <w:t>(</w:t>
          </w:r>
          <w:r w:rsidR="009A1775" w:rsidRPr="006177E4">
            <w:rPr>
              <w:color w:val="000000"/>
            </w:rPr>
            <w:t>2022</w:t>
          </w:r>
        </w:sdtContent>
      </w:sdt>
      <w:r w:rsidR="008E7D01" w:rsidRPr="006177E4">
        <w:rPr>
          <w:color w:val="000000"/>
        </w:rPr>
        <w:t xml:space="preserve">) el </w:t>
      </w:r>
      <w:sdt>
        <w:sdtPr>
          <w:rPr>
            <w:color w:val="000000"/>
          </w:rPr>
          <w:tag w:val="MENDELEY_CITATION_v3_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"/>
          <w:id w:val="463849096"/>
          <w:placeholder>
            <w:docPart w:val="DefaultPlaceholder_-1854013440"/>
          </w:placeholder>
        </w:sdtPr>
        <w:sdtEndPr/>
        <w:sdtContent>
          <w:r w:rsidR="009A1775" w:rsidRPr="006177E4">
            <w:rPr>
              <w:color w:val="000000"/>
            </w:rPr>
            <w:t xml:space="preserve">Decreto 1625 </w:t>
          </w:r>
          <w:r w:rsidR="00D0733C">
            <w:rPr>
              <w:color w:val="000000"/>
            </w:rPr>
            <w:t>(</w:t>
          </w:r>
          <w:r w:rsidR="009A1775" w:rsidRPr="006177E4">
            <w:rPr>
              <w:color w:val="000000"/>
            </w:rPr>
            <w:t>2016,)</w:t>
          </w:r>
          <w:r w:rsidR="00D0733C">
            <w:rPr>
              <w:color w:val="000000"/>
            </w:rPr>
            <w:t xml:space="preserve"> </w:t>
          </w:r>
        </w:sdtContent>
      </w:sdt>
      <w:sdt>
        <w:sdtPr>
          <w:rPr>
            <w:color w:val="000000"/>
          </w:rPr>
          <w:tag w:val="MENDELEY_CITATION_v3_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3J1dGE9TGV5ZXMvMTY2MzIzMCIsImlzc3VlZCI6eyJkYXRlLXBhcnRzIjpbWzIwMDBdXX0sImxhbmd1YWdlIjoiZXMiLCJhYnN0cmFjdCI6IlRpcGlmaWNhIGxhIG9taXNpw7NuIGRlbCBhZ2VudGUgcmV0ZW5lZG9yIG8gcmVjYXVkYWRvciBwb3Igbm8gY29uc2lnbmFyIHN1bWFzIHJldGVuaWRhcyBvIHJlY2F1ZGFkYXMuIiwicHVibGlzaGVyIjoiQ29uZ3Jlc28gZGUgbGEgUmVww7pibGljYSBkZSBDb2xvbWJpYSJ9LCJpc1RlbXBvcmFyeSI6ZmFsc2V9XX0="/>
          <w:id w:val="-1809541706"/>
          <w:placeholder>
            <w:docPart w:val="DefaultPlaceholder_-1854013440"/>
          </w:placeholder>
        </w:sdtPr>
        <w:sdtEndPr/>
        <w:sdtContent>
          <w:r w:rsidR="009A1775" w:rsidRPr="006177E4">
            <w:rPr>
              <w:color w:val="000000"/>
            </w:rPr>
            <w:t xml:space="preserve">la Ley 599 </w:t>
          </w:r>
          <w:r w:rsidR="00D0733C">
            <w:rPr>
              <w:color w:val="000000"/>
            </w:rPr>
            <w:t>(</w:t>
          </w:r>
          <w:r w:rsidR="009A1775" w:rsidRPr="006177E4">
            <w:rPr>
              <w:color w:val="000000"/>
            </w:rPr>
            <w:t>2000</w:t>
          </w:r>
          <w:r w:rsidR="00D0733C">
            <w:rPr>
              <w:color w:val="000000"/>
            </w:rPr>
            <w:t>)</w:t>
          </w:r>
          <w:r w:rsidR="009A1775" w:rsidRPr="006177E4">
            <w:rPr>
              <w:color w:val="000000"/>
            </w:rPr>
            <w:t>, Código Penal</w:t>
          </w:r>
          <w:r w:rsidR="00D0733C">
            <w:rPr>
              <w:color w:val="000000"/>
            </w:rPr>
            <w:t xml:space="preserve">, </w:t>
          </w:r>
          <w:r w:rsidR="009A1775" w:rsidRPr="006177E4">
            <w:rPr>
              <w:color w:val="000000"/>
            </w:rPr>
            <w:t xml:space="preserve">art. 402 </w:t>
          </w:r>
          <w:r w:rsidR="00D0733C">
            <w:rPr>
              <w:color w:val="000000"/>
            </w:rPr>
            <w:t>(</w:t>
          </w:r>
          <w:r w:rsidR="009A1775" w:rsidRPr="006177E4">
            <w:rPr>
              <w:color w:val="000000"/>
            </w:rPr>
            <w:t>2000)</w:t>
          </w:r>
        </w:sdtContent>
      </w:sdt>
      <w:r w:rsidRPr="006177E4">
        <w:t xml:space="preserve"> y la</w:t>
      </w:r>
      <w:r w:rsidR="008E7D01" w:rsidRPr="006177E4">
        <w:t xml:space="preserve"> </w:t>
      </w:r>
      <w:sdt>
        <w:sdtPr>
          <w:rPr>
            <w:color w:val="000000"/>
          </w:rPr>
          <w:tag w:val="MENDELEY_CITATION_v3_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2lkPTE2NzMyNDQiLCJpc3N1ZWQiOnsiZGF0ZS1wYXJ0cyI6W1syMDA2XV19LCJsYW5ndWFnZSI6ImVzIiwiYWJzdHJhY3QiOiJJbnRyb2R1am8gZWwgYW50ZWNlZGVudGUgZGUgY29uc2lkZXJhciBubyBwcmVzZW50YWRhcyBsYXMgZGVjbGFyYWNpb25lcyBkZSByZXRlbmNpw7NuIGVuIGxhIGZ1ZW50ZSBzaW4gcGFnbywgw7p0aWwgcGFyYSByZWNvbnN0cnVpciBlbCB0csOhbnNpdG8gbm9ybWF0aXZvIHByZXZpbyBhbCBhcnTDrWN1bG8gNTgwLTEgRVQuIiwicHVibGlzaGVyIjoiQ29uZ3Jlc28gZGUgbGEgUmVww7pibGljYSBkZSBDb2xvbWJpYSJ9LCJpc1RlbXBvcmFyeSI6ZmFsc2V9XX0="/>
          <w:id w:val="-760445903"/>
          <w:placeholder>
            <w:docPart w:val="DefaultPlaceholder_-1854013440"/>
          </w:placeholder>
        </w:sdtPr>
        <w:sdtEndPr/>
        <w:sdtContent>
          <w:r w:rsidR="009A1775" w:rsidRPr="006177E4">
            <w:rPr>
              <w:color w:val="000000"/>
            </w:rPr>
            <w:t xml:space="preserve">Ley 1066 </w:t>
          </w:r>
          <w:r w:rsidR="00D0733C">
            <w:rPr>
              <w:color w:val="000000"/>
            </w:rPr>
            <w:t>(</w:t>
          </w:r>
          <w:r w:rsidR="009A1775" w:rsidRPr="006177E4">
            <w:rPr>
              <w:color w:val="000000"/>
            </w:rPr>
            <w:t>2006)</w:t>
          </w:r>
        </w:sdtContent>
      </w:sdt>
      <w:r w:rsidRPr="006177E4">
        <w:t xml:space="preserve"> como antecedente relevante. Estas fuentes permitieron reconstruir el origen, evolución, </w:t>
      </w:r>
      <w:sdt>
        <w:sdtPr>
          <w:rPr>
            <w:color w:val="000000"/>
          </w:rPr>
          <w:tag w:val="MENDELEY_CITATION_v3_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2lkPTE2NzMyNDQiLCJpc3N1ZWQiOnsiZGF0ZS1wYXJ0cyI6W1syMDA2XV19LCJsYW5ndWFnZSI6ImVzIiwiYWJzdHJhY3QiOiJJbnRyb2R1am8gZWwgYW50ZWNlZGVudGUgZGUgY29uc2lkZXJhciBubyBwcmVzZW50YWRhcyBsYXMgZGVjbGFyYWNpb25lcyBkZSByZXRlbmNpw7NuIGVuIGxhIGZ1ZW50ZSBzaW4gcGFnbywgw7p0aWwgcGFyYSByZWNvbnN0cnVpciBlbCB0csOhbnNpdG8gbm9ybWF0aXZvIHByZXZpbyBhbCBhcnTDrWN1bG8gNTgwLTEgRVQuIiwicHVibGlzaGVyIjoiQ29uZ3Jlc28gZGUgbGEgUmVww7pibGljYSBkZSBDb2xvbWJpYSJ9LCJpc1RlbXBvcmFyeSI6ZmFsc2V9XX0="/>
          <w:id w:val="-1046983284"/>
          <w:placeholder>
            <w:docPart w:val="DefaultPlaceholder_-1854013440"/>
          </w:placeholder>
        </w:sdtPr>
        <w:sdtEndPr/>
        <w:sdtContent>
          <w:r w:rsidR="009A1775" w:rsidRPr="006177E4">
            <w:rPr>
              <w:color w:val="000000"/>
            </w:rPr>
            <w:t>Ley 1066</w:t>
          </w:r>
          <w:r w:rsidR="00D0733C">
            <w:rPr>
              <w:color w:val="000000"/>
            </w:rPr>
            <w:t xml:space="preserve"> (</w:t>
          </w:r>
          <w:r w:rsidR="009A1775" w:rsidRPr="006177E4">
            <w:rPr>
              <w:color w:val="000000"/>
            </w:rPr>
            <w:t>2006)</w:t>
          </w:r>
          <w:r w:rsidR="00D0733C">
            <w:rPr>
              <w:color w:val="000000"/>
            </w:rPr>
            <w:t xml:space="preserve"> </w:t>
          </w:r>
        </w:sdtContent>
      </w:sdt>
      <w:r w:rsidRPr="006177E4">
        <w:t>alcance, excepciones y efectos jurídicos de la declaración de retención en la fuente presentada sin pago total, así como sus implicaciones en materia sancionatoria y de cobro.</w:t>
      </w:r>
    </w:p>
    <w:p w14:paraId="0A9E4DB3" w14:textId="00DD2C07" w:rsidR="00CC1C3F" w:rsidRPr="006177E4" w:rsidRDefault="00CC1C3F" w:rsidP="008C471E">
      <w:pPr>
        <w:pStyle w:val="PrrAPA"/>
      </w:pPr>
      <w:r w:rsidRPr="006177E4">
        <w:t>De igual manera, se examinaron las sentencias</w:t>
      </w:r>
      <w:r w:rsidR="00F9340C">
        <w:t>:</w:t>
      </w:r>
      <w:r w:rsidR="00CB7C8B" w:rsidRPr="006177E4">
        <w:t xml:space="preserve"> </w:t>
      </w:r>
      <w:sdt>
        <w:sdtPr>
          <w:rPr>
            <w:color w:val="000000"/>
          </w:rPr>
          <w:tag w:val="MENDELEY_CITATION_v3_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J9LCJpc1RlbXBvcmFyeSI6ZmFsc2V9XX0="/>
          <w:id w:val="1101997789"/>
          <w:placeholder>
            <w:docPart w:val="DefaultPlaceholder_-1854013440"/>
          </w:placeholder>
        </w:sdtPr>
        <w:sdtEndPr/>
        <w:sdtContent>
          <w:r w:rsidR="009A1775" w:rsidRPr="006177E4">
            <w:rPr>
              <w:rFonts w:eastAsia="Times New Roman"/>
              <w:color w:val="000000"/>
            </w:rPr>
            <w:t>Sentencia C-883</w:t>
          </w:r>
          <w:r w:rsidR="00683981">
            <w:rPr>
              <w:rFonts w:eastAsia="Times New Roman"/>
              <w:color w:val="000000"/>
            </w:rPr>
            <w:t xml:space="preserve"> (</w:t>
          </w:r>
          <w:r w:rsidR="009A1775" w:rsidRPr="006177E4">
            <w:rPr>
              <w:rFonts w:eastAsia="Times New Roman"/>
              <w:color w:val="000000"/>
            </w:rPr>
            <w:t>2011)</w:t>
          </w:r>
        </w:sdtContent>
      </w:sdt>
      <w:r w:rsidR="00CB7C8B" w:rsidRPr="006177E4">
        <w:rPr>
          <w:color w:val="000000"/>
        </w:rPr>
        <w:t xml:space="preserve">, </w:t>
      </w:r>
      <w:sdt>
        <w:sdtPr>
          <w:rPr>
            <w:color w:val="000000"/>
          </w:rPr>
          <w:tag w:val="MENDELEY_CITATION_v3_eyJjaXRhdGlvbklEIjoiTUVOREVMRVlfQ0lUQVRJT05fZTBlMmVkYjYtODgwZS00NWJjLWE4OWEtOTc1ZDkzMTg2ZTQ0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229130175"/>
          <w:placeholder>
            <w:docPart w:val="DefaultPlaceholder_-1854013440"/>
          </w:placeholder>
        </w:sdtPr>
        <w:sdtEndPr/>
        <w:sdtContent>
          <w:r w:rsidR="009A1775" w:rsidRPr="006177E4">
            <w:rPr>
              <w:rFonts w:eastAsia="Times New Roman"/>
              <w:color w:val="000000"/>
            </w:rPr>
            <w:t xml:space="preserve">Sentencia C-102 </w:t>
          </w:r>
          <w:r w:rsidR="00683981">
            <w:rPr>
              <w:rFonts w:eastAsia="Times New Roman"/>
              <w:color w:val="000000"/>
            </w:rPr>
            <w:t>(</w:t>
          </w:r>
          <w:r w:rsidR="009A1775" w:rsidRPr="006177E4">
            <w:rPr>
              <w:rFonts w:eastAsia="Times New Roman"/>
              <w:color w:val="000000"/>
            </w:rPr>
            <w:t>2015)</w:t>
          </w:r>
        </w:sdtContent>
      </w:sdt>
      <w:r w:rsidR="00CB7C8B" w:rsidRPr="006177E4">
        <w:rPr>
          <w:color w:val="000000"/>
        </w:rPr>
        <w:t xml:space="preserve">, </w:t>
      </w:r>
      <w:sdt>
        <w:sdtPr>
          <w:rPr>
            <w:color w:val="000000"/>
          </w:rPr>
          <w:tag w:val="MENDELEY_CITATION_v3_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"/>
          <w:id w:val="-2061547651"/>
          <w:placeholder>
            <w:docPart w:val="DefaultPlaceholder_-1854013440"/>
          </w:placeholder>
        </w:sdtPr>
        <w:sdtEndPr/>
        <w:sdtContent>
          <w:r w:rsidR="009A1775" w:rsidRPr="006177E4">
            <w:rPr>
              <w:rFonts w:eastAsia="Times New Roman"/>
              <w:color w:val="000000"/>
            </w:rPr>
            <w:t>Sentencia C-203</w:t>
          </w:r>
          <w:r w:rsidR="00683981">
            <w:rPr>
              <w:rFonts w:eastAsia="Times New Roman"/>
              <w:color w:val="000000"/>
            </w:rPr>
            <w:t xml:space="preserve"> (</w:t>
          </w:r>
          <w:r w:rsidR="009A1775" w:rsidRPr="006177E4">
            <w:rPr>
              <w:rFonts w:eastAsia="Times New Roman"/>
              <w:color w:val="000000"/>
            </w:rPr>
            <w:t>2021)</w:t>
          </w:r>
        </w:sdtContent>
      </w:sdt>
      <w:r w:rsidR="00CB7C8B" w:rsidRPr="006177E4">
        <w:rPr>
          <w:color w:val="000000"/>
        </w:rPr>
        <w:t xml:space="preserve">, </w:t>
      </w:r>
      <w:r w:rsidRPr="006177E4">
        <w:t xml:space="preserve">de la Corte Constitucional, junto con las providencias de la Sección Cuarta del Consejo de Estado dentro de los expedientes 18304 y 25406, por cuanto permitieron delimitar la naturaleza jurídica de la ineficacia, la exigencia de pago total, su operatividad sin acto administrativo declarativo y la reserva de ley en su configuración. Asimismo, </w:t>
      </w:r>
      <w:r w:rsidRPr="006177E4">
        <w:lastRenderedPageBreak/>
        <w:t>se revisaron los Oficios 29278 de 2019</w:t>
      </w:r>
      <w:r w:rsidR="00CB7C8B" w:rsidRPr="006177E4">
        <w:t xml:space="preserve"> </w:t>
      </w:r>
      <w:sdt>
        <w:sdtPr>
          <w:rPr>
            <w:color w:val="000000"/>
          </w:rPr>
          <w:tag w:val="MENDELEY_CITATION_v3_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"/>
          <w:id w:val="-9146567"/>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2019)</w:t>
          </w:r>
        </w:sdtContent>
      </w:sdt>
      <w:r w:rsidRPr="006177E4">
        <w:t>, 902639</w:t>
      </w:r>
      <w:r w:rsidR="00CB7C8B" w:rsidRPr="006177E4">
        <w:t xml:space="preserve"> </w:t>
      </w:r>
      <w:sdt>
        <w:sdtPr>
          <w:rPr>
            <w:color w:val="000000"/>
          </w:rPr>
          <w:tag w:val="MENDELEY_CITATION_v3_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MjYzOV8yMDIwLmh0bSIsImlzc3VlZCI6eyJkYXRlLXBhcnRzIjpbWzIwMjBdXX0sImxhbmd1YWdlIjoiZXMiLCJhYnN0cmFjdCI6IlByZWNpc8OzIHF1ZSBsYSBkZWNsYXJhY2nDs24gcHJlc2VudGFkYSBzaW4gcGFnbyB0b3RhbCBhbnRlcyBkZWwgdmVuY2ltaWVudG8gcHJvZHVjZSBlZmVjdG9zIHNpIGVsIHBhZ28gdG90YWwgc2UgZWZlY3TDumEgZGVudHJvIGRlIGxvcyBkb3MgbWVzZXMgc2lndWllbnRlcy4iLCJwdWJsaXNoZXIiOiJESUFOIn0sImlzVGVtcG9yYXJ5IjpmYWxzZX1dfQ=="/>
          <w:id w:val="1025142790"/>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2020)</w:t>
          </w:r>
        </w:sdtContent>
      </w:sdt>
      <w:r w:rsidRPr="006177E4">
        <w:t xml:space="preserve"> y 910619 de 2020</w:t>
      </w:r>
      <w:r w:rsidR="00CB7C8B" w:rsidRPr="006177E4">
        <w:t xml:space="preserve"> </w:t>
      </w:r>
      <w:sdt>
        <w:sdtPr>
          <w:rPr>
            <w:color w:val="000000"/>
          </w:rPr>
          <w:tag w:val="MENDELEY_CITATION_v3_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xMDYxOV8yMDIwLmh0bSIsImlzc3VlZCI6eyJkYXRlLXBhcnRzIjpbWzIwMjBdXX0sImxhbmd1YWdlIjoiZXMiLCJhYnN0cmFjdCI6IkRlc2Fycm9sbMOzIGVsIGNhcsOhY3RlciBkZSB0w610dWxvIGVqZWN1dGl2byBkZSBsYSBkZWNsYXJhY2nDs24gaW5pY2lhbG1lbnRlIHByZXNlbnRhZGEgeSBsYSBmaW5hbGlkYWQgcmVjYXVkYXRvcmlhIGRlIGxhIG1vZGlmaWNhY2nDs24gaW50cm9kdWNpZGEgcG9yIGxhIExleSAyMDEwIGRlIDIwMTkuIiwicHVibGlzaGVyIjoiRElBTiJ9LCJpc1RlbXBvcmFyeSI6ZmFsc2V9XX0="/>
          <w:id w:val="-1879225313"/>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2020)</w:t>
          </w:r>
        </w:sdtContent>
      </w:sdt>
      <w:r w:rsidRPr="006177E4">
        <w:t>, 905544</w:t>
      </w:r>
      <w:sdt>
        <w:sdtPr>
          <w:rPr>
            <w:color w:val="000000"/>
          </w:rPr>
          <w:tag w:val="MENDELEY_CITATION_v3_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NTU0NF8yMDIxLmh0bSIsImlzc3VlZCI6eyJkYXRlLXBhcnRzIjpbWzIwMjFdXX0sImxhbmd1YWdlIjoiZXMiLCJhYnN0cmFjdCI6IlNpc3RlbWF0aXrDsyByZXNwdWVzdGFzIHNvYnJlIGVmaWNhY2lhLCBjb2JybyBjb2FjdGl2byB5IGNvcnJlY2Npw7NuIGRlIGRlY2xhcmFjaW9uZXMgaW5lZmljYWNlcy4iLCJwdWJsaXNoZXIiOiJESUFOIn0sImlzVGVtcG9yYXJ5IjpmYWxzZX1dfQ=="/>
          <w:id w:val="1643234595"/>
          <w:placeholder>
            <w:docPart w:val="DefaultPlaceholder_-1854013440"/>
          </w:placeholder>
        </w:sdtPr>
        <w:sdtEndPr/>
        <w:sdtContent>
          <w:r w:rsidR="00683981">
            <w:rPr>
              <w:color w:val="000000"/>
            </w:rPr>
            <w:t xml:space="preserve"> </w:t>
          </w:r>
          <w:r w:rsidR="009A1775" w:rsidRPr="006177E4">
            <w:rPr>
              <w:color w:val="000000"/>
            </w:rPr>
            <w:t>DIAN</w:t>
          </w:r>
          <w:r w:rsidR="00683981">
            <w:rPr>
              <w:color w:val="000000"/>
            </w:rPr>
            <w:t xml:space="preserve"> (</w:t>
          </w:r>
          <w:r w:rsidR="009A1775" w:rsidRPr="006177E4">
            <w:rPr>
              <w:color w:val="000000"/>
            </w:rPr>
            <w:t>2021)</w:t>
          </w:r>
        </w:sdtContent>
      </w:sdt>
      <w:r w:rsidRPr="006177E4">
        <w:t xml:space="preserve">, 905545 </w:t>
      </w:r>
      <w:r w:rsidR="00CB7C8B" w:rsidRPr="006177E4">
        <w:t xml:space="preserve"> </w:t>
      </w:r>
      <w:sdt>
        <w:sdtPr>
          <w:rPr>
            <w:color w:val="000000"/>
          </w:rPr>
          <w:tag w:val="MENDELEY_CITATION_v3_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NTU0NV8yMDIxLmh0bSIsImlzc3VlZCI6eyJkYXRlLXBhcnRzIjpbWzIwMjFdXX0sImxhbmd1YWdlIjoiZXMiLCJhYnN0cmFjdCI6IlJlaXRlcsOzIHF1ZSBubyBlcyBwb3NpYmxlIGNvcnJlZ2lyIHVuYSBkZWNsYXJhY2nDs24gZGUgcmV0ZW5jacOzbiBlbiBsYSBmdWVudGUgaW5lZmljYXo7IGRlYmUgcHJlc2VudGFyc2UgbnVldmFtZW50ZSBjb24gcGFnbyB0b3RhbCwgc2FuY2nDs24gcG9yIGV4dGVtcG9yYW5laWRhZCBlIGludGVyZXNlcy4iLCJwdWJsaXNoZXIiOiJESUFOIn0sImlzVGVtcG9yYXJ5IjpmYWxzZX1dfQ=="/>
          <w:id w:val="1047717305"/>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2021)</w:t>
          </w:r>
        </w:sdtContent>
      </w:sdt>
      <w:r w:rsidR="00CB7C8B" w:rsidRPr="006177E4">
        <w:rPr>
          <w:color w:val="000000"/>
        </w:rPr>
        <w:t xml:space="preserve"> </w:t>
      </w:r>
      <w:r w:rsidRPr="006177E4">
        <w:t>y 913636</w:t>
      </w:r>
      <w:r w:rsidR="00CB7C8B" w:rsidRPr="006177E4">
        <w:t xml:space="preserve"> </w:t>
      </w:r>
      <w:sdt>
        <w:sdtPr>
          <w:rPr>
            <w:color w:val="000000"/>
          </w:rPr>
          <w:tag w:val="MENDELEY_CITATION_v3_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xMzYzNl8yMDIxLmh0bSIsImlzc3VlZCI6eyJkYXRlLXBhcnRzIjpbWzIwMjFdXX0sImxhbmd1YWdlIjoiZXMiLCJhYnN0cmFjdCI6IkFuYWxpesOzIGxhIGFwbGljYWNpw7NuIGRlbCBhcnTDrWN1bG8gNDUgZGUgbGEgTGV5IDIxNTUgZGUgMjAyMSBhIGRlY2xhcmFjaW9uZXMgZGUgcmV0ZW5jacOzbiBlbiBsYSBmdWVudGUgaW5lZmljYWNlcy4iLCJwdWJsaXNoZXIiOiJESUFOIn0sImlzVGVtcG9yYXJ5IjpmYWxzZX1dfQ=="/>
          <w:id w:val="-154920242"/>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2021)</w:t>
          </w:r>
        </w:sdtContent>
      </w:sdt>
      <w:r w:rsidRPr="006177E4">
        <w:t>, 4638 de 2023</w:t>
      </w:r>
      <w:r w:rsidR="00CB7C8B" w:rsidRPr="006177E4">
        <w:t xml:space="preserve"> </w:t>
      </w:r>
      <w:sdt>
        <w:sdtPr>
          <w:rPr>
            <w:color w:val="000000"/>
          </w:rPr>
          <w:tag w:val="MENDELEY_CITATION_v3_eyJjaXRhdGlvbklEIjoiTUVOREVMRVlfQ0lUQVRJT05fOWRkMzc0NDktOTI3My00ZWE4LWI4MTgtZWMxZTRjZTVmOTY0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
          <w:id w:val="1603914811"/>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2023)</w:t>
          </w:r>
        </w:sdtContent>
      </w:sdt>
      <w:r w:rsidRPr="006177E4">
        <w:t>, el Concepto 8678 de 2024</w:t>
      </w:r>
      <w:r w:rsidR="00CB7C8B" w:rsidRPr="006177E4">
        <w:t xml:space="preserve"> </w:t>
      </w:r>
      <w:sdt>
        <w:sdtPr>
          <w:rPr>
            <w:color w:val="000000"/>
          </w:rPr>
          <w:tag w:val="MENDELEY_CITATION_v3_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4Njc4XzIwMjQuaHRtIiwiaXNzdWVkIjp7ImRhdGUtcGFydHMiOltbMjAyNF1dfSwibGFuZ3VhZ2UiOiJlcyIsImFic3RyYWN0IjoiUHJlY2lzw7MgbGEgaW50ZXJwcmV0YWNpw7NuIGRlbCBpbmNpc28gNSBkZWwgYXJ0w61jdWxvIDU4MC0xLCBlbCBhbGNhbmNlIGRlbCB2ZW5jaW1pZW50byBkZWwgcGxhem8gcGFyYSBkZWNsYXJhciB5IGxhIG5lY2VzaWRhZCBkZSBwcmVzZW50YXIgZGUgbnVldm8gbGEgZGVjbGFyYWNpw7NuIGN1YW5kbyBvcGVyYSBsYSBpbmVmaWNhY2lhLiIsInB1Ymxpc2hlciI6IkRJQU4ifSwiaXNUZW1wb3JhcnkiOmZhbHNlfV19"/>
          <w:id w:val="-739866809"/>
          <w:placeholder>
            <w:docPart w:val="DefaultPlaceholder_-1854013440"/>
          </w:placeholder>
        </w:sdtPr>
        <w:sdtEndPr/>
        <w:sdtContent>
          <w:r w:rsidR="009A1775" w:rsidRPr="006177E4">
            <w:rPr>
              <w:color w:val="000000"/>
            </w:rPr>
            <w:t xml:space="preserve">DIAN </w:t>
          </w:r>
          <w:r w:rsidR="00683981">
            <w:rPr>
              <w:color w:val="000000"/>
            </w:rPr>
            <w:t>(</w:t>
          </w:r>
          <w:r w:rsidR="009A1775" w:rsidRPr="006177E4">
            <w:rPr>
              <w:color w:val="000000"/>
            </w:rPr>
            <w:t>2024a)</w:t>
          </w:r>
        </w:sdtContent>
      </w:sdt>
      <w:r w:rsidRPr="006177E4">
        <w:t xml:space="preserve"> y el Concepto 16224 de 2025</w:t>
      </w:r>
      <w:r w:rsidR="00CB7C8B" w:rsidRPr="006177E4">
        <w:t xml:space="preserve"> </w:t>
      </w:r>
      <w:sdt>
        <w:sdtPr>
          <w:rPr>
            <w:color w:val="000000"/>
          </w:rPr>
          <w:tag w:val="MENDELEY_CITATION_v3_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xNjIyNF8yMDI1Lmh0bSIsImlzc3VlZCI6eyJkYXRlLXBhcnRzIjpbWzIwMjVdXX0sImxhbmd1YWdlIjoiZXMiLCJhYnN0cmFjdCI6IlJlaXRlcmEgZWwgYWxjYW5jZSBkZWwgaW5jaXNvIHF1aW50byBkZWwgYXJ0w61jdWxvIDU4MC0xIEVUIHNvYnJlIGVsIHBhZ28gdG90YWwgZGVudHJvIGRlIGxvcyBkb3MgbWVzZXMgc2lndWllbnRlcyBhbCB2ZW5jaW1pZW50byBkZWwgcGxhem8gcGFyYSBkZWNsYXJhci4iLCJwdWJsaXNoZXIiOiJESUFOIn0sImlzVGVtcG9yYXJ5IjpmYWxzZX1dfQ=="/>
          <w:id w:val="136999851"/>
          <w:placeholder>
            <w:docPart w:val="DefaultPlaceholder_-1854013440"/>
          </w:placeholder>
        </w:sdtPr>
        <w:sdtEndPr/>
        <w:sdtContent>
          <w:r w:rsidR="009A1775" w:rsidRPr="006177E4">
            <w:rPr>
              <w:color w:val="000000"/>
            </w:rPr>
            <w:t>DIAN</w:t>
          </w:r>
          <w:r w:rsidR="00683981">
            <w:rPr>
              <w:color w:val="000000"/>
            </w:rPr>
            <w:t xml:space="preserve"> (</w:t>
          </w:r>
          <w:r w:rsidR="009A1775" w:rsidRPr="006177E4">
            <w:rPr>
              <w:color w:val="000000"/>
            </w:rPr>
            <w:t>2025)</w:t>
          </w:r>
        </w:sdtContent>
      </w:sdt>
      <w:r w:rsidRPr="006177E4">
        <w:t>, con el fin de identificar la interpretación oficial de la DIAN sobre la improcedencia de corregir declaraciones ineficaces, la necesidad de presentar nuevamente la declaración con pago total, intereses y sanción por extemporaneidad, las excepciones legales y su valor como título para el cobro coactivo. A su vez, se incorporaron antecedentes académicos especializados, entre ellos los trabajos de</w:t>
      </w:r>
      <w:r w:rsidR="00E34A41" w:rsidRPr="006177E4">
        <w:t xml:space="preserve"> </w:t>
      </w:r>
      <w:sdt>
        <w:sdtPr>
          <w:rPr>
            <w:color w:val="000000"/>
          </w:rPr>
          <w:tag w:val="MENDELEY_CITATION_v3_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"/>
          <w:id w:val="-356573552"/>
          <w:placeholder>
            <w:docPart w:val="DefaultPlaceholder_-1854013440"/>
          </w:placeholder>
        </w:sdtPr>
        <w:sdtEndPr/>
        <w:sdtContent>
          <w:r w:rsidR="009A1775" w:rsidRPr="006177E4">
            <w:rPr>
              <w:color w:val="000000"/>
            </w:rPr>
            <w:t xml:space="preserve">Saldarriaga </w:t>
          </w:r>
          <w:r w:rsidR="00683981">
            <w:rPr>
              <w:color w:val="000000"/>
            </w:rPr>
            <w:t>(</w:t>
          </w:r>
          <w:r w:rsidR="009A1775" w:rsidRPr="006177E4">
            <w:rPr>
              <w:color w:val="000000"/>
            </w:rPr>
            <w:t>2024)</w:t>
          </w:r>
        </w:sdtContent>
      </w:sdt>
      <w:sdt>
        <w:sdtPr>
          <w:rPr>
            <w:color w:val="000000"/>
          </w:rPr>
          <w:tag w:val="MENDELEY_CITATION_v3_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"/>
          <w:id w:val="2018657963"/>
          <w:placeholder>
            <w:docPart w:val="DefaultPlaceholder_-1854013440"/>
          </w:placeholder>
        </w:sdtPr>
        <w:sdtEndPr/>
        <w:sdtContent>
          <w:r w:rsidR="009A1775" w:rsidRPr="006177E4">
            <w:rPr>
              <w:color w:val="000000"/>
            </w:rPr>
            <w:t xml:space="preserve">, Camacho </w:t>
          </w:r>
          <w:r w:rsidR="00683981">
            <w:rPr>
              <w:color w:val="000000"/>
            </w:rPr>
            <w:t>(</w:t>
          </w:r>
          <w:r w:rsidR="009A1775" w:rsidRPr="006177E4">
            <w:rPr>
              <w:color w:val="000000"/>
            </w:rPr>
            <w:t>2021)</w:t>
          </w:r>
        </w:sdtContent>
      </w:sdt>
      <w:r w:rsidRPr="006177E4">
        <w:t xml:space="preserve">,  </w:t>
      </w:r>
      <w:sdt>
        <w:sdtPr>
          <w:rPr>
            <w:color w:val="000000"/>
          </w:rPr>
          <w:tag w:val="MENDELEY_CITATION_v3_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S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J9LCJpc1RlbXBvcmFyeSI6ZmFsc2V9XX0="/>
          <w:id w:val="529067875"/>
          <w:placeholder>
            <w:docPart w:val="DefaultPlaceholder_-1854013440"/>
          </w:placeholder>
        </w:sdtPr>
        <w:sdtEndPr/>
        <w:sdtContent>
          <w:r w:rsidR="009A1775" w:rsidRPr="006177E4">
            <w:rPr>
              <w:color w:val="000000"/>
            </w:rPr>
            <w:t xml:space="preserve">Espinosa et al., </w:t>
          </w:r>
          <w:r w:rsidR="00683981">
            <w:rPr>
              <w:color w:val="000000"/>
            </w:rPr>
            <w:t>(</w:t>
          </w:r>
          <w:r w:rsidR="009A1775" w:rsidRPr="006177E4">
            <w:rPr>
              <w:color w:val="000000"/>
            </w:rPr>
            <w:t>2021)</w:t>
          </w:r>
        </w:sdtContent>
      </w:sdt>
      <w:r w:rsidR="00E34A41" w:rsidRPr="006177E4">
        <w:t xml:space="preserve">, </w:t>
      </w:r>
      <w:sdt>
        <w:sdtPr>
          <w:rPr>
            <w:color w:val="000000"/>
          </w:rPr>
          <w:tag w:val="MENDELEY_CITATION_v3_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"/>
          <w:id w:val="-1147823818"/>
          <w:placeholder>
            <w:docPart w:val="DefaultPlaceholder_-1854013440"/>
          </w:placeholder>
        </w:sdtPr>
        <w:sdtEndPr/>
        <w:sdtContent>
          <w:r w:rsidR="009A1775" w:rsidRPr="006177E4">
            <w:rPr>
              <w:color w:val="000000"/>
            </w:rPr>
            <w:t xml:space="preserve">Rueda </w:t>
          </w:r>
          <w:r w:rsidR="00683981">
            <w:rPr>
              <w:color w:val="000000"/>
            </w:rPr>
            <w:t>(</w:t>
          </w:r>
          <w:r w:rsidR="009A1775" w:rsidRPr="006177E4">
            <w:rPr>
              <w:color w:val="000000"/>
            </w:rPr>
            <w:t>2017)</w:t>
          </w:r>
        </w:sdtContent>
      </w:sdt>
      <w:r w:rsidRPr="006177E4">
        <w:t xml:space="preserve"> y </w:t>
      </w:r>
      <w:r w:rsidR="00E34A41" w:rsidRPr="006177E4">
        <w:t xml:space="preserve"> </w:t>
      </w:r>
      <w:sdt>
        <w:sdtPr>
          <w:rPr>
            <w:color w:val="000000"/>
          </w:rPr>
          <w:tag w:val="MENDELEY_CITATION_v3_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"/>
          <w:id w:val="-571431493"/>
          <w:placeholder>
            <w:docPart w:val="DefaultPlaceholder_-1854013440"/>
          </w:placeholder>
        </w:sdtPr>
        <w:sdtEndPr/>
        <w:sdtContent>
          <w:r w:rsidR="009A1775" w:rsidRPr="006177E4">
            <w:rPr>
              <w:color w:val="000000"/>
            </w:rPr>
            <w:t xml:space="preserve">Rincón </w:t>
          </w:r>
          <w:r w:rsidR="00683981">
            <w:rPr>
              <w:color w:val="000000"/>
            </w:rPr>
            <w:t>(</w:t>
          </w:r>
          <w:r w:rsidR="009A1775" w:rsidRPr="006177E4">
            <w:rPr>
              <w:color w:val="000000"/>
            </w:rPr>
            <w:t>2018a)</w:t>
          </w:r>
        </w:sdtContent>
      </w:sdt>
      <w:r w:rsidRPr="006177E4">
        <w:t>, los cuales ampliaron la comprensión del fenómeno desde una perspectiva crítica y aplicada. La relación sistemática entre estas fuentes fue organizada en un mapa mental como apoyo visual del marco metodológico.</w:t>
      </w:r>
    </w:p>
    <w:p w14:paraId="7617735D" w14:textId="02CE9FF7" w:rsidR="00CC1C3F" w:rsidRPr="006177E4" w:rsidRDefault="00CC1C3F" w:rsidP="008C471E">
      <w:pPr>
        <w:pStyle w:val="PrrAPA"/>
        <w:rPr>
          <w:bCs/>
        </w:rPr>
      </w:pPr>
      <w:r w:rsidRPr="006177E4">
        <w:rPr>
          <w:bCs/>
        </w:rPr>
        <w:t>La búsqueda de información se desarrolló con la búsqueda por temática orientada a identificar fuentes verificables y suficientes para analizar la ineficacia de las declaraciones de retención en la fuente. Para ello, se emplearon descriptores como ineficacia de las declaraciones de retención en la fuente, artículo 580-1 del</w:t>
      </w:r>
      <w:r w:rsidR="000803B6" w:rsidRPr="006177E4">
        <w:rPr>
          <w:bCs/>
        </w:rPr>
        <w:t xml:space="preserve"> </w:t>
      </w:r>
      <w:sdt>
        <w:sdtPr>
          <w:rPr>
            <w:bCs/>
            <w:color w:val="000000"/>
          </w:rPr>
          <w:tag w:val="MENDELEY_CITATION_v3_eyJjaXRhdGlvbklEIjoiTUVOREVMRVlfQ0lUQVRJT05fYjk5N2JlNTYtMmFjNy00YTM1LWE5NTYtNTM0NzQ5ZTk4ZDE1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2029169163"/>
          <w:placeholder>
            <w:docPart w:val="DefaultPlaceholder_-1854013440"/>
          </w:placeholder>
        </w:sdtPr>
        <w:sdtEndPr/>
        <w:sdtContent>
          <w:r w:rsidR="009A1775" w:rsidRPr="006177E4">
            <w:rPr>
              <w:bCs/>
              <w:color w:val="000000"/>
            </w:rPr>
            <w:t>(</w:t>
          </w:r>
          <w:r w:rsidR="00683981">
            <w:rPr>
              <w:bCs/>
              <w:color w:val="000000"/>
            </w:rPr>
            <w:t>Decreto 624 (</w:t>
          </w:r>
          <w:r w:rsidR="009A1775" w:rsidRPr="006177E4">
            <w:rPr>
              <w:bCs/>
              <w:color w:val="000000"/>
            </w:rPr>
            <w:t>1989)</w:t>
          </w:r>
        </w:sdtContent>
      </w:sdt>
      <w:r w:rsidRPr="006177E4">
        <w:rPr>
          <w:bCs/>
        </w:rPr>
        <w:t xml:space="preserve"> declaración sin pago total, agente retenedor, extemporaneidad, mérito ejecutivo y cobro coactivo, los cuales se combinaron con referencias normativas, números de sentencia, oficios y conceptos. Esta estrategia permitió delimitar la búsqueda en función de las categorías centrales del estudio: fundamento constitucional del deber tributario, evolución normativa de la figura, interpretación jurisprudencial, doctrina administrativa y antecedentes académicos relacionados con el cumplimiento formal y el procedimiento tributario.</w:t>
      </w:r>
    </w:p>
    <w:p w14:paraId="7CB19E7C" w14:textId="610F7F9D" w:rsidR="00CC1C3F" w:rsidRPr="006177E4" w:rsidRDefault="00CC1C3F" w:rsidP="008C471E">
      <w:pPr>
        <w:pStyle w:val="PrrAPA"/>
        <w:rPr>
          <w:bCs/>
        </w:rPr>
      </w:pPr>
      <w:r w:rsidRPr="006177E4">
        <w:rPr>
          <w:bCs/>
        </w:rPr>
        <w:t xml:space="preserve">Las fuentes de información consultadas correspondieron a bases de datos y repositorios oficiales, institucionales y académicos. En el componente normativo se acudió a la Constitución Política, al Estatuto Tributario, al </w:t>
      </w:r>
      <w:sdt>
        <w:sdtPr>
          <w:rPr>
            <w:bCs/>
            <w:color w:val="000000"/>
          </w:rPr>
          <w:tag w:val="MENDELEY_CITATION_v3_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"/>
          <w:id w:val="-1862039026"/>
          <w:placeholder>
            <w:docPart w:val="DefaultPlaceholder_-1854013440"/>
          </w:placeholder>
        </w:sdtPr>
        <w:sdtEndPr/>
        <w:sdtContent>
          <w:r w:rsidR="009A1775" w:rsidRPr="006177E4">
            <w:rPr>
              <w:bCs/>
              <w:color w:val="000000"/>
            </w:rPr>
            <w:t xml:space="preserve">Decreto 1625 </w:t>
          </w:r>
          <w:r w:rsidR="00683981">
            <w:rPr>
              <w:bCs/>
              <w:color w:val="000000"/>
            </w:rPr>
            <w:t>(</w:t>
          </w:r>
          <w:r w:rsidR="009A1775" w:rsidRPr="006177E4">
            <w:rPr>
              <w:bCs/>
              <w:color w:val="000000"/>
            </w:rPr>
            <w:t>2016</w:t>
          </w:r>
          <w:r w:rsidR="00683981">
            <w:rPr>
              <w:bCs/>
              <w:color w:val="000000"/>
            </w:rPr>
            <w:t>)</w:t>
          </w:r>
          <w:r w:rsidR="009A1775" w:rsidRPr="006177E4">
            <w:rPr>
              <w:bCs/>
              <w:color w:val="000000"/>
            </w:rPr>
            <w:t xml:space="preserve"> Decreto Único Reglamentario en Materia Tributaria</w:t>
          </w:r>
          <w:r w:rsidR="00683981">
            <w:rPr>
              <w:bCs/>
              <w:color w:val="000000"/>
            </w:rPr>
            <w:t xml:space="preserve"> (</w:t>
          </w:r>
          <w:r w:rsidR="009A1775" w:rsidRPr="006177E4">
            <w:rPr>
              <w:bCs/>
              <w:color w:val="000000"/>
            </w:rPr>
            <w:t>2016)</w:t>
          </w:r>
        </w:sdtContent>
      </w:sdt>
      <w:r w:rsidR="00FD3BE0" w:rsidRPr="006177E4">
        <w:rPr>
          <w:bCs/>
        </w:rPr>
        <w:t xml:space="preserve"> </w:t>
      </w:r>
      <w:r w:rsidRPr="006177E4">
        <w:rPr>
          <w:bCs/>
        </w:rPr>
        <w:t>y a las leyes modificatorias del artículo 580-1, mediante consulta en SUIN-</w:t>
      </w:r>
      <w:proofErr w:type="spellStart"/>
      <w:r w:rsidRPr="006177E4">
        <w:rPr>
          <w:bCs/>
        </w:rPr>
        <w:t>Juriscol</w:t>
      </w:r>
      <w:proofErr w:type="spellEnd"/>
      <w:r w:rsidRPr="006177E4">
        <w:rPr>
          <w:bCs/>
        </w:rPr>
        <w:t xml:space="preserve">, el Normograma de la DIAN y textos oficiales. En el componente jurisprudencial se utilizaron la Relatoría de la Corte Constitucional y el repositorio del Consejo de Estado, a fin de localizar las providencias relevantes para la investigación. </w:t>
      </w:r>
    </w:p>
    <w:p w14:paraId="4519E3DF" w14:textId="77777777" w:rsidR="00CC1C3F" w:rsidRPr="006177E4" w:rsidRDefault="00CC1C3F" w:rsidP="008C471E">
      <w:pPr>
        <w:pStyle w:val="PrrAPA"/>
        <w:rPr>
          <w:bCs/>
        </w:rPr>
      </w:pPr>
      <w:r w:rsidRPr="006177E4">
        <w:rPr>
          <w:bCs/>
        </w:rPr>
        <w:t xml:space="preserve">Para la doctrina oficial se consultó el Normograma institucional de la DIAN, del cual se obtuvieron los oficios y conceptos relacionados con la eficacia de la declaración presentada sin pago total. Finalmente, los antecedentes académicos se identificaron en Google </w:t>
      </w:r>
      <w:proofErr w:type="spellStart"/>
      <w:r w:rsidRPr="006177E4">
        <w:rPr>
          <w:bCs/>
        </w:rPr>
        <w:t>Scholar</w:t>
      </w:r>
      <w:proofErr w:type="spellEnd"/>
      <w:r w:rsidRPr="006177E4">
        <w:rPr>
          <w:bCs/>
        </w:rPr>
        <w:t xml:space="preserve">, Google </w:t>
      </w:r>
      <w:proofErr w:type="spellStart"/>
      <w:r w:rsidRPr="006177E4">
        <w:rPr>
          <w:bCs/>
        </w:rPr>
        <w:lastRenderedPageBreak/>
        <w:t>Books</w:t>
      </w:r>
      <w:proofErr w:type="spellEnd"/>
      <w:r w:rsidRPr="006177E4">
        <w:rPr>
          <w:bCs/>
        </w:rPr>
        <w:t xml:space="preserve">, el repositorio institucional </w:t>
      </w:r>
      <w:proofErr w:type="spellStart"/>
      <w:r w:rsidRPr="006177E4">
        <w:rPr>
          <w:bCs/>
        </w:rPr>
        <w:t>BDigital</w:t>
      </w:r>
      <w:proofErr w:type="spellEnd"/>
      <w:r w:rsidRPr="006177E4">
        <w:rPr>
          <w:bCs/>
        </w:rPr>
        <w:t xml:space="preserve"> de la Universidad Externado de Colombia, el portal de revistas de la Universidad Externado de Colombia, </w:t>
      </w:r>
      <w:proofErr w:type="spellStart"/>
      <w:r w:rsidRPr="006177E4">
        <w:rPr>
          <w:bCs/>
        </w:rPr>
        <w:t>Vlex</w:t>
      </w:r>
      <w:proofErr w:type="spellEnd"/>
      <w:r w:rsidRPr="006177E4">
        <w:rPr>
          <w:bCs/>
        </w:rPr>
        <w:t xml:space="preserve"> y sistemas de agregación académica como La Referencia y </w:t>
      </w:r>
      <w:proofErr w:type="spellStart"/>
      <w:r w:rsidRPr="006177E4">
        <w:rPr>
          <w:bCs/>
        </w:rPr>
        <w:t>RedCol</w:t>
      </w:r>
      <w:proofErr w:type="spellEnd"/>
      <w:r w:rsidRPr="006177E4">
        <w:rPr>
          <w:bCs/>
        </w:rPr>
        <w:t xml:space="preserve">, priorizando tesis de maestría, artículos científicos y trabajos especializados sobre retención en la fuente, procedimiento tributario y cultura de cumplimiento. </w:t>
      </w:r>
    </w:p>
    <w:p w14:paraId="0D47C05A" w14:textId="4480B370" w:rsidR="00CC1C3F" w:rsidRPr="006177E4" w:rsidRDefault="00CC1C3F" w:rsidP="008C471E">
      <w:pPr>
        <w:pStyle w:val="PrrAPA"/>
        <w:rPr>
          <w:bCs/>
        </w:rPr>
      </w:pPr>
      <w:r w:rsidRPr="006177E4">
        <w:rPr>
          <w:bCs/>
        </w:rPr>
        <w:t xml:space="preserve">Así mismo, se utilizaron los </w:t>
      </w:r>
      <w:r w:rsidRPr="006177E4">
        <w:t xml:space="preserve">recursos académicos disponibles a través de la </w:t>
      </w:r>
      <w:r w:rsidRPr="006177E4">
        <w:rPr>
          <w:bCs/>
        </w:rPr>
        <w:t>Biblioteca de la Universidad de Manizales, en particular el portal de Bases de datos y recursos de aprendizaje, el Repositorio Institucional U</w:t>
      </w:r>
      <w:r w:rsidR="00683981">
        <w:rPr>
          <w:bCs/>
        </w:rPr>
        <w:t xml:space="preserve"> </w:t>
      </w:r>
      <w:r w:rsidRPr="006177E4">
        <w:rPr>
          <w:bCs/>
        </w:rPr>
        <w:t>Manizales (RIDUM), Revistas U</w:t>
      </w:r>
      <w:r w:rsidR="00683981">
        <w:rPr>
          <w:bCs/>
        </w:rPr>
        <w:t xml:space="preserve"> </w:t>
      </w:r>
      <w:r w:rsidRPr="006177E4">
        <w:rPr>
          <w:bCs/>
        </w:rPr>
        <w:t>Manizales y el Catálogo Público (OPAC), por constituir los principales mecanismos institucionales de acceso a literatura científica, producción académica y material bibliográfico pertinente. Estos recursos se emplearon de manera complementaria para localizar artículos, tesis, trabajos de grado, libros y documentos especializados relacionados con la ineficacia de las declaraciones de retención en la fuente, el procedimiento tributario y el cumplimiento formal de las obligaciones fiscales.</w:t>
      </w:r>
    </w:p>
    <w:p w14:paraId="14AAE41C" w14:textId="77777777" w:rsidR="00CC1C3F" w:rsidRPr="006177E4" w:rsidRDefault="00CC1C3F" w:rsidP="008C471E">
      <w:pPr>
        <w:pStyle w:val="PrrAPA"/>
        <w:rPr>
          <w:bCs/>
        </w:rPr>
      </w:pPr>
      <w:r w:rsidRPr="006177E4">
        <w:rPr>
          <w:bCs/>
        </w:rPr>
        <w:t xml:space="preserve">La estrategia de búsqueda se definió mediante descriptores jurídicos y temáticos directamente vinculados con el objeto de estudio: "ineficacia de las declaraciones de retención en la fuente" OR "declaración de retención en la fuente sin pago total" OR "artículo 580-1" OR "retención en la fuente ineficaz") AND ("Colombia" OR "DIAN" OR "Estatuto Tributario") AND ("procedimiento tributario" OR "cobro coactivo" OR "sanción por extemporaneidad" OR "cumplimiento tributario" OR "agente retenedor" OR "mérito ejecutivo". </w:t>
      </w:r>
    </w:p>
    <w:p w14:paraId="45863FE0" w14:textId="77777777" w:rsidR="00BE74DB" w:rsidRPr="006177E4" w:rsidRDefault="00CC1C3F" w:rsidP="008C471E">
      <w:pPr>
        <w:pStyle w:val="PrrAPA"/>
        <w:rPr>
          <w:bCs/>
        </w:rPr>
      </w:pPr>
      <w:r w:rsidRPr="006177E4">
        <w:rPr>
          <w:bCs/>
        </w:rPr>
        <w:t>En cuanto a las cifras, en el presente estudio</w:t>
      </w:r>
      <w:r w:rsidR="00326F26" w:rsidRPr="006177E4">
        <w:rPr>
          <w:bCs/>
        </w:rPr>
        <w:t xml:space="preserve"> se</w:t>
      </w:r>
      <w:r w:rsidRPr="006177E4">
        <w:rPr>
          <w:bCs/>
        </w:rPr>
        <w:t xml:space="preserve"> </w:t>
      </w:r>
      <w:r w:rsidR="00373125" w:rsidRPr="006177E4">
        <w:rPr>
          <w:bCs/>
        </w:rPr>
        <w:t xml:space="preserve">solicitó </w:t>
      </w:r>
      <w:r w:rsidR="00326F26" w:rsidRPr="006177E4">
        <w:rPr>
          <w:bCs/>
        </w:rPr>
        <w:t xml:space="preserve">por medio de PQRS </w:t>
      </w:r>
      <w:r w:rsidR="00373125" w:rsidRPr="006177E4">
        <w:rPr>
          <w:bCs/>
        </w:rPr>
        <w:t>a la administración tributaria el n</w:t>
      </w:r>
      <w:r w:rsidRPr="006177E4">
        <w:rPr>
          <w:bCs/>
        </w:rPr>
        <w:t xml:space="preserve">úmero total de retenciones en la fuente </w:t>
      </w:r>
      <w:r w:rsidR="00326F26" w:rsidRPr="006177E4">
        <w:rPr>
          <w:bCs/>
        </w:rPr>
        <w:t xml:space="preserve">presentadas e </w:t>
      </w:r>
      <w:r w:rsidRPr="006177E4">
        <w:rPr>
          <w:bCs/>
        </w:rPr>
        <w:t>ineficaces para los años 2014 al 2024</w:t>
      </w:r>
      <w:r w:rsidR="00BE74DB" w:rsidRPr="006177E4">
        <w:rPr>
          <w:bCs/>
        </w:rPr>
        <w:t>.</w:t>
      </w:r>
    </w:p>
    <w:p w14:paraId="14774E28" w14:textId="53AD96FD" w:rsidR="00BE74DB" w:rsidRPr="006177E4" w:rsidRDefault="00BE74DB" w:rsidP="008C471E">
      <w:pPr>
        <w:pStyle w:val="PrrAPA"/>
        <w:rPr>
          <w:bCs/>
        </w:rPr>
      </w:pPr>
      <w:r w:rsidRPr="006177E4">
        <w:rPr>
          <w:bCs/>
        </w:rPr>
        <w:t>De igual manera, se analizaron las cifras de recaudo por concepto de retenciones para la DSIA de Ibagué para los años objeto de estudio, con el fin de conocer las cifras recaudadas por el concepto de retención para los años objeto de estudio.</w:t>
      </w:r>
    </w:p>
    <w:p w14:paraId="75E70305" w14:textId="77777777" w:rsidR="00CC1C3F" w:rsidRDefault="00CC1C3F" w:rsidP="008C471E">
      <w:pPr>
        <w:pStyle w:val="PrrAPA"/>
        <w:rPr>
          <w:bCs/>
        </w:rPr>
      </w:pPr>
      <w:r w:rsidRPr="006177E4">
        <w:rPr>
          <w:bCs/>
        </w:rPr>
        <w:t xml:space="preserve">Así mismo, se realizó la búsqueda, de cifras de retenciones en la fuente ineficaces publicadas por la DIAN, en donde se realizó una búsqueda sistemática de informes y comunicados oficiales que reportaran cifras sobre las declaraciones de retención en la fuente consideradas ineficaces por presentarse sin pago total o con pago parcial, y el fenómeno relacionado de no consignación de valores retenidos por omisión de agente retenedor. </w:t>
      </w:r>
    </w:p>
    <w:p w14:paraId="32EB4B53" w14:textId="77777777" w:rsidR="00683981" w:rsidRPr="006177E4" w:rsidRDefault="00683981" w:rsidP="00263B16">
      <w:pPr>
        <w:spacing w:line="480" w:lineRule="auto"/>
        <w:ind w:firstLine="720"/>
        <w:jc w:val="left"/>
        <w:rPr>
          <w:rFonts w:cs="Times New Roman"/>
          <w:bCs/>
          <w:szCs w:val="24"/>
        </w:rPr>
      </w:pPr>
    </w:p>
    <w:p w14:paraId="3C840499" w14:textId="59A236DE" w:rsidR="00CC1C3F" w:rsidRPr="00683981" w:rsidRDefault="00CC1C3F" w:rsidP="00263B16">
      <w:pPr>
        <w:pStyle w:val="Ttulo2"/>
      </w:pPr>
      <w:bookmarkStart w:id="118" w:name="_Toc228250797"/>
      <w:bookmarkStart w:id="119" w:name="_Toc229077663"/>
      <w:r w:rsidRPr="00683981">
        <w:lastRenderedPageBreak/>
        <w:t>Síntesis Argumental del Marco Metodológico</w:t>
      </w:r>
      <w:bookmarkEnd w:id="118"/>
      <w:bookmarkEnd w:id="119"/>
    </w:p>
    <w:p w14:paraId="2FB14204" w14:textId="77777777" w:rsidR="00CC1C3F" w:rsidRPr="006177E4" w:rsidRDefault="00CC1C3F" w:rsidP="008C471E">
      <w:pPr>
        <w:pStyle w:val="PrrAPA"/>
      </w:pPr>
      <w:r w:rsidRPr="006177E4">
        <w:t>En síntesis, el marco metodológico se estructura con coherencia entre el problema, los objetivos y las técnicas de recolección, a fin de explicar la ineficacia de las declaraciones de retención en la fuente en los contribuyentes de la Administración de Impuestos de Ibagué durante 2014-2024. El estudio adopta un diseño longitudinal, un tipo documental-explicativo, un enfoque cualitativo y un método deductivo-inductivo, lo que permite examinar el fenómeno en el tiempo, interpretar sus causas y efectos desde fuentes normativas, jurisprudenciales y doctrinales, y contrastar el marco general con hallazgos del contexto local. Esta articulación entre universo, muestra, fuentes, técnicas e instrumentos fortalece la validez académica del estudio, al combinar la revisión documental sistemática con entrevistas a expertos para lograr una comprensión integral y contextualizada.</w:t>
      </w:r>
    </w:p>
    <w:p w14:paraId="3E3E6487" w14:textId="3BD24125" w:rsidR="00CC1C3F" w:rsidRDefault="00CC1C3F" w:rsidP="008C471E">
      <w:pPr>
        <w:pStyle w:val="PrrAPA"/>
      </w:pPr>
      <w:r w:rsidRPr="006177E4">
        <w:t>Hilado en la prosa anterior, se presenta mediante un cuadro el resumen suscito del componente metodológico</w:t>
      </w:r>
      <w:r w:rsidR="00683981">
        <w:t>.</w:t>
      </w:r>
    </w:p>
    <w:p w14:paraId="65A28332" w14:textId="77777777" w:rsidR="00683981" w:rsidRDefault="00683981" w:rsidP="00263B16">
      <w:pPr>
        <w:pStyle w:val="Descripcin"/>
        <w:spacing w:after="0" w:line="480" w:lineRule="auto"/>
        <w:rPr>
          <w:b/>
          <w:bCs/>
          <w:i w:val="0"/>
          <w:iCs w:val="0"/>
        </w:rPr>
      </w:pPr>
    </w:p>
    <w:p w14:paraId="741B3F2F" w14:textId="77777777" w:rsidR="00F31EDC" w:rsidRDefault="00683981" w:rsidP="00263B16">
      <w:pPr>
        <w:pStyle w:val="Descripcin"/>
        <w:spacing w:after="0" w:line="480" w:lineRule="auto"/>
      </w:pPr>
      <w:bookmarkStart w:id="120" w:name="_Toc229077707"/>
      <w:r w:rsidRPr="00683981">
        <w:rPr>
          <w:b/>
          <w:bCs/>
          <w:i w:val="0"/>
          <w:iCs w:val="0"/>
        </w:rPr>
        <w:t xml:space="preserve">Tabla </w:t>
      </w:r>
      <w:r w:rsidRPr="00683981">
        <w:rPr>
          <w:b/>
          <w:bCs/>
          <w:i w:val="0"/>
          <w:iCs w:val="0"/>
        </w:rPr>
        <w:fldChar w:fldCharType="begin"/>
      </w:r>
      <w:r w:rsidRPr="00683981">
        <w:rPr>
          <w:b/>
          <w:bCs/>
          <w:i w:val="0"/>
          <w:iCs w:val="0"/>
        </w:rPr>
        <w:instrText xml:space="preserve"> SEQ Tabla \* ARABIC </w:instrText>
      </w:r>
      <w:r w:rsidRPr="00683981">
        <w:rPr>
          <w:b/>
          <w:bCs/>
          <w:i w:val="0"/>
          <w:iCs w:val="0"/>
        </w:rPr>
        <w:fldChar w:fldCharType="separate"/>
      </w:r>
      <w:r w:rsidR="00D64F6E">
        <w:rPr>
          <w:b/>
          <w:bCs/>
          <w:i w:val="0"/>
          <w:iCs w:val="0"/>
          <w:noProof/>
        </w:rPr>
        <w:t>8</w:t>
      </w:r>
      <w:r w:rsidRPr="00683981">
        <w:rPr>
          <w:b/>
          <w:bCs/>
          <w:i w:val="0"/>
          <w:iCs w:val="0"/>
        </w:rPr>
        <w:fldChar w:fldCharType="end"/>
      </w:r>
      <w:r>
        <w:t xml:space="preserve"> </w:t>
      </w:r>
    </w:p>
    <w:p w14:paraId="674F568D" w14:textId="273695BD" w:rsidR="00CC1C3F" w:rsidRPr="006177E4" w:rsidRDefault="00CC1C3F" w:rsidP="00263B16">
      <w:pPr>
        <w:pStyle w:val="Descripcin"/>
        <w:spacing w:after="0" w:line="480" w:lineRule="auto"/>
        <w:rPr>
          <w:rFonts w:cs="Times New Roman"/>
          <w:bCs/>
          <w:i w:val="0"/>
          <w:iCs w:val="0"/>
          <w:szCs w:val="24"/>
        </w:rPr>
      </w:pPr>
      <w:r w:rsidRPr="006177E4">
        <w:rPr>
          <w:rFonts w:cs="Times New Roman"/>
          <w:bCs/>
          <w:szCs w:val="24"/>
        </w:rPr>
        <w:t>Matriz resumen del marco metodológico</w:t>
      </w:r>
      <w:bookmarkEnd w:id="120"/>
    </w:p>
    <w:tbl>
      <w:tblPr>
        <w:tblStyle w:val="Tablaconcuadrculaclara"/>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57"/>
        <w:gridCol w:w="5073"/>
        <w:gridCol w:w="2430"/>
      </w:tblGrid>
      <w:tr w:rsidR="00CC1C3F" w:rsidRPr="006177E4" w14:paraId="4433D280" w14:textId="77777777" w:rsidTr="00683981">
        <w:tc>
          <w:tcPr>
            <w:tcW w:w="992" w:type="pct"/>
            <w:hideMark/>
          </w:tcPr>
          <w:p w14:paraId="69B84E57" w14:textId="77777777" w:rsidR="00CC1C3F" w:rsidRPr="006177E4" w:rsidRDefault="00CC1C3F" w:rsidP="00263B16">
            <w:pPr>
              <w:spacing w:line="480" w:lineRule="auto"/>
              <w:jc w:val="center"/>
              <w:rPr>
                <w:rFonts w:cs="Times New Roman"/>
                <w:szCs w:val="24"/>
              </w:rPr>
            </w:pPr>
            <w:r w:rsidRPr="006177E4">
              <w:rPr>
                <w:rFonts w:eastAsia="Times New Roman" w:cs="Times New Roman"/>
                <w:b/>
                <w:szCs w:val="24"/>
              </w:rPr>
              <w:t>Componente metodológico</w:t>
            </w:r>
          </w:p>
        </w:tc>
        <w:tc>
          <w:tcPr>
            <w:tcW w:w="2710" w:type="pct"/>
            <w:hideMark/>
          </w:tcPr>
          <w:p w14:paraId="5EA247C1" w14:textId="77777777" w:rsidR="00CC1C3F" w:rsidRPr="006177E4" w:rsidRDefault="00CC1C3F" w:rsidP="00263B16">
            <w:pPr>
              <w:spacing w:line="480" w:lineRule="auto"/>
              <w:jc w:val="center"/>
              <w:rPr>
                <w:rFonts w:cs="Times New Roman"/>
                <w:szCs w:val="24"/>
              </w:rPr>
            </w:pPr>
            <w:r w:rsidRPr="006177E4">
              <w:rPr>
                <w:rFonts w:eastAsia="Times New Roman" w:cs="Times New Roman"/>
                <w:b/>
                <w:szCs w:val="24"/>
              </w:rPr>
              <w:t>Descripción</w:t>
            </w:r>
          </w:p>
        </w:tc>
        <w:tc>
          <w:tcPr>
            <w:tcW w:w="1298" w:type="pct"/>
            <w:hideMark/>
          </w:tcPr>
          <w:p w14:paraId="12A7A363" w14:textId="77777777" w:rsidR="00CC1C3F" w:rsidRPr="006177E4" w:rsidRDefault="00CC1C3F" w:rsidP="00263B16">
            <w:pPr>
              <w:spacing w:line="480" w:lineRule="auto"/>
              <w:jc w:val="center"/>
              <w:rPr>
                <w:rFonts w:cs="Times New Roman"/>
                <w:szCs w:val="24"/>
              </w:rPr>
            </w:pPr>
            <w:r w:rsidRPr="006177E4">
              <w:rPr>
                <w:rFonts w:eastAsia="Times New Roman" w:cs="Times New Roman"/>
                <w:b/>
                <w:szCs w:val="24"/>
              </w:rPr>
              <w:t>Autores</w:t>
            </w:r>
          </w:p>
        </w:tc>
      </w:tr>
      <w:tr w:rsidR="00CC1C3F" w:rsidRPr="006177E4" w14:paraId="3D0CA1E1" w14:textId="77777777" w:rsidTr="00683981">
        <w:tc>
          <w:tcPr>
            <w:tcW w:w="992" w:type="pct"/>
            <w:hideMark/>
          </w:tcPr>
          <w:p w14:paraId="131F418F"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Diseño de la investigación</w:t>
            </w:r>
          </w:p>
        </w:tc>
        <w:tc>
          <w:tcPr>
            <w:tcW w:w="2710" w:type="pct"/>
            <w:hideMark/>
          </w:tcPr>
          <w:p w14:paraId="3122C23F"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Longitudinal. Examina el fenómeno en 2014-2024 para identificar cambios normativos, tendencias y efectos.</w:t>
            </w:r>
          </w:p>
        </w:tc>
        <w:tc>
          <w:tcPr>
            <w:tcW w:w="1298" w:type="pct"/>
            <w:hideMark/>
          </w:tcPr>
          <w:p w14:paraId="1D82C6AD"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Hernández Sampieri et al. (2014); Bernal Torres (2006)</w:t>
            </w:r>
          </w:p>
        </w:tc>
      </w:tr>
      <w:tr w:rsidR="00CC1C3F" w:rsidRPr="006177E4" w14:paraId="02B378C5" w14:textId="77777777" w:rsidTr="00683981">
        <w:tc>
          <w:tcPr>
            <w:tcW w:w="992" w:type="pct"/>
            <w:hideMark/>
          </w:tcPr>
          <w:p w14:paraId="28AB1612"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Tipo de investigación</w:t>
            </w:r>
          </w:p>
        </w:tc>
        <w:tc>
          <w:tcPr>
            <w:tcW w:w="2710" w:type="pct"/>
            <w:hideMark/>
          </w:tcPr>
          <w:p w14:paraId="467A8881"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Documental-explicativo. Usa fuentes primarias, secundarias y terciarias para explicar causas jurídicas, normativas y administrativas.</w:t>
            </w:r>
          </w:p>
        </w:tc>
        <w:tc>
          <w:tcPr>
            <w:tcW w:w="1298" w:type="pct"/>
            <w:hideMark/>
          </w:tcPr>
          <w:p w14:paraId="65D3A024"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Tamayo y Tamayo (2001); Vargas Beal (2007); Hernández Sampieri et al. (2014)</w:t>
            </w:r>
          </w:p>
        </w:tc>
      </w:tr>
      <w:tr w:rsidR="00CC1C3F" w:rsidRPr="006177E4" w14:paraId="4D0A1027" w14:textId="77777777" w:rsidTr="00683981">
        <w:tc>
          <w:tcPr>
            <w:tcW w:w="992" w:type="pct"/>
            <w:hideMark/>
          </w:tcPr>
          <w:p w14:paraId="3A2CE26D"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lastRenderedPageBreak/>
              <w:t>Enfoque de la investigación</w:t>
            </w:r>
          </w:p>
        </w:tc>
        <w:tc>
          <w:tcPr>
            <w:tcW w:w="2710" w:type="pct"/>
            <w:hideMark/>
          </w:tcPr>
          <w:p w14:paraId="66F746AA"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Cualitativo. Comprende el fenómeno mediante interpretación normativa, documental y entrevista a expertos.</w:t>
            </w:r>
          </w:p>
        </w:tc>
        <w:tc>
          <w:tcPr>
            <w:tcW w:w="1298" w:type="pct"/>
            <w:hideMark/>
          </w:tcPr>
          <w:p w14:paraId="375EDB26"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Hernández Sampieri et al. (2014); Bernal Torres (2006)</w:t>
            </w:r>
          </w:p>
        </w:tc>
      </w:tr>
      <w:tr w:rsidR="00CC1C3F" w:rsidRPr="006177E4" w14:paraId="1576AAC0" w14:textId="77777777" w:rsidTr="00683981">
        <w:tc>
          <w:tcPr>
            <w:tcW w:w="992" w:type="pct"/>
            <w:hideMark/>
          </w:tcPr>
          <w:p w14:paraId="161A8FB9"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Método de la investigación</w:t>
            </w:r>
          </w:p>
        </w:tc>
        <w:tc>
          <w:tcPr>
            <w:tcW w:w="2710" w:type="pct"/>
            <w:hideMark/>
          </w:tcPr>
          <w:p w14:paraId="140860BC"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Deductivo-inductivo. Parte del marco general y lo contrasta con antecedentes, documentos y entrevistas del contexto de Ibagué.</w:t>
            </w:r>
          </w:p>
        </w:tc>
        <w:tc>
          <w:tcPr>
            <w:tcW w:w="1298" w:type="pct"/>
            <w:hideMark/>
          </w:tcPr>
          <w:p w14:paraId="2073CC70"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Hernández Sampieri et al. (2014); Bernal Torres (2006)</w:t>
            </w:r>
          </w:p>
        </w:tc>
      </w:tr>
      <w:tr w:rsidR="00CC1C3F" w:rsidRPr="006177E4" w14:paraId="5370127F" w14:textId="77777777" w:rsidTr="00683981">
        <w:tc>
          <w:tcPr>
            <w:tcW w:w="992" w:type="pct"/>
            <w:hideMark/>
          </w:tcPr>
          <w:p w14:paraId="048134DC"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Universo de investigación</w:t>
            </w:r>
          </w:p>
        </w:tc>
        <w:tc>
          <w:tcPr>
            <w:tcW w:w="2710" w:type="pct"/>
            <w:hideMark/>
          </w:tcPr>
          <w:p w14:paraId="6BD59CBC"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Agentes retenedores obligados a practicar, declarar y consignar la retención en la fuente en Colombia.</w:t>
            </w:r>
          </w:p>
        </w:tc>
        <w:tc>
          <w:tcPr>
            <w:tcW w:w="1298" w:type="pct"/>
            <w:hideMark/>
          </w:tcPr>
          <w:p w14:paraId="7CEAB6B4"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Delimitación propia del estudio</w:t>
            </w:r>
          </w:p>
        </w:tc>
      </w:tr>
      <w:tr w:rsidR="00CC1C3F" w:rsidRPr="006177E4" w14:paraId="17E8D4E8" w14:textId="77777777" w:rsidTr="00683981">
        <w:tc>
          <w:tcPr>
            <w:tcW w:w="992" w:type="pct"/>
            <w:hideMark/>
          </w:tcPr>
          <w:p w14:paraId="0D827CC3"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Muestra</w:t>
            </w:r>
          </w:p>
        </w:tc>
        <w:tc>
          <w:tcPr>
            <w:tcW w:w="2710" w:type="pct"/>
            <w:hideMark/>
          </w:tcPr>
          <w:p w14:paraId="61F90A85"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Contribuyentes de Ibagué vinculados al fenómeno objeto de estudio.</w:t>
            </w:r>
          </w:p>
        </w:tc>
        <w:tc>
          <w:tcPr>
            <w:tcW w:w="1298" w:type="pct"/>
            <w:hideMark/>
          </w:tcPr>
          <w:p w14:paraId="2A158DAC"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Delimitación propia del estudio</w:t>
            </w:r>
          </w:p>
        </w:tc>
      </w:tr>
      <w:tr w:rsidR="00CC1C3F" w:rsidRPr="006177E4" w14:paraId="69AC7DB0" w14:textId="77777777" w:rsidTr="00683981">
        <w:tc>
          <w:tcPr>
            <w:tcW w:w="992" w:type="pct"/>
            <w:hideMark/>
          </w:tcPr>
          <w:p w14:paraId="5A3C7E74"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Técnicas e instrumentos</w:t>
            </w:r>
          </w:p>
        </w:tc>
        <w:tc>
          <w:tcPr>
            <w:tcW w:w="2710" w:type="pct"/>
            <w:hideMark/>
          </w:tcPr>
          <w:p w14:paraId="5DCC0E7E"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Revisión documental sistemática y entrevista estructurada. Incluye fichas analíticas, matrices de revisión, normativa y jurisprudencial.</w:t>
            </w:r>
          </w:p>
        </w:tc>
        <w:tc>
          <w:tcPr>
            <w:tcW w:w="1298" w:type="pct"/>
            <w:hideMark/>
          </w:tcPr>
          <w:p w14:paraId="7854D641"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Hernández Sampieri et al. (2014); Hernández Sampieri y Mendoza Torres (2018)</w:t>
            </w:r>
          </w:p>
        </w:tc>
      </w:tr>
      <w:tr w:rsidR="00CC1C3F" w:rsidRPr="006177E4" w14:paraId="6C4B838D" w14:textId="77777777" w:rsidTr="00683981">
        <w:tc>
          <w:tcPr>
            <w:tcW w:w="992" w:type="pct"/>
            <w:hideMark/>
          </w:tcPr>
          <w:p w14:paraId="195EAF5E"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Fuentes de investigación</w:t>
            </w:r>
          </w:p>
        </w:tc>
        <w:tc>
          <w:tcPr>
            <w:tcW w:w="2710" w:type="pct"/>
            <w:hideMark/>
          </w:tcPr>
          <w:p w14:paraId="607A683D"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Fuentes primarias y secundarias: entrevistas, normativa tributaria, jurisprudencia, doctrina, conceptos DIAN y literatura académica.</w:t>
            </w:r>
          </w:p>
        </w:tc>
        <w:tc>
          <w:tcPr>
            <w:tcW w:w="1298" w:type="pct"/>
            <w:hideMark/>
          </w:tcPr>
          <w:p w14:paraId="52FDC3C0" w14:textId="77777777" w:rsidR="00CC1C3F" w:rsidRPr="006177E4" w:rsidRDefault="00CC1C3F" w:rsidP="00263B16">
            <w:pPr>
              <w:spacing w:line="480" w:lineRule="auto"/>
              <w:jc w:val="center"/>
              <w:rPr>
                <w:rFonts w:cs="Times New Roman"/>
                <w:szCs w:val="24"/>
              </w:rPr>
            </w:pPr>
            <w:r w:rsidRPr="006177E4">
              <w:rPr>
                <w:rFonts w:eastAsia="Times New Roman" w:cs="Times New Roman"/>
                <w:szCs w:val="24"/>
              </w:rPr>
              <w:t>Hernández Sampieri et al. (2014)</w:t>
            </w:r>
          </w:p>
        </w:tc>
      </w:tr>
    </w:tbl>
    <w:p w14:paraId="28029A28" w14:textId="77777777" w:rsidR="00CC1C3F" w:rsidRPr="006177E4" w:rsidRDefault="00CC1C3F" w:rsidP="00263B16">
      <w:pPr>
        <w:spacing w:line="480" w:lineRule="auto"/>
        <w:rPr>
          <w:rFonts w:cs="Times New Roman"/>
          <w:szCs w:val="24"/>
        </w:rPr>
      </w:pPr>
    </w:p>
    <w:p w14:paraId="34209CF7" w14:textId="38D9BA8A" w:rsidR="006A32C2" w:rsidRPr="006177E4" w:rsidRDefault="00683981" w:rsidP="00263B16">
      <w:pPr>
        <w:spacing w:line="480" w:lineRule="auto"/>
        <w:rPr>
          <w:rFonts w:cs="Times New Roman"/>
          <w:b/>
          <w:szCs w:val="24"/>
        </w:rPr>
      </w:pPr>
      <w:r w:rsidRPr="00683981">
        <w:rPr>
          <w:rFonts w:cs="Times New Roman"/>
          <w:i/>
          <w:iCs/>
          <w:szCs w:val="24"/>
        </w:rPr>
        <w:t>Nota.</w:t>
      </w:r>
      <w:r>
        <w:rPr>
          <w:rFonts w:cs="Times New Roman"/>
          <w:szCs w:val="24"/>
        </w:rPr>
        <w:t xml:space="preserve"> </w:t>
      </w:r>
      <w:r w:rsidR="0047271B" w:rsidRPr="00E27C5F">
        <w:rPr>
          <w:rFonts w:cs="Times New Roman"/>
          <w:szCs w:val="24"/>
        </w:rPr>
        <w:t>E</w:t>
      </w:r>
      <w:r w:rsidR="00CC1C3F" w:rsidRPr="00E27C5F">
        <w:rPr>
          <w:rFonts w:cs="Times New Roman"/>
          <w:szCs w:val="24"/>
        </w:rPr>
        <w:t>l</w:t>
      </w:r>
      <w:r w:rsidR="00CC1C3F" w:rsidRPr="006177E4">
        <w:rPr>
          <w:rFonts w:cs="Times New Roman"/>
          <w:szCs w:val="24"/>
        </w:rPr>
        <w:t xml:space="preserve">aboración propia a partir de </w:t>
      </w:r>
      <w:sdt>
        <w:sdtPr>
          <w:rPr>
            <w:rFonts w:cs="Times New Roman"/>
            <w:color w:val="000000"/>
            <w:szCs w:val="24"/>
          </w:rPr>
          <w:tag w:val="MENDELEY_CITATION_v3_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"/>
          <w:id w:val="-329833365"/>
          <w:placeholder>
            <w:docPart w:val="DefaultPlaceholder_-1854013440"/>
          </w:placeholder>
        </w:sdtPr>
        <w:sdtEndPr/>
        <w:sdtContent>
          <w:r w:rsidR="009A1775" w:rsidRPr="006177E4">
            <w:rPr>
              <w:rFonts w:eastAsia="Times New Roman" w:cs="Times New Roman"/>
              <w:color w:val="000000"/>
              <w:szCs w:val="24"/>
            </w:rPr>
            <w:t xml:space="preserve">(Hernández </w:t>
          </w:r>
          <w:r w:rsidR="0047271B">
            <w:rPr>
              <w:rFonts w:eastAsia="Times New Roman" w:cs="Times New Roman"/>
              <w:color w:val="000000"/>
              <w:szCs w:val="24"/>
            </w:rPr>
            <w:t>y</w:t>
          </w:r>
          <w:r w:rsidR="009A1775" w:rsidRPr="006177E4">
            <w:rPr>
              <w:rFonts w:eastAsia="Times New Roman" w:cs="Times New Roman"/>
              <w:color w:val="000000"/>
              <w:szCs w:val="24"/>
            </w:rPr>
            <w:t xml:space="preserve"> Mendoza, 2018)</w:t>
          </w:r>
        </w:sdtContent>
      </w:sdt>
      <w:r w:rsidR="00832079" w:rsidRPr="006177E4">
        <w:rPr>
          <w:rFonts w:cs="Times New Roman"/>
          <w:color w:val="000000"/>
          <w:szCs w:val="24"/>
        </w:rPr>
        <w:t xml:space="preserve">, </w:t>
      </w:r>
      <w:sdt>
        <w:sdtPr>
          <w:rPr>
            <w:rFonts w:cs="Times New Roman"/>
            <w:color w:val="000000"/>
            <w:szCs w:val="24"/>
          </w:rPr>
          <w:tag w:val="MENDELEY_CITATION_v3_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"/>
          <w:id w:val="-1194145812"/>
          <w:placeholder>
            <w:docPart w:val="DefaultPlaceholder_-1854013440"/>
          </w:placeholder>
        </w:sdtPr>
        <w:sdtEndPr/>
        <w:sdtContent>
          <w:r w:rsidR="009A1775" w:rsidRPr="006177E4">
            <w:rPr>
              <w:rFonts w:cs="Times New Roman"/>
              <w:color w:val="000000"/>
              <w:szCs w:val="24"/>
            </w:rPr>
            <w:t>(Bernal, 2006)</w:t>
          </w:r>
        </w:sdtContent>
      </w:sdt>
      <w:r w:rsidR="00832079" w:rsidRPr="006177E4">
        <w:rPr>
          <w:rFonts w:cs="Times New Roman"/>
          <w:color w:val="000000"/>
          <w:szCs w:val="24"/>
        </w:rPr>
        <w:t>,</w:t>
      </w:r>
      <w:sdt>
        <w:sdtPr>
          <w:rPr>
            <w:rFonts w:cs="Times New Roman"/>
            <w:color w:val="000000"/>
            <w:szCs w:val="24"/>
          </w:rPr>
          <w:tag w:val="MENDELEY_CITATION_v3_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"/>
          <w:id w:val="1582943626"/>
          <w:placeholder>
            <w:docPart w:val="DefaultPlaceholder_-1854013440"/>
          </w:placeholder>
        </w:sdtPr>
        <w:sdtEndPr/>
        <w:sdtContent>
          <w:r w:rsidR="009A1775" w:rsidRPr="006177E4">
            <w:rPr>
              <w:rFonts w:cs="Times New Roman"/>
              <w:color w:val="000000"/>
              <w:szCs w:val="24"/>
            </w:rPr>
            <w:t>(Tamayo, 2001)</w:t>
          </w:r>
        </w:sdtContent>
      </w:sdt>
      <w:r w:rsidR="00832079" w:rsidRPr="006177E4">
        <w:rPr>
          <w:rFonts w:cs="Times New Roman"/>
          <w:color w:val="000000"/>
          <w:szCs w:val="24"/>
        </w:rPr>
        <w:t xml:space="preserve"> y </w:t>
      </w:r>
      <w:sdt>
        <w:sdtPr>
          <w:rPr>
            <w:rFonts w:cs="Times New Roman"/>
            <w:color w:val="000000"/>
            <w:szCs w:val="24"/>
          </w:rPr>
          <w:tag w:val="MENDELEY_CITATION_v3_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"/>
          <w:id w:val="-244264833"/>
          <w:placeholder>
            <w:docPart w:val="DefaultPlaceholder_-1854013440"/>
          </w:placeholder>
        </w:sdtPr>
        <w:sdtEndPr/>
        <w:sdtContent>
          <w:r w:rsidR="009A1775" w:rsidRPr="006177E4">
            <w:rPr>
              <w:rFonts w:cs="Times New Roman"/>
              <w:color w:val="000000"/>
              <w:szCs w:val="24"/>
            </w:rPr>
            <w:t>(Vargas, 2007)</w:t>
          </w:r>
        </w:sdtContent>
      </w:sdt>
    </w:p>
    <w:p w14:paraId="69320A72" w14:textId="77777777" w:rsidR="00D34CD2" w:rsidRPr="006177E4" w:rsidRDefault="00D34CD2" w:rsidP="00263B16">
      <w:pPr>
        <w:spacing w:line="480" w:lineRule="auto"/>
        <w:jc w:val="center"/>
        <w:rPr>
          <w:rFonts w:cs="Times New Roman"/>
          <w:b/>
          <w:szCs w:val="24"/>
        </w:rPr>
      </w:pPr>
    </w:p>
    <w:p w14:paraId="60350D77" w14:textId="77777777" w:rsidR="00D34CD2" w:rsidRPr="006177E4" w:rsidRDefault="00D34CD2" w:rsidP="008C471E">
      <w:pPr>
        <w:spacing w:line="480" w:lineRule="auto"/>
        <w:rPr>
          <w:rFonts w:cs="Times New Roman"/>
          <w:b/>
          <w:szCs w:val="24"/>
        </w:rPr>
      </w:pPr>
    </w:p>
    <w:p w14:paraId="2F10BCDD" w14:textId="46D43690" w:rsidR="006A32C2" w:rsidRPr="0047271B" w:rsidRDefault="005D1E9D" w:rsidP="00263B16">
      <w:pPr>
        <w:pStyle w:val="Ttulo1"/>
      </w:pPr>
      <w:bookmarkStart w:id="121" w:name="_Toc229077664"/>
      <w:bookmarkStart w:id="122" w:name="_Hlk226165842"/>
      <w:bookmarkStart w:id="123" w:name="_Toc228250798"/>
      <w:r w:rsidRPr="0047271B">
        <w:lastRenderedPageBreak/>
        <w:t>Resultados</w:t>
      </w:r>
      <w:bookmarkEnd w:id="121"/>
      <w:r w:rsidRPr="0047271B">
        <w:t xml:space="preserve"> </w:t>
      </w:r>
      <w:bookmarkStart w:id="124" w:name="_Hlk226165401"/>
      <w:bookmarkStart w:id="125" w:name="_Toc440985142"/>
      <w:bookmarkEnd w:id="122"/>
      <w:bookmarkEnd w:id="123"/>
    </w:p>
    <w:p w14:paraId="081C5748" w14:textId="393019D1" w:rsidR="00323A22" w:rsidRPr="006177E4" w:rsidRDefault="00B566D6" w:rsidP="008C471E">
      <w:pPr>
        <w:pStyle w:val="PrrAPA"/>
        <w:rPr>
          <w:lang w:eastAsia="es-CO"/>
        </w:rPr>
      </w:pPr>
      <w:r w:rsidRPr="006177E4">
        <w:rPr>
          <w:lang w:eastAsia="es-CO"/>
        </w:rPr>
        <w:t xml:space="preserve">El presente capítulo </w:t>
      </w:r>
      <w:r w:rsidR="00323A22" w:rsidRPr="006177E4">
        <w:rPr>
          <w:lang w:eastAsia="es-CO"/>
        </w:rPr>
        <w:t>se organiza conforme a los objetivos específicos de la investigación,</w:t>
      </w:r>
    </w:p>
    <w:p w14:paraId="4ED791D3" w14:textId="77777777" w:rsidR="0047271B" w:rsidRDefault="00B566D6" w:rsidP="008C471E">
      <w:pPr>
        <w:pStyle w:val="PrrAPA"/>
        <w:rPr>
          <w:lang w:eastAsia="es-CO"/>
        </w:rPr>
      </w:pPr>
      <w:r w:rsidRPr="006177E4">
        <w:rPr>
          <w:lang w:eastAsia="es-CO"/>
        </w:rPr>
        <w:t>expone los hallazgos, resultados y discusión derivados del análisis de la ineficacia de las</w:t>
      </w:r>
      <w:r w:rsidR="0047271B">
        <w:rPr>
          <w:lang w:eastAsia="es-CO"/>
        </w:rPr>
        <w:t xml:space="preserve"> </w:t>
      </w:r>
      <w:r w:rsidRPr="006177E4">
        <w:rPr>
          <w:lang w:eastAsia="es-CO"/>
        </w:rPr>
        <w:t>declaraciones de retención en la fuente en renta en los contribuyentes de la administración de</w:t>
      </w:r>
      <w:r w:rsidR="0047271B">
        <w:rPr>
          <w:lang w:eastAsia="es-CO"/>
        </w:rPr>
        <w:t xml:space="preserve"> </w:t>
      </w:r>
      <w:r w:rsidRPr="006177E4">
        <w:rPr>
          <w:lang w:eastAsia="es-CO"/>
        </w:rPr>
        <w:t>impuestos de Ibagué durante el período 2014–2024.</w:t>
      </w:r>
    </w:p>
    <w:p w14:paraId="6935ED0D" w14:textId="366EAC5F" w:rsidR="006A32C2" w:rsidRPr="006177E4" w:rsidRDefault="00B566D6" w:rsidP="008C471E">
      <w:pPr>
        <w:pStyle w:val="PrrAPA"/>
        <w:rPr>
          <w:lang w:eastAsia="es-CO"/>
        </w:rPr>
      </w:pPr>
      <w:r w:rsidRPr="006177E4">
        <w:rPr>
          <w:lang w:eastAsia="es-CO"/>
        </w:rPr>
        <w:t xml:space="preserve">El desarrollo se fundamenta en la información obtenida mediante entrevistas a expertos del ámbito tributario, como: funcionarios de la DIAN de la división de fiscalización, cobranzas, área jurídica, docentes universitarios, contadores públicos y revisores fiscales, cuya </w:t>
      </w:r>
      <w:r w:rsidR="0045211E" w:rsidRPr="006177E4">
        <w:rPr>
          <w:lang w:eastAsia="es-CO"/>
        </w:rPr>
        <w:t>identificación permitió enumerar causas, efectos y problemáticas de l</w:t>
      </w:r>
      <w:r w:rsidRPr="006177E4">
        <w:rPr>
          <w:lang w:eastAsia="es-CO"/>
        </w:rPr>
        <w:t>a figura de la ineficacia. También se analiz</w:t>
      </w:r>
      <w:r w:rsidR="0045211E" w:rsidRPr="006177E4">
        <w:rPr>
          <w:lang w:eastAsia="es-CO"/>
        </w:rPr>
        <w:t>aron las cifras de</w:t>
      </w:r>
      <w:r w:rsidRPr="006177E4">
        <w:rPr>
          <w:lang w:eastAsia="es-CO"/>
        </w:rPr>
        <w:t xml:space="preserve"> denuncias penales presentada</w:t>
      </w:r>
      <w:r w:rsidR="0045211E" w:rsidRPr="006177E4">
        <w:rPr>
          <w:lang w:eastAsia="es-CO"/>
        </w:rPr>
        <w:t>s</w:t>
      </w:r>
      <w:r w:rsidRPr="006177E4">
        <w:rPr>
          <w:lang w:eastAsia="es-CO"/>
        </w:rPr>
        <w:t xml:space="preserve"> durante el periodo comprendido de 2014 a 202</w:t>
      </w:r>
      <w:r w:rsidR="0045211E" w:rsidRPr="006177E4">
        <w:rPr>
          <w:lang w:eastAsia="es-CO"/>
        </w:rPr>
        <w:t>4</w:t>
      </w:r>
      <w:r w:rsidR="00323A22" w:rsidRPr="006177E4">
        <w:rPr>
          <w:lang w:eastAsia="es-CO"/>
        </w:rPr>
        <w:t>, así como cifras de recaudo.</w:t>
      </w:r>
    </w:p>
    <w:p w14:paraId="16BCA8CE" w14:textId="77777777" w:rsidR="00323A22" w:rsidRPr="006177E4" w:rsidRDefault="00323A22" w:rsidP="00263B16">
      <w:pPr>
        <w:spacing w:line="480" w:lineRule="auto"/>
        <w:ind w:firstLine="708"/>
        <w:jc w:val="left"/>
        <w:rPr>
          <w:rFonts w:eastAsia="Times New Roman" w:cs="Times New Roman"/>
          <w:szCs w:val="24"/>
          <w:lang w:eastAsia="es-CO"/>
        </w:rPr>
      </w:pPr>
    </w:p>
    <w:p w14:paraId="54D4058E" w14:textId="5400307B" w:rsidR="006A32C2" w:rsidRPr="0047271B" w:rsidRDefault="006A32C2" w:rsidP="00263B16">
      <w:pPr>
        <w:pStyle w:val="Ttulo2"/>
      </w:pPr>
      <w:bookmarkStart w:id="126" w:name="_Toc228250799"/>
      <w:bookmarkStart w:id="127" w:name="_Toc229077665"/>
      <w:r w:rsidRPr="0047271B">
        <w:t>Objetivo</w:t>
      </w:r>
      <w:r w:rsidR="00FD6BD7" w:rsidRPr="0047271B">
        <w:t xml:space="preserve"> A</w:t>
      </w:r>
      <w:r w:rsidRPr="0047271B">
        <w:t>. Causas de la ineficacia de las declaraciones de retención en la fuente</w:t>
      </w:r>
      <w:bookmarkEnd w:id="126"/>
      <w:bookmarkEnd w:id="127"/>
    </w:p>
    <w:p w14:paraId="4CF81F14" w14:textId="65CD0DA4" w:rsidR="0047271B" w:rsidRDefault="00FD6BD7" w:rsidP="008C471E">
      <w:pPr>
        <w:pStyle w:val="PrrAPA"/>
      </w:pPr>
      <w:r w:rsidRPr="006177E4">
        <w:t xml:space="preserve">Durante el desarrollo del primer objetivo específico, se identificaron las principales causas de la ineficacia de las declaraciones de retención en la fuente en renta, a partir del análisis de fuentes normativas y académicas relacionadas con el artículo 580-1 del </w:t>
      </w:r>
      <w:sdt>
        <w:sdtPr>
          <w:rPr>
            <w:color w:val="000000"/>
          </w:rPr>
          <w:tag w:val="MENDELEY_CITATION_v3_eyJjaXRhdGlvbklEIjoiTUVOREVMRVlfQ0lUQVRJT05fMTU0NGFiNDktZjI2My00YmY0LWJlMTAtMGMxYzg0Nzk3YThi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94165921"/>
          <w:placeholder>
            <w:docPart w:val="DefaultPlaceholder_-1854013440"/>
          </w:placeholder>
        </w:sdtPr>
        <w:sdtEndPr/>
        <w:sdtContent>
          <w:r w:rsidR="0047271B">
            <w:rPr>
              <w:color w:val="000000"/>
            </w:rPr>
            <w:t>Decreto 624 (</w:t>
          </w:r>
          <w:r w:rsidR="009A1775" w:rsidRPr="006177E4">
            <w:rPr>
              <w:color w:val="000000"/>
            </w:rPr>
            <w:t>1989)</w:t>
          </w:r>
        </w:sdtContent>
      </w:sdt>
      <w:r w:rsidRPr="006177E4">
        <w:t>.</w:t>
      </w:r>
    </w:p>
    <w:p w14:paraId="73E83016" w14:textId="4D7CEF60" w:rsidR="00FD6BD7" w:rsidRDefault="00FD6BD7" w:rsidP="008C471E">
      <w:pPr>
        <w:pStyle w:val="PrrAPA"/>
      </w:pPr>
      <w:r w:rsidRPr="006177E4">
        <w:t>Este objetivo permitió establecer que la ineficacia no obedeció únicamente al incumplimiento del pago total dentro del plazo legal, sino a un conjunto de factores de orden normativo, procedimental y administrativo que incidieron en su configuración y reincidencia.</w:t>
      </w:r>
    </w:p>
    <w:p w14:paraId="0DAEB82E" w14:textId="77777777" w:rsidR="0047271B" w:rsidRPr="006177E4" w:rsidRDefault="0047271B" w:rsidP="00263B16">
      <w:pPr>
        <w:spacing w:line="480" w:lineRule="auto"/>
        <w:ind w:firstLine="720"/>
        <w:jc w:val="left"/>
        <w:rPr>
          <w:rFonts w:cs="Times New Roman"/>
          <w:bCs/>
          <w:szCs w:val="24"/>
        </w:rPr>
      </w:pPr>
    </w:p>
    <w:p w14:paraId="758563A1" w14:textId="2C775894" w:rsidR="00FE571D" w:rsidRPr="008C471E" w:rsidRDefault="00FE571D" w:rsidP="008C471E">
      <w:pPr>
        <w:pStyle w:val="Ttulo3"/>
      </w:pPr>
      <w:bookmarkStart w:id="128" w:name="_Toc228250800"/>
      <w:bookmarkStart w:id="129" w:name="_Toc229077666"/>
      <w:r w:rsidRPr="0047271B">
        <w:t>Atributos teóricos que explican las causas de la ineficacia de las declaraciones de retención en la fuente en renta</w:t>
      </w:r>
      <w:bookmarkEnd w:id="128"/>
      <w:bookmarkEnd w:id="129"/>
    </w:p>
    <w:p w14:paraId="5EFCF6D9" w14:textId="77777777" w:rsidR="00D64F6E" w:rsidRDefault="00FD6BD7" w:rsidP="008C471E">
      <w:pPr>
        <w:pStyle w:val="PrrAPA"/>
        <w:rPr>
          <w:color w:val="EE0000"/>
        </w:rPr>
      </w:pPr>
      <w:r w:rsidRPr="006177E4">
        <w:t xml:space="preserve">El desarrollo del </w:t>
      </w:r>
      <w:r w:rsidR="0047271B" w:rsidRPr="006177E4">
        <w:t>objetivo</w:t>
      </w:r>
      <w:r w:rsidRPr="006177E4">
        <w:t xml:space="preserve"> se enmarca en lo planteado por la teoría de eficiencia tributaria, planteada por Adam Smith, precursor seminal de uno de los principios rectores de la tributación, con autores modernos, como </w:t>
      </w:r>
      <w:sdt>
        <w:sdtPr>
          <w:rPr>
            <w:color w:val="000000"/>
          </w:rPr>
          <w:tag w:val="MENDELEY_CITATION_v3_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"/>
          <w:id w:val="-1823798058"/>
          <w:placeholder>
            <w:docPart w:val="DefaultPlaceholder_-1854013440"/>
          </w:placeholder>
        </w:sdtPr>
        <w:sdtEndPr/>
        <w:sdtContent>
          <w:r w:rsidR="009A1775" w:rsidRPr="006177E4">
            <w:rPr>
              <w:color w:val="000000"/>
            </w:rPr>
            <w:t>Restrepo</w:t>
          </w:r>
          <w:r w:rsidR="00D64F6E">
            <w:rPr>
              <w:color w:val="000000"/>
            </w:rPr>
            <w:t xml:space="preserve"> (</w:t>
          </w:r>
          <w:r w:rsidR="009A1775" w:rsidRPr="006177E4">
            <w:rPr>
              <w:color w:val="000000"/>
            </w:rPr>
            <w:t>2024)</w:t>
          </w:r>
        </w:sdtContent>
      </w:sdt>
      <w:r w:rsidR="004B3781" w:rsidRPr="006177E4">
        <w:rPr>
          <w:color w:val="000000"/>
        </w:rPr>
        <w:t xml:space="preserve"> </w:t>
      </w:r>
      <w:r w:rsidRPr="006177E4">
        <w:t>quien la define como uno de los criterios rectores de la tributación, en donde se busca recaudar la mayor cantidad de recursos posible con el menor costo en beneficio del Estado y la Sociedad.</w:t>
      </w:r>
    </w:p>
    <w:p w14:paraId="0110831B" w14:textId="564CE513" w:rsidR="004B3781" w:rsidRPr="00D64F6E" w:rsidRDefault="00FD6BD7" w:rsidP="008C471E">
      <w:pPr>
        <w:pStyle w:val="PrrAPA"/>
        <w:rPr>
          <w:color w:val="EE0000"/>
        </w:rPr>
      </w:pPr>
      <w:r w:rsidRPr="006177E4">
        <w:t xml:space="preserve">Esta teoría es aplicable a la investigación en la medida que la retención en la fuente corresponde al recaudo anticipado del impuesto, con una finalidad constitucional consignada en </w:t>
      </w:r>
    </w:p>
    <w:p w14:paraId="13A48E5A" w14:textId="1CB78E66" w:rsidR="00FD6BD7" w:rsidRPr="006177E4" w:rsidRDefault="00674D57" w:rsidP="008C471E">
      <w:pPr>
        <w:pStyle w:val="PrrAPA"/>
      </w:pPr>
      <w:sdt>
        <w:sdtPr>
          <w:rPr>
            <w:color w:val="000000"/>
          </w:rPr>
          <w:tag w:val="MENDELEY_CITATION_v3_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"/>
          <w:id w:val="-1758431500"/>
          <w:placeholder>
            <w:docPart w:val="DefaultPlaceholder_-1854013440"/>
          </w:placeholder>
        </w:sdtPr>
        <w:sdtEndPr/>
        <w:sdtContent>
          <w:r w:rsidR="009A1775" w:rsidRPr="006177E4">
            <w:rPr>
              <w:color w:val="000000"/>
            </w:rPr>
            <w:t xml:space="preserve">Constitución Política de Colombia </w:t>
          </w:r>
          <w:r w:rsidR="00D64F6E">
            <w:rPr>
              <w:color w:val="000000"/>
            </w:rPr>
            <w:t xml:space="preserve">(1991) </w:t>
          </w:r>
          <w:r w:rsidR="009A1775" w:rsidRPr="006177E4">
            <w:rPr>
              <w:color w:val="000000"/>
            </w:rPr>
            <w:t>art. 363</w:t>
          </w:r>
        </w:sdtContent>
      </w:sdt>
      <w:r w:rsidR="00D64F6E">
        <w:t xml:space="preserve"> e</w:t>
      </w:r>
      <w:r w:rsidR="00FD6BD7" w:rsidRPr="006177E4">
        <w:t>l asegurar el pago total del valor retenido buscar asegurar el recaudo oportuno y eficaz de los recursos públicos. En la revisión de la jurisprudencia se destaca que la función del agente retenedor no se limita solamente a la de retener y presentar dicha declaración con pago, sino el estado descarga sobre él, el ejercicio de una función pública.</w:t>
      </w:r>
    </w:p>
    <w:p w14:paraId="2AF5C8A5" w14:textId="3FE3E133" w:rsidR="00FD6BD7" w:rsidRPr="006177E4" w:rsidRDefault="00FD6BD7" w:rsidP="008C471E">
      <w:pPr>
        <w:pStyle w:val="PrrAPA"/>
      </w:pPr>
      <w:r w:rsidRPr="006177E4">
        <w:t xml:space="preserve">Uno de los hallazgos frente a la teoría de eficiencia tributaria, se vincula </w:t>
      </w:r>
      <w:r w:rsidR="00B873CD" w:rsidRPr="006177E4">
        <w:t xml:space="preserve">con la </w:t>
      </w:r>
      <w:sdt>
        <w:sdtPr>
          <w:rPr>
            <w:color w:val="000000"/>
          </w:rPr>
          <w:tag w:val="MENDELEY_CITATION_v3_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"/>
          <w:id w:val="1371645737"/>
          <w:placeholder>
            <w:docPart w:val="DefaultPlaceholder_-1854013440"/>
          </w:placeholder>
        </w:sdtPr>
        <w:sdtEndPr/>
        <w:sdtContent>
          <w:r w:rsidR="009A1775" w:rsidRPr="006177E4">
            <w:rPr>
              <w:rFonts w:eastAsia="Times New Roman"/>
              <w:color w:val="000000"/>
            </w:rPr>
            <w:t xml:space="preserve">Sentencia C-1144 </w:t>
          </w:r>
          <w:r w:rsidR="00D64F6E">
            <w:rPr>
              <w:rFonts w:eastAsia="Times New Roman"/>
              <w:color w:val="000000"/>
            </w:rPr>
            <w:t>(</w:t>
          </w:r>
          <w:r w:rsidR="009A1775" w:rsidRPr="006177E4">
            <w:rPr>
              <w:rFonts w:eastAsia="Times New Roman"/>
              <w:color w:val="000000"/>
            </w:rPr>
            <w:t>2000)</w:t>
          </w:r>
        </w:sdtContent>
      </w:sdt>
      <w:r w:rsidRPr="006177E4">
        <w:t xml:space="preserve"> la cual diferenció con claridad la situación del contribuyente y la del agente retenedor, y señaló que este último no actúa como deudor de una obligación propia, sino como sujeto al que la ley le encomienda recaudar y poner a disposición del Estado recursos que no ingresan a su patrimonio. La Corte determina que cuando la declaración se presenta sin pago total, no solo se incumple el deber sustancial del pago, sino que se compromete la finalidad misma de la retención en la fuente como fuente de recursos para el estado.</w:t>
      </w:r>
    </w:p>
    <w:p w14:paraId="321F3364" w14:textId="71725478" w:rsidR="00FD6BD7" w:rsidRPr="006177E4" w:rsidRDefault="00FD6BD7" w:rsidP="008C471E">
      <w:pPr>
        <w:pStyle w:val="PrrAPA"/>
      </w:pPr>
      <w:r w:rsidRPr="006177E4">
        <w:t xml:space="preserve">Así mismo, la </w:t>
      </w:r>
      <w:sdt>
        <w:sdtPr>
          <w:rPr>
            <w:color w:val="000000"/>
          </w:rPr>
          <w:tag w:val="MENDELEY_CITATION_v3_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J9LCJpc1RlbXBvcmFyeSI6ZmFsc2V9XX0="/>
          <w:id w:val="1871871059"/>
          <w:placeholder>
            <w:docPart w:val="DefaultPlaceholder_-1854013440"/>
          </w:placeholder>
        </w:sdtPr>
        <w:sdtEndPr/>
        <w:sdtContent>
          <w:r w:rsidR="009A1775" w:rsidRPr="006177E4">
            <w:rPr>
              <w:color w:val="000000"/>
            </w:rPr>
            <w:t xml:space="preserve">Sentencia C-883 </w:t>
          </w:r>
          <w:r w:rsidR="00D64F6E">
            <w:rPr>
              <w:color w:val="000000"/>
            </w:rPr>
            <w:t>(</w:t>
          </w:r>
          <w:r w:rsidR="009A1775" w:rsidRPr="006177E4">
            <w:rPr>
              <w:color w:val="000000"/>
            </w:rPr>
            <w:t>2011)</w:t>
          </w:r>
        </w:sdtContent>
      </w:sdt>
      <w:r w:rsidRPr="006177E4">
        <w:t>, reconoce al estado como legislador de la política tributaria, con amplia libertad y facultades para definir las condiciones para el recaudo efectivo de los tributos y avala la figura de la ineficacia como mecanismo que permita el recaudo oportuno.</w:t>
      </w:r>
    </w:p>
    <w:p w14:paraId="720347CF" w14:textId="08BA8ECE" w:rsidR="00FD6BD7" w:rsidRPr="006177E4" w:rsidRDefault="00FD6BD7" w:rsidP="008C471E">
      <w:pPr>
        <w:pStyle w:val="PrrAPA"/>
      </w:pPr>
      <w:r w:rsidRPr="006177E4">
        <w:t xml:space="preserve">Como una de las sentencias base, la </w:t>
      </w:r>
      <w:sdt>
        <w:sdtPr>
          <w:rPr>
            <w:color w:val="000000"/>
          </w:rPr>
          <w:tag w:val="MENDELEY_CITATION_v3_eyJjaXRhdGlvbklEIjoiTUVOREVMRVlfQ0lUQVRJT05fZGIwZGEzOWEtZGQxMy00ZTBjLTlkZTAtMDZmYTFlZGE3NTE4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758187924"/>
          <w:placeholder>
            <w:docPart w:val="DefaultPlaceholder_-1854013440"/>
          </w:placeholder>
        </w:sdtPr>
        <w:sdtEndPr/>
        <w:sdtContent>
          <w:r w:rsidR="009A1775" w:rsidRPr="006177E4">
            <w:rPr>
              <w:rFonts w:eastAsia="Times New Roman"/>
              <w:color w:val="000000"/>
            </w:rPr>
            <w:t xml:space="preserve">Sentencia C-102 </w:t>
          </w:r>
          <w:r w:rsidR="00D64F6E">
            <w:rPr>
              <w:rFonts w:eastAsia="Times New Roman"/>
              <w:color w:val="000000"/>
            </w:rPr>
            <w:t>(</w:t>
          </w:r>
          <w:r w:rsidR="009A1775" w:rsidRPr="006177E4">
            <w:rPr>
              <w:rFonts w:eastAsia="Times New Roman"/>
              <w:color w:val="000000"/>
            </w:rPr>
            <w:t>2015)</w:t>
          </w:r>
        </w:sdtContent>
      </w:sdt>
      <w:r w:rsidRPr="006177E4">
        <w:t>, declara exequible la figura de la condición del pago total para la eficacia de la declaración y aclara que la figura no corresponde una sanción en sí misma. Menciona que el mecanismo obedece a una condición para el adecuado cumplimiento de las obligaciones formales. La norma busca la eficiencia tributaria como eje rector al garantizar que la declaración solo produzca efectos cuando vaya acompañada de la entrega completa y oportuna de los recursos a la administración pública.</w:t>
      </w:r>
    </w:p>
    <w:p w14:paraId="02E6D128" w14:textId="0EA192A0" w:rsidR="00FD6BD7" w:rsidRPr="006177E4" w:rsidRDefault="00FD6BD7" w:rsidP="008C471E">
      <w:pPr>
        <w:pStyle w:val="PrrAPA"/>
      </w:pPr>
      <w:r w:rsidRPr="006177E4">
        <w:t>También, el Consejo de Estado, en el expediente 25000-23-27-000-2009-00075-01 (18304)</w:t>
      </w:r>
      <w:r w:rsidR="00553F51" w:rsidRPr="006177E4">
        <w:t xml:space="preserve"> </w:t>
      </w:r>
      <w:sdt>
        <w:sdtPr>
          <w:rPr>
            <w:color w:val="000000"/>
          </w:rPr>
          <w:tag w:val="MENDELEY_CITATION_v3_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"/>
          <w:id w:val="-1441760103"/>
          <w:placeholder>
            <w:docPart w:val="4D865D9501F1410A8F142484483AED4C"/>
          </w:placeholder>
        </w:sdtPr>
        <w:sdtEndPr/>
        <w:sdtContent>
          <w:r w:rsidR="009A1775" w:rsidRPr="006177E4">
            <w:rPr>
              <w:color w:val="000000"/>
            </w:rPr>
            <w:t>Giraldo</w:t>
          </w:r>
          <w:r w:rsidR="00D64F6E">
            <w:rPr>
              <w:color w:val="000000"/>
            </w:rPr>
            <w:t xml:space="preserve"> </w:t>
          </w:r>
          <w:r w:rsidR="009A1775" w:rsidRPr="006177E4">
            <w:rPr>
              <w:color w:val="000000"/>
            </w:rPr>
            <w:t>(2011)</w:t>
          </w:r>
        </w:sdtContent>
      </w:sdt>
      <w:r w:rsidRPr="006177E4">
        <w:t xml:space="preserve">, indica que el legislador no busca solo el recaudo de los dineros, sino que ingresen a tiempo. El presentar la declaración con pago, le da la oportunidad al Estado atender las obligaciones sociales, así mismo, evita la práctica abusiva de algunos agentes retenedores de financiar su operación con los dineros retenidos. </w:t>
      </w:r>
    </w:p>
    <w:p w14:paraId="6BF28FDE" w14:textId="77777777" w:rsidR="00FD6BD7" w:rsidRPr="006177E4" w:rsidRDefault="00FD6BD7" w:rsidP="008C471E">
      <w:pPr>
        <w:pStyle w:val="PrrAPA"/>
      </w:pPr>
      <w:r w:rsidRPr="006177E4">
        <w:t>En consecuencia, la teoría de la eficiencia tributaria ayuda a comprender que la figura de la ineficacia de las declaraciones de retención en la fuente busca la oportunidad en el pago y es un mecanismo para asegurar que esos recursos ingresen oportunamente a las arcas del Estado, con el agente retenedor ejerciendo una función pública. El fin es garantizar el traslado de los recursos y de reducir los costos asociados.</w:t>
      </w:r>
    </w:p>
    <w:p w14:paraId="5FA6689B" w14:textId="1DBA65D2" w:rsidR="00FD6BD7" w:rsidRPr="006177E4" w:rsidRDefault="00FD6BD7" w:rsidP="008C471E">
      <w:pPr>
        <w:pStyle w:val="PrrAPA"/>
      </w:pPr>
      <w:r w:rsidRPr="006177E4">
        <w:lastRenderedPageBreak/>
        <w:t>De este modo, para continuar con el desarrollo del objetivo, se tomó como guía la siguiente pregunta de investigación:</w:t>
      </w:r>
      <w:r w:rsidR="00D64F6E">
        <w:t xml:space="preserve"> </w:t>
      </w:r>
      <w:r w:rsidRPr="006177E4">
        <w:t>¿Cuáles son las principales causas legales y procedimentales que explican la ineficacia de las declaraciones de retención en la fuente en renta, y qué discusiones jurídicas y operativas se derivan de su aplicación?</w:t>
      </w:r>
    </w:p>
    <w:p w14:paraId="0E07F5DA" w14:textId="75FAE293" w:rsidR="00FD6BD7" w:rsidRPr="006177E4" w:rsidRDefault="00FD6BD7" w:rsidP="008C471E">
      <w:pPr>
        <w:pStyle w:val="PrrAPA"/>
      </w:pPr>
      <w:r w:rsidRPr="006177E4">
        <w:t>Metodológicamente, este objetivo se caracterizó por un análisis documental, que contribuyó con los siguientes apartados</w:t>
      </w:r>
      <w:r w:rsidR="00D64F6E">
        <w:t>.</w:t>
      </w:r>
    </w:p>
    <w:p w14:paraId="626F631E" w14:textId="77777777" w:rsidR="00FD6BD7" w:rsidRPr="006177E4" w:rsidRDefault="00FD6BD7" w:rsidP="00263B16">
      <w:pPr>
        <w:spacing w:line="480" w:lineRule="auto"/>
        <w:ind w:firstLine="454"/>
        <w:rPr>
          <w:rFonts w:cs="Times New Roman"/>
          <w:bCs/>
          <w:szCs w:val="24"/>
        </w:rPr>
      </w:pPr>
    </w:p>
    <w:p w14:paraId="663A5535" w14:textId="78E4D318" w:rsidR="00FD6BD7" w:rsidRPr="00D64F6E" w:rsidRDefault="00340E73" w:rsidP="00263B16">
      <w:pPr>
        <w:pStyle w:val="Ttulo3"/>
      </w:pPr>
      <w:r w:rsidRPr="00D64F6E">
        <w:t xml:space="preserve"> </w:t>
      </w:r>
      <w:bookmarkStart w:id="130" w:name="_Toc228250801"/>
      <w:bookmarkStart w:id="131" w:name="_Toc229077667"/>
      <w:r w:rsidR="00FD6BD7" w:rsidRPr="00D64F6E">
        <w:t>Hallazgos de la revisión documental</w:t>
      </w:r>
      <w:bookmarkEnd w:id="130"/>
      <w:bookmarkEnd w:id="131"/>
    </w:p>
    <w:p w14:paraId="66E3ADE4" w14:textId="5DC0D969" w:rsidR="00FD6BD7" w:rsidRPr="006177E4" w:rsidRDefault="00FD6BD7" w:rsidP="008C471E">
      <w:pPr>
        <w:pStyle w:val="PrrAPA"/>
      </w:pPr>
      <w:r w:rsidRPr="006177E4">
        <w:t>La matriz siguiente, corresponde a los documentos consultados y las discusiones presentadas, como insumo a la investigación, el cual sirve de antesala con las causas de las ineficacias</w:t>
      </w:r>
      <w:r w:rsidR="00D64F6E">
        <w:t>.</w:t>
      </w:r>
    </w:p>
    <w:p w14:paraId="4792E349" w14:textId="77777777" w:rsidR="00FD6BD7" w:rsidRPr="006177E4" w:rsidRDefault="00FD6BD7" w:rsidP="00263B16">
      <w:pPr>
        <w:spacing w:line="480" w:lineRule="auto"/>
        <w:rPr>
          <w:rFonts w:cs="Times New Roman"/>
          <w:bCs/>
          <w:szCs w:val="24"/>
        </w:rPr>
      </w:pPr>
    </w:p>
    <w:p w14:paraId="69265117" w14:textId="77777777" w:rsidR="00FD6BD7" w:rsidRPr="006177E4" w:rsidRDefault="00FD6BD7" w:rsidP="00263B16">
      <w:pPr>
        <w:spacing w:line="480" w:lineRule="auto"/>
        <w:ind w:left="454" w:right="454"/>
        <w:jc w:val="left"/>
        <w:rPr>
          <w:rFonts w:cs="Times New Roman"/>
          <w:bCs/>
          <w:szCs w:val="24"/>
        </w:rPr>
        <w:sectPr w:rsidR="00FD6BD7" w:rsidRPr="006177E4" w:rsidSect="00F913E9">
          <w:footerReference w:type="even" r:id="rId27"/>
          <w:footerReference w:type="default" r:id="rId28"/>
          <w:footerReference w:type="first" r:id="rId29"/>
          <w:pgSz w:w="12240" w:h="15840"/>
          <w:pgMar w:top="1440" w:right="1440" w:bottom="1440" w:left="1440" w:header="720" w:footer="720" w:gutter="0"/>
          <w:cols w:space="720"/>
          <w:docGrid w:linePitch="360"/>
        </w:sectPr>
      </w:pPr>
    </w:p>
    <w:p w14:paraId="56E1E7BA" w14:textId="77777777" w:rsidR="00F31EDC" w:rsidRDefault="00D64F6E" w:rsidP="00263B16">
      <w:pPr>
        <w:pStyle w:val="Descripcin"/>
        <w:spacing w:after="0" w:line="480" w:lineRule="auto"/>
        <w:rPr>
          <w:rFonts w:cs="Times New Roman"/>
          <w:b/>
          <w:bCs/>
          <w:i w:val="0"/>
          <w:iCs w:val="0"/>
          <w:szCs w:val="24"/>
        </w:rPr>
      </w:pPr>
      <w:bookmarkStart w:id="132" w:name="_Toc229077708"/>
      <w:r w:rsidRPr="00D64F6E">
        <w:rPr>
          <w:b/>
          <w:bCs/>
          <w:i w:val="0"/>
          <w:iCs w:val="0"/>
        </w:rPr>
        <w:lastRenderedPageBreak/>
        <w:t xml:space="preserve">Tabla </w:t>
      </w:r>
      <w:r w:rsidRPr="00D64F6E">
        <w:rPr>
          <w:b/>
          <w:bCs/>
          <w:i w:val="0"/>
          <w:iCs w:val="0"/>
        </w:rPr>
        <w:fldChar w:fldCharType="begin"/>
      </w:r>
      <w:r w:rsidRPr="00D64F6E">
        <w:rPr>
          <w:b/>
          <w:bCs/>
          <w:i w:val="0"/>
          <w:iCs w:val="0"/>
        </w:rPr>
        <w:instrText xml:space="preserve"> SEQ Tabla \* ARABIC </w:instrText>
      </w:r>
      <w:r w:rsidRPr="00D64F6E">
        <w:rPr>
          <w:b/>
          <w:bCs/>
          <w:i w:val="0"/>
          <w:iCs w:val="0"/>
        </w:rPr>
        <w:fldChar w:fldCharType="separate"/>
      </w:r>
      <w:r w:rsidRPr="00D64F6E">
        <w:rPr>
          <w:b/>
          <w:bCs/>
          <w:i w:val="0"/>
          <w:iCs w:val="0"/>
          <w:noProof/>
        </w:rPr>
        <w:t>9</w:t>
      </w:r>
      <w:r w:rsidRPr="00D64F6E">
        <w:rPr>
          <w:b/>
          <w:bCs/>
          <w:i w:val="0"/>
          <w:iCs w:val="0"/>
        </w:rPr>
        <w:fldChar w:fldCharType="end"/>
      </w:r>
      <w:r>
        <w:rPr>
          <w:rFonts w:cs="Times New Roman"/>
          <w:b/>
          <w:bCs/>
          <w:i w:val="0"/>
          <w:iCs w:val="0"/>
          <w:szCs w:val="24"/>
        </w:rPr>
        <w:t xml:space="preserve"> </w:t>
      </w:r>
    </w:p>
    <w:p w14:paraId="7E01DCEF" w14:textId="437411F6" w:rsidR="00FD6BD7" w:rsidRPr="00D64F6E" w:rsidRDefault="00FD6BD7" w:rsidP="00263B16">
      <w:pPr>
        <w:pStyle w:val="Descripcin"/>
        <w:spacing w:after="0" w:line="480" w:lineRule="auto"/>
        <w:rPr>
          <w:rFonts w:cs="Times New Roman"/>
          <w:b/>
          <w:bCs/>
          <w:i w:val="0"/>
          <w:iCs w:val="0"/>
          <w:szCs w:val="24"/>
        </w:rPr>
      </w:pPr>
      <w:r w:rsidRPr="006177E4">
        <w:rPr>
          <w:rFonts w:cs="Times New Roman"/>
          <w:bCs/>
          <w:szCs w:val="24"/>
        </w:rPr>
        <w:t>Matriz que resume las discusiones de las fuentes consultadas</w:t>
      </w:r>
      <w:bookmarkEnd w:id="132"/>
    </w:p>
    <w:tbl>
      <w:tblPr>
        <w:tblStyle w:val="Tablaconcuadrculaclar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57"/>
        <w:gridCol w:w="2276"/>
        <w:gridCol w:w="696"/>
        <w:gridCol w:w="2020"/>
        <w:gridCol w:w="2450"/>
        <w:gridCol w:w="2175"/>
        <w:gridCol w:w="1686"/>
      </w:tblGrid>
      <w:tr w:rsidR="00FD6BD7" w:rsidRPr="006177E4" w14:paraId="71F15A96" w14:textId="77777777" w:rsidTr="00D64F6E">
        <w:trPr>
          <w:trHeight w:val="540"/>
        </w:trPr>
        <w:tc>
          <w:tcPr>
            <w:tcW w:w="0" w:type="auto"/>
            <w:hideMark/>
          </w:tcPr>
          <w:p w14:paraId="2885A726" w14:textId="77777777" w:rsidR="00FD6BD7" w:rsidRPr="006177E4" w:rsidRDefault="00FD6BD7" w:rsidP="00263B16">
            <w:pPr>
              <w:spacing w:line="480" w:lineRule="auto"/>
              <w:jc w:val="center"/>
              <w:rPr>
                <w:rFonts w:eastAsia="Times New Roman" w:cs="Times New Roman"/>
                <w:b/>
                <w:bCs/>
                <w:szCs w:val="24"/>
                <w:lang w:val="en-US"/>
              </w:rPr>
            </w:pPr>
            <w:r w:rsidRPr="006177E4">
              <w:rPr>
                <w:rFonts w:eastAsia="Times New Roman" w:cs="Times New Roman"/>
                <w:b/>
                <w:bCs/>
                <w:szCs w:val="24"/>
                <w:lang w:val="en-US"/>
              </w:rPr>
              <w:t xml:space="preserve">Tipo de </w:t>
            </w:r>
            <w:proofErr w:type="spellStart"/>
            <w:r w:rsidRPr="006177E4">
              <w:rPr>
                <w:rFonts w:eastAsia="Times New Roman" w:cs="Times New Roman"/>
                <w:b/>
                <w:bCs/>
                <w:szCs w:val="24"/>
                <w:lang w:val="en-US"/>
              </w:rPr>
              <w:t>fuente</w:t>
            </w:r>
            <w:proofErr w:type="spellEnd"/>
          </w:p>
        </w:tc>
        <w:tc>
          <w:tcPr>
            <w:tcW w:w="0" w:type="auto"/>
            <w:hideMark/>
          </w:tcPr>
          <w:p w14:paraId="2A6A2D0E" w14:textId="77777777" w:rsidR="00FD6BD7" w:rsidRPr="006177E4" w:rsidRDefault="00FD6BD7"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Título</w:t>
            </w:r>
            <w:proofErr w:type="spellEnd"/>
            <w:r w:rsidRPr="006177E4">
              <w:rPr>
                <w:rFonts w:eastAsia="Times New Roman" w:cs="Times New Roman"/>
                <w:b/>
                <w:bCs/>
                <w:szCs w:val="24"/>
                <w:lang w:val="en-US"/>
              </w:rPr>
              <w:t xml:space="preserve"> de la </w:t>
            </w:r>
            <w:proofErr w:type="spellStart"/>
            <w:r w:rsidRPr="006177E4">
              <w:rPr>
                <w:rFonts w:eastAsia="Times New Roman" w:cs="Times New Roman"/>
                <w:b/>
                <w:bCs/>
                <w:szCs w:val="24"/>
                <w:lang w:val="en-US"/>
              </w:rPr>
              <w:t>fuente</w:t>
            </w:r>
            <w:proofErr w:type="spellEnd"/>
          </w:p>
        </w:tc>
        <w:tc>
          <w:tcPr>
            <w:tcW w:w="0" w:type="auto"/>
            <w:hideMark/>
          </w:tcPr>
          <w:p w14:paraId="464F3A2B" w14:textId="77777777" w:rsidR="00FD6BD7" w:rsidRPr="006177E4" w:rsidRDefault="00FD6BD7"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Año</w:t>
            </w:r>
            <w:proofErr w:type="spellEnd"/>
          </w:p>
        </w:tc>
        <w:tc>
          <w:tcPr>
            <w:tcW w:w="0" w:type="auto"/>
            <w:hideMark/>
          </w:tcPr>
          <w:p w14:paraId="6877536B" w14:textId="77777777" w:rsidR="00FD6BD7" w:rsidRPr="006177E4" w:rsidRDefault="00FD6BD7" w:rsidP="00263B16">
            <w:pPr>
              <w:spacing w:line="480" w:lineRule="auto"/>
              <w:jc w:val="center"/>
              <w:rPr>
                <w:rFonts w:eastAsia="Times New Roman" w:cs="Times New Roman"/>
                <w:b/>
                <w:bCs/>
                <w:szCs w:val="24"/>
                <w:lang w:val="en-US"/>
              </w:rPr>
            </w:pPr>
            <w:r w:rsidRPr="006177E4">
              <w:rPr>
                <w:rFonts w:eastAsia="Times New Roman" w:cs="Times New Roman"/>
                <w:b/>
                <w:bCs/>
                <w:szCs w:val="24"/>
                <w:lang w:val="en-US"/>
              </w:rPr>
              <w:t xml:space="preserve">Causa </w:t>
            </w:r>
          </w:p>
        </w:tc>
        <w:tc>
          <w:tcPr>
            <w:tcW w:w="0" w:type="auto"/>
            <w:hideMark/>
          </w:tcPr>
          <w:p w14:paraId="44C81ADE" w14:textId="77777777" w:rsidR="00FD6BD7" w:rsidRPr="006177E4" w:rsidRDefault="00FD6BD7"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Descripción</w:t>
            </w:r>
            <w:proofErr w:type="spellEnd"/>
            <w:r w:rsidRPr="006177E4">
              <w:rPr>
                <w:rFonts w:eastAsia="Times New Roman" w:cs="Times New Roman"/>
                <w:b/>
                <w:bCs/>
                <w:szCs w:val="24"/>
                <w:lang w:val="en-US"/>
              </w:rPr>
              <w:t xml:space="preserve"> </w:t>
            </w:r>
          </w:p>
        </w:tc>
        <w:tc>
          <w:tcPr>
            <w:tcW w:w="0" w:type="auto"/>
            <w:hideMark/>
          </w:tcPr>
          <w:p w14:paraId="4BBB9F2C" w14:textId="77777777" w:rsidR="00FD6BD7" w:rsidRPr="006177E4" w:rsidRDefault="00FD6BD7" w:rsidP="00263B16">
            <w:pPr>
              <w:spacing w:line="480" w:lineRule="auto"/>
              <w:jc w:val="center"/>
              <w:rPr>
                <w:rFonts w:eastAsia="Times New Roman" w:cs="Times New Roman"/>
                <w:b/>
                <w:bCs/>
                <w:szCs w:val="24"/>
                <w:lang w:val="en-US"/>
              </w:rPr>
            </w:pPr>
            <w:proofErr w:type="spellStart"/>
            <w:r w:rsidRPr="006177E4">
              <w:rPr>
                <w:rFonts w:eastAsia="Times New Roman" w:cs="Times New Roman"/>
                <w:b/>
                <w:bCs/>
                <w:szCs w:val="24"/>
                <w:lang w:val="en-US"/>
              </w:rPr>
              <w:t>Discusión</w:t>
            </w:r>
            <w:proofErr w:type="spellEnd"/>
            <w:r w:rsidRPr="006177E4">
              <w:rPr>
                <w:rFonts w:eastAsia="Times New Roman" w:cs="Times New Roman"/>
                <w:b/>
                <w:bCs/>
                <w:szCs w:val="24"/>
                <w:lang w:val="en-US"/>
              </w:rPr>
              <w:t xml:space="preserve"> </w:t>
            </w:r>
          </w:p>
        </w:tc>
        <w:tc>
          <w:tcPr>
            <w:tcW w:w="0" w:type="auto"/>
            <w:hideMark/>
          </w:tcPr>
          <w:p w14:paraId="77D643BB" w14:textId="77777777" w:rsidR="00FD6BD7" w:rsidRPr="006177E4" w:rsidRDefault="00FD6BD7" w:rsidP="00263B16">
            <w:pPr>
              <w:spacing w:line="480" w:lineRule="auto"/>
              <w:jc w:val="center"/>
              <w:rPr>
                <w:rFonts w:eastAsia="Times New Roman" w:cs="Times New Roman"/>
                <w:b/>
                <w:bCs/>
                <w:szCs w:val="24"/>
                <w:lang w:val="en-US"/>
              </w:rPr>
            </w:pPr>
            <w:r w:rsidRPr="006177E4">
              <w:rPr>
                <w:rFonts w:eastAsia="Times New Roman" w:cs="Times New Roman"/>
                <w:b/>
                <w:bCs/>
                <w:szCs w:val="24"/>
                <w:lang w:val="en-US"/>
              </w:rPr>
              <w:t xml:space="preserve">Autor </w:t>
            </w:r>
          </w:p>
        </w:tc>
      </w:tr>
      <w:tr w:rsidR="00FD6BD7" w:rsidRPr="006177E4" w14:paraId="6564C763" w14:textId="77777777" w:rsidTr="00D64F6E">
        <w:trPr>
          <w:trHeight w:val="1696"/>
        </w:trPr>
        <w:tc>
          <w:tcPr>
            <w:tcW w:w="0" w:type="auto"/>
            <w:hideMark/>
          </w:tcPr>
          <w:p w14:paraId="532D1DDC" w14:textId="77777777" w:rsidR="00FD6BD7" w:rsidRPr="006177E4" w:rsidRDefault="00FD6BD7" w:rsidP="00263B16">
            <w:pPr>
              <w:spacing w:line="480" w:lineRule="auto"/>
              <w:rPr>
                <w:rFonts w:eastAsia="Times New Roman" w:cs="Times New Roman"/>
                <w:color w:val="000000"/>
                <w:szCs w:val="24"/>
                <w:lang w:val="en-US"/>
              </w:rPr>
            </w:pPr>
            <w:proofErr w:type="spellStart"/>
            <w:r w:rsidRPr="006177E4">
              <w:rPr>
                <w:rFonts w:eastAsia="Times New Roman" w:cs="Times New Roman"/>
                <w:color w:val="000000"/>
                <w:szCs w:val="24"/>
                <w:lang w:val="en-US"/>
              </w:rPr>
              <w:t>Normativa</w:t>
            </w:r>
            <w:proofErr w:type="spellEnd"/>
          </w:p>
        </w:tc>
        <w:tc>
          <w:tcPr>
            <w:tcW w:w="0" w:type="auto"/>
            <w:hideMark/>
          </w:tcPr>
          <w:p w14:paraId="04DF5405" w14:textId="77777777" w:rsidR="00FD6BD7" w:rsidRPr="006177E4" w:rsidRDefault="00FD6BD7" w:rsidP="00263B16">
            <w:pPr>
              <w:spacing w:line="480" w:lineRule="auto"/>
              <w:rPr>
                <w:rFonts w:eastAsia="Times New Roman" w:cs="Times New Roman"/>
                <w:color w:val="000000"/>
                <w:szCs w:val="24"/>
                <w:lang w:val="en-US"/>
              </w:rPr>
            </w:pP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580-1 del </w:t>
            </w:r>
            <w:proofErr w:type="spellStart"/>
            <w:r w:rsidRPr="006177E4">
              <w:rPr>
                <w:rFonts w:eastAsia="Times New Roman" w:cs="Times New Roman"/>
                <w:color w:val="000000"/>
                <w:szCs w:val="24"/>
                <w:lang w:val="en-US"/>
              </w:rPr>
              <w:t>Estatuto</w:t>
            </w:r>
            <w:proofErr w:type="spellEnd"/>
            <w:r w:rsidRPr="006177E4">
              <w:rPr>
                <w:rFonts w:eastAsia="Times New Roman" w:cs="Times New Roman"/>
                <w:color w:val="000000"/>
                <w:szCs w:val="24"/>
                <w:lang w:val="en-US"/>
              </w:rPr>
              <w:t xml:space="preserve"> </w:t>
            </w:r>
            <w:proofErr w:type="spellStart"/>
            <w:r w:rsidRPr="006177E4">
              <w:rPr>
                <w:rFonts w:eastAsia="Times New Roman" w:cs="Times New Roman"/>
                <w:color w:val="000000"/>
                <w:szCs w:val="24"/>
                <w:lang w:val="en-US"/>
              </w:rPr>
              <w:t>Tributario</w:t>
            </w:r>
            <w:proofErr w:type="spellEnd"/>
          </w:p>
        </w:tc>
        <w:tc>
          <w:tcPr>
            <w:tcW w:w="0" w:type="auto"/>
            <w:hideMark/>
          </w:tcPr>
          <w:p w14:paraId="06A70828" w14:textId="77777777" w:rsidR="00FD6BD7" w:rsidRPr="006177E4" w:rsidRDefault="00FD6BD7" w:rsidP="00263B16">
            <w:pPr>
              <w:spacing w:line="480" w:lineRule="auto"/>
              <w:rPr>
                <w:rFonts w:eastAsia="Times New Roman" w:cs="Times New Roman"/>
                <w:color w:val="000000"/>
                <w:szCs w:val="24"/>
                <w:lang w:val="en-US"/>
              </w:rPr>
            </w:pPr>
            <w:r w:rsidRPr="006177E4">
              <w:rPr>
                <w:rFonts w:eastAsia="Times New Roman" w:cs="Times New Roman"/>
                <w:color w:val="000000"/>
                <w:szCs w:val="24"/>
                <w:lang w:val="en-US"/>
              </w:rPr>
              <w:t>2010</w:t>
            </w:r>
          </w:p>
        </w:tc>
        <w:tc>
          <w:tcPr>
            <w:tcW w:w="0" w:type="auto"/>
            <w:hideMark/>
          </w:tcPr>
          <w:p w14:paraId="50F08CD2" w14:textId="77777777" w:rsidR="00FD6BD7" w:rsidRPr="006177E4" w:rsidRDefault="00FD6BD7" w:rsidP="00263B16">
            <w:pPr>
              <w:spacing w:line="480" w:lineRule="auto"/>
              <w:rPr>
                <w:rFonts w:eastAsia="Times New Roman" w:cs="Times New Roman"/>
                <w:color w:val="000000"/>
                <w:szCs w:val="24"/>
              </w:rPr>
            </w:pPr>
            <w:r w:rsidRPr="006177E4">
              <w:rPr>
                <w:rFonts w:eastAsia="Times New Roman" w:cs="Times New Roman"/>
                <w:color w:val="000000"/>
                <w:szCs w:val="24"/>
              </w:rPr>
              <w:t>Exigencia legal de pago total dentro del plazo</w:t>
            </w:r>
          </w:p>
        </w:tc>
        <w:tc>
          <w:tcPr>
            <w:tcW w:w="0" w:type="auto"/>
            <w:hideMark/>
          </w:tcPr>
          <w:p w14:paraId="37572729" w14:textId="77777777" w:rsidR="00FD6BD7" w:rsidRPr="006177E4" w:rsidRDefault="00FD6BD7" w:rsidP="00263B16">
            <w:pPr>
              <w:spacing w:line="480" w:lineRule="auto"/>
              <w:rPr>
                <w:rFonts w:eastAsia="Times New Roman" w:cs="Times New Roman"/>
                <w:color w:val="000000"/>
                <w:szCs w:val="24"/>
              </w:rPr>
            </w:pPr>
            <w:r w:rsidRPr="006177E4">
              <w:rPr>
                <w:rFonts w:eastAsia="Times New Roman" w:cs="Times New Roman"/>
                <w:color w:val="000000"/>
                <w:szCs w:val="24"/>
              </w:rPr>
              <w:t>El artículo 580-1 del Estatuto Tributario estableció que la declaración de retención en la fuente presentada sin pago total dentro del plazo legal no produce efectos jurídicos.</w:t>
            </w:r>
          </w:p>
        </w:tc>
        <w:tc>
          <w:tcPr>
            <w:tcW w:w="0" w:type="auto"/>
            <w:hideMark/>
          </w:tcPr>
          <w:p w14:paraId="258625B0" w14:textId="77777777" w:rsidR="00FD6BD7" w:rsidRPr="006177E4" w:rsidRDefault="00FD6BD7" w:rsidP="00263B16">
            <w:pPr>
              <w:spacing w:line="480" w:lineRule="auto"/>
              <w:rPr>
                <w:rFonts w:eastAsia="Times New Roman" w:cs="Times New Roman"/>
                <w:color w:val="000000"/>
                <w:szCs w:val="24"/>
              </w:rPr>
            </w:pPr>
            <w:r w:rsidRPr="006177E4">
              <w:rPr>
                <w:rFonts w:eastAsia="Times New Roman" w:cs="Times New Roman"/>
                <w:color w:val="000000"/>
                <w:szCs w:val="24"/>
              </w:rPr>
              <w:t>Constituye la causa jurídica inmediata de la ineficacia y el núcleo normativo del fenómeno.</w:t>
            </w:r>
          </w:p>
        </w:tc>
        <w:tc>
          <w:tcPr>
            <w:tcW w:w="0" w:type="auto"/>
            <w:hideMark/>
          </w:tcPr>
          <w:p w14:paraId="2660A9F4" w14:textId="77777777" w:rsidR="00FD6BD7" w:rsidRPr="006177E4" w:rsidRDefault="00FD6BD7" w:rsidP="00263B16">
            <w:pPr>
              <w:spacing w:line="480" w:lineRule="auto"/>
              <w:rPr>
                <w:rFonts w:eastAsia="Times New Roman" w:cs="Times New Roman"/>
                <w:color w:val="000000"/>
                <w:szCs w:val="24"/>
              </w:rPr>
            </w:pPr>
            <w:r w:rsidRPr="006177E4">
              <w:rPr>
                <w:rFonts w:eastAsia="Times New Roman" w:cs="Times New Roman"/>
                <w:color w:val="000000"/>
                <w:szCs w:val="24"/>
              </w:rPr>
              <w:t>Congreso de la República de Colombia</w:t>
            </w:r>
          </w:p>
        </w:tc>
      </w:tr>
      <w:tr w:rsidR="00FD6BD7" w:rsidRPr="006177E4" w14:paraId="04652690" w14:textId="77777777" w:rsidTr="00D64F6E">
        <w:trPr>
          <w:trHeight w:val="2916"/>
        </w:trPr>
        <w:tc>
          <w:tcPr>
            <w:tcW w:w="0" w:type="auto"/>
            <w:hideMark/>
          </w:tcPr>
          <w:p w14:paraId="66420152"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Normativa</w:t>
            </w:r>
            <w:proofErr w:type="spellEnd"/>
          </w:p>
        </w:tc>
        <w:tc>
          <w:tcPr>
            <w:tcW w:w="0" w:type="auto"/>
            <w:hideMark/>
          </w:tcPr>
          <w:p w14:paraId="0D399743"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C-102 de 2015</w:t>
            </w:r>
          </w:p>
        </w:tc>
        <w:tc>
          <w:tcPr>
            <w:tcW w:w="0" w:type="auto"/>
            <w:hideMark/>
          </w:tcPr>
          <w:p w14:paraId="756C8B1A"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2015</w:t>
            </w:r>
          </w:p>
        </w:tc>
        <w:tc>
          <w:tcPr>
            <w:tcW w:w="0" w:type="auto"/>
            <w:hideMark/>
          </w:tcPr>
          <w:p w14:paraId="60215343"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Configuración automática de la ineficacia</w:t>
            </w:r>
          </w:p>
        </w:tc>
        <w:tc>
          <w:tcPr>
            <w:tcW w:w="0" w:type="auto"/>
            <w:hideMark/>
          </w:tcPr>
          <w:p w14:paraId="7984240D"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disposición previó que la pérdida de efectos opera por ministerio de la ley, sin requerir acto administrativo declarativo.</w:t>
            </w:r>
          </w:p>
        </w:tc>
        <w:tc>
          <w:tcPr>
            <w:tcW w:w="0" w:type="auto"/>
            <w:hideMark/>
          </w:tcPr>
          <w:p w14:paraId="5D680A72"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Genera rigidez en el cumplimiento y eleva el riesgo de ineficacia ante cualquier incumplimiento del pago total.</w:t>
            </w:r>
          </w:p>
        </w:tc>
        <w:tc>
          <w:tcPr>
            <w:tcW w:w="0" w:type="auto"/>
            <w:hideMark/>
          </w:tcPr>
          <w:p w14:paraId="7B659DD6"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 xml:space="preserve">Corte </w:t>
            </w:r>
            <w:proofErr w:type="spellStart"/>
            <w:r w:rsidRPr="006177E4">
              <w:rPr>
                <w:rFonts w:eastAsia="Times New Roman" w:cs="Times New Roman"/>
                <w:color w:val="000000"/>
                <w:szCs w:val="24"/>
                <w:lang w:val="en-US"/>
              </w:rPr>
              <w:t>Constitucional</w:t>
            </w:r>
            <w:proofErr w:type="spellEnd"/>
          </w:p>
        </w:tc>
      </w:tr>
      <w:tr w:rsidR="00FD6BD7" w:rsidRPr="006177E4" w14:paraId="7123CD04" w14:textId="77777777" w:rsidTr="00D64F6E">
        <w:trPr>
          <w:trHeight w:val="3708"/>
        </w:trPr>
        <w:tc>
          <w:tcPr>
            <w:tcW w:w="0" w:type="auto"/>
            <w:hideMark/>
          </w:tcPr>
          <w:p w14:paraId="378513B1"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Normativa</w:t>
            </w:r>
            <w:proofErr w:type="spellEnd"/>
          </w:p>
        </w:tc>
        <w:tc>
          <w:tcPr>
            <w:tcW w:w="0" w:type="auto"/>
            <w:hideMark/>
          </w:tcPr>
          <w:p w14:paraId="07513BAE"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11001-03-27-000-2020-00027-00 (25406)</w:t>
            </w:r>
          </w:p>
        </w:tc>
        <w:tc>
          <w:tcPr>
            <w:tcW w:w="0" w:type="auto"/>
            <w:hideMark/>
          </w:tcPr>
          <w:p w14:paraId="526B3589"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75F1B2DD"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Reserva de ley y carácter excepcional de la figura</w:t>
            </w:r>
          </w:p>
        </w:tc>
        <w:tc>
          <w:tcPr>
            <w:tcW w:w="0" w:type="auto"/>
            <w:hideMark/>
          </w:tcPr>
          <w:p w14:paraId="5467D047"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ineficacia es una consecuencia legal de interpretación estricta y no puede ampliarse por vía reglamentaria a supuestos no previstos expresamente.</w:t>
            </w:r>
          </w:p>
        </w:tc>
        <w:tc>
          <w:tcPr>
            <w:tcW w:w="0" w:type="auto"/>
            <w:hideMark/>
          </w:tcPr>
          <w:p w14:paraId="2DAE27B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Refuerza la necesidad de leer la figura solo desde sus causales legales, sin extensiones analógicas.</w:t>
            </w:r>
          </w:p>
        </w:tc>
        <w:tc>
          <w:tcPr>
            <w:tcW w:w="0" w:type="auto"/>
            <w:hideMark/>
          </w:tcPr>
          <w:p w14:paraId="0D36248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Consejo de Estado, Sección Cuarta</w:t>
            </w:r>
          </w:p>
        </w:tc>
      </w:tr>
      <w:tr w:rsidR="00FD6BD7" w:rsidRPr="006177E4" w14:paraId="7FF4A691" w14:textId="77777777" w:rsidTr="00D64F6E">
        <w:trPr>
          <w:trHeight w:val="2400"/>
        </w:trPr>
        <w:tc>
          <w:tcPr>
            <w:tcW w:w="0" w:type="auto"/>
            <w:hideMark/>
          </w:tcPr>
          <w:p w14:paraId="057D1655"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Normativa</w:t>
            </w:r>
            <w:proofErr w:type="spellEnd"/>
          </w:p>
        </w:tc>
        <w:tc>
          <w:tcPr>
            <w:tcW w:w="0" w:type="auto"/>
            <w:hideMark/>
          </w:tcPr>
          <w:p w14:paraId="2ACE625E"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C-883 de 2011</w:t>
            </w:r>
          </w:p>
        </w:tc>
        <w:tc>
          <w:tcPr>
            <w:tcW w:w="0" w:type="auto"/>
            <w:hideMark/>
          </w:tcPr>
          <w:p w14:paraId="4AA07F6C"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2011</w:t>
            </w:r>
          </w:p>
        </w:tc>
        <w:tc>
          <w:tcPr>
            <w:tcW w:w="0" w:type="auto"/>
            <w:hideMark/>
          </w:tcPr>
          <w:p w14:paraId="0A4532D2"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Excepción restrictiva por saldos a favor compensables</w:t>
            </w:r>
          </w:p>
        </w:tc>
        <w:tc>
          <w:tcPr>
            <w:tcW w:w="0" w:type="auto"/>
            <w:hideMark/>
          </w:tcPr>
          <w:p w14:paraId="1BBB5AF0"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jurisprudencia constitucional reconoció una excepción legal a la regla general de ineficacia cuando existen saldos a favor susceptibles de compensación bajo las condiciones establecidas por la ley.</w:t>
            </w:r>
          </w:p>
        </w:tc>
        <w:tc>
          <w:tcPr>
            <w:tcW w:w="0" w:type="auto"/>
            <w:hideMark/>
          </w:tcPr>
          <w:p w14:paraId="7D9C68F3"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Muestra que la regla de ineficacia admite supuestos excepcionales y confirma su interpretación restrictiva.</w:t>
            </w:r>
          </w:p>
        </w:tc>
        <w:tc>
          <w:tcPr>
            <w:tcW w:w="0" w:type="auto"/>
            <w:hideMark/>
          </w:tcPr>
          <w:p w14:paraId="74732238"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 xml:space="preserve">Corte </w:t>
            </w:r>
            <w:proofErr w:type="spellStart"/>
            <w:r w:rsidRPr="006177E4">
              <w:rPr>
                <w:rFonts w:eastAsia="Times New Roman" w:cs="Times New Roman"/>
                <w:color w:val="000000"/>
                <w:szCs w:val="24"/>
                <w:lang w:val="en-US"/>
              </w:rPr>
              <w:t>Constitucional</w:t>
            </w:r>
            <w:proofErr w:type="spellEnd"/>
          </w:p>
        </w:tc>
      </w:tr>
      <w:tr w:rsidR="00FD6BD7" w:rsidRPr="006177E4" w14:paraId="5E00A256" w14:textId="77777777" w:rsidTr="00D64F6E">
        <w:trPr>
          <w:trHeight w:val="1399"/>
        </w:trPr>
        <w:tc>
          <w:tcPr>
            <w:tcW w:w="0" w:type="auto"/>
            <w:hideMark/>
          </w:tcPr>
          <w:p w14:paraId="67A6FBFD"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Normativa</w:t>
            </w:r>
            <w:proofErr w:type="spellEnd"/>
          </w:p>
        </w:tc>
        <w:tc>
          <w:tcPr>
            <w:tcW w:w="0" w:type="auto"/>
            <w:hideMark/>
          </w:tcPr>
          <w:p w14:paraId="0C1E07BC"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 xml:space="preserve">Ley 2277 de 2022, </w:t>
            </w:r>
            <w:proofErr w:type="spellStart"/>
            <w:r w:rsidRPr="006177E4">
              <w:rPr>
                <w:rFonts w:eastAsia="Times New Roman" w:cs="Times New Roman"/>
                <w:color w:val="000000"/>
                <w:szCs w:val="24"/>
                <w:lang w:val="en-US"/>
              </w:rPr>
              <w:t>artículo</w:t>
            </w:r>
            <w:proofErr w:type="spellEnd"/>
            <w:r w:rsidRPr="006177E4">
              <w:rPr>
                <w:rFonts w:eastAsia="Times New Roman" w:cs="Times New Roman"/>
                <w:color w:val="000000"/>
                <w:szCs w:val="24"/>
                <w:lang w:val="en-US"/>
              </w:rPr>
              <w:t xml:space="preserve"> 78</w:t>
            </w:r>
          </w:p>
        </w:tc>
        <w:tc>
          <w:tcPr>
            <w:tcW w:w="0" w:type="auto"/>
            <w:hideMark/>
          </w:tcPr>
          <w:p w14:paraId="771B5D35"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2022</w:t>
            </w:r>
          </w:p>
        </w:tc>
        <w:tc>
          <w:tcPr>
            <w:tcW w:w="0" w:type="auto"/>
            <w:hideMark/>
          </w:tcPr>
          <w:p w14:paraId="6FD3B702"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Modulación por mínima cuantía hasta 10 UVT</w:t>
            </w:r>
          </w:p>
        </w:tc>
        <w:tc>
          <w:tcPr>
            <w:tcW w:w="0" w:type="auto"/>
            <w:hideMark/>
          </w:tcPr>
          <w:p w14:paraId="2820B234"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La Ley 2277 de 2022 introdujo una excepción para declaraciones con saldo dejado de pagar </w:t>
            </w:r>
            <w:r w:rsidRPr="006177E4">
              <w:rPr>
                <w:rFonts w:eastAsia="Times New Roman" w:cs="Times New Roman"/>
                <w:color w:val="000000"/>
                <w:szCs w:val="24"/>
              </w:rPr>
              <w:lastRenderedPageBreak/>
              <w:t>no superior a 10 UVT, siempre que se pague dentro del año siguiente.</w:t>
            </w:r>
          </w:p>
        </w:tc>
        <w:tc>
          <w:tcPr>
            <w:tcW w:w="0" w:type="auto"/>
            <w:hideMark/>
          </w:tcPr>
          <w:p w14:paraId="09612CB7"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Evidencia que el legislador reconoció la necesidad de modular la severidad del </w:t>
            </w:r>
            <w:r w:rsidRPr="006177E4">
              <w:rPr>
                <w:rFonts w:eastAsia="Times New Roman" w:cs="Times New Roman"/>
                <w:color w:val="000000"/>
                <w:szCs w:val="24"/>
              </w:rPr>
              <w:lastRenderedPageBreak/>
              <w:t>régimen para contingencias de mínima cuantía.</w:t>
            </w:r>
          </w:p>
        </w:tc>
        <w:tc>
          <w:tcPr>
            <w:tcW w:w="0" w:type="auto"/>
            <w:hideMark/>
          </w:tcPr>
          <w:p w14:paraId="6FFD2851"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Congreso de la República de Colombia</w:t>
            </w:r>
          </w:p>
        </w:tc>
      </w:tr>
      <w:tr w:rsidR="00FD6BD7" w:rsidRPr="006177E4" w14:paraId="4BF0C230" w14:textId="77777777" w:rsidTr="00D64F6E">
        <w:trPr>
          <w:trHeight w:val="841"/>
        </w:trPr>
        <w:tc>
          <w:tcPr>
            <w:tcW w:w="0" w:type="auto"/>
            <w:hideMark/>
          </w:tcPr>
          <w:p w14:paraId="5960A145"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Procedimental</w:t>
            </w:r>
            <w:proofErr w:type="spellEnd"/>
          </w:p>
        </w:tc>
        <w:tc>
          <w:tcPr>
            <w:tcW w:w="0" w:type="auto"/>
            <w:hideMark/>
          </w:tcPr>
          <w:p w14:paraId="6B17C0B6"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905545 de 2021</w:t>
            </w:r>
          </w:p>
        </w:tc>
        <w:tc>
          <w:tcPr>
            <w:tcW w:w="0" w:type="auto"/>
            <w:hideMark/>
          </w:tcPr>
          <w:p w14:paraId="0948EE7F"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4DF232A9"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Imposibilidad de corregir la declaración ineficaz</w:t>
            </w:r>
          </w:p>
        </w:tc>
        <w:tc>
          <w:tcPr>
            <w:tcW w:w="0" w:type="auto"/>
            <w:hideMark/>
          </w:tcPr>
          <w:p w14:paraId="5F8E63E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DIAN precisó que una declaración ineficaz no puede ser objeto de corrección; debe presentarse nuevamente con pago total.</w:t>
            </w:r>
          </w:p>
        </w:tc>
        <w:tc>
          <w:tcPr>
            <w:tcW w:w="0" w:type="auto"/>
            <w:hideMark/>
          </w:tcPr>
          <w:p w14:paraId="749B349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Aumenta la carga procedimental y puede agravar el incumplimiento por desconocimiento del trámite correcto.</w:t>
            </w:r>
          </w:p>
        </w:tc>
        <w:tc>
          <w:tcPr>
            <w:tcW w:w="0" w:type="auto"/>
            <w:hideMark/>
          </w:tcPr>
          <w:p w14:paraId="013E3E82"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DIAN</w:t>
            </w:r>
          </w:p>
        </w:tc>
      </w:tr>
      <w:tr w:rsidR="00FD6BD7" w:rsidRPr="006177E4" w14:paraId="28FD3AAF" w14:textId="77777777" w:rsidTr="00D64F6E">
        <w:trPr>
          <w:trHeight w:val="3180"/>
        </w:trPr>
        <w:tc>
          <w:tcPr>
            <w:tcW w:w="0" w:type="auto"/>
            <w:hideMark/>
          </w:tcPr>
          <w:p w14:paraId="6E5697C8"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Procedimental</w:t>
            </w:r>
            <w:proofErr w:type="spellEnd"/>
          </w:p>
        </w:tc>
        <w:tc>
          <w:tcPr>
            <w:tcW w:w="0" w:type="auto"/>
            <w:hideMark/>
          </w:tcPr>
          <w:p w14:paraId="0B09D1FD"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905545 de 2021</w:t>
            </w:r>
          </w:p>
        </w:tc>
        <w:tc>
          <w:tcPr>
            <w:tcW w:w="0" w:type="auto"/>
            <w:hideMark/>
          </w:tcPr>
          <w:p w14:paraId="12C993FB"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5A3EB91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Necesidad de nueva presentación con sanción e intereses</w:t>
            </w:r>
          </w:p>
        </w:tc>
        <w:tc>
          <w:tcPr>
            <w:tcW w:w="0" w:type="auto"/>
            <w:hideMark/>
          </w:tcPr>
          <w:p w14:paraId="334F3D9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Para subsanar la ineficacia debe presentarse una nueva declaración, liquidar sanción por </w:t>
            </w:r>
            <w:r w:rsidRPr="006177E4">
              <w:rPr>
                <w:rFonts w:eastAsia="Times New Roman" w:cs="Times New Roman"/>
                <w:color w:val="000000"/>
                <w:szCs w:val="24"/>
              </w:rPr>
              <w:lastRenderedPageBreak/>
              <w:t>extemporaneidad y pagar intereses moratorios.</w:t>
            </w:r>
          </w:p>
        </w:tc>
        <w:tc>
          <w:tcPr>
            <w:tcW w:w="0" w:type="auto"/>
            <w:hideMark/>
          </w:tcPr>
          <w:p w14:paraId="01FB617E"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La complejidad del procedimiento de subsanación desincentiva o dificulta la </w:t>
            </w:r>
            <w:r w:rsidRPr="006177E4">
              <w:rPr>
                <w:rFonts w:eastAsia="Times New Roman" w:cs="Times New Roman"/>
                <w:color w:val="000000"/>
                <w:szCs w:val="24"/>
              </w:rPr>
              <w:lastRenderedPageBreak/>
              <w:t>regularización oportuna.</w:t>
            </w:r>
          </w:p>
        </w:tc>
        <w:tc>
          <w:tcPr>
            <w:tcW w:w="0" w:type="auto"/>
            <w:hideMark/>
          </w:tcPr>
          <w:p w14:paraId="23D7CDC1"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r>
      <w:tr w:rsidR="00FD6BD7" w:rsidRPr="006177E4" w14:paraId="685E70F1" w14:textId="77777777" w:rsidTr="00D64F6E">
        <w:trPr>
          <w:trHeight w:val="983"/>
        </w:trPr>
        <w:tc>
          <w:tcPr>
            <w:tcW w:w="0" w:type="auto"/>
            <w:hideMark/>
          </w:tcPr>
          <w:p w14:paraId="15C126B1"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Procedimental</w:t>
            </w:r>
            <w:proofErr w:type="spellEnd"/>
          </w:p>
        </w:tc>
        <w:tc>
          <w:tcPr>
            <w:tcW w:w="0" w:type="auto"/>
            <w:hideMark/>
          </w:tcPr>
          <w:p w14:paraId="2DF602FC"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4638 de 2023</w:t>
            </w:r>
          </w:p>
        </w:tc>
        <w:tc>
          <w:tcPr>
            <w:tcW w:w="0" w:type="auto"/>
            <w:hideMark/>
          </w:tcPr>
          <w:p w14:paraId="51DD373E"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2023</w:t>
            </w:r>
          </w:p>
        </w:tc>
        <w:tc>
          <w:tcPr>
            <w:tcW w:w="0" w:type="auto"/>
            <w:hideMark/>
          </w:tcPr>
          <w:p w14:paraId="2E9D1A1E"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Doble efecto de la declaración: ineficaz para el obligado, útil para el cobro</w:t>
            </w:r>
          </w:p>
        </w:tc>
        <w:tc>
          <w:tcPr>
            <w:tcW w:w="0" w:type="auto"/>
            <w:hideMark/>
          </w:tcPr>
          <w:p w14:paraId="5BFFCD82"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declaración inicialmente presentada puede carecer de efectos para el retenedor, pero prestar mérito ejecutivo a favor de la administración.</w:t>
            </w:r>
          </w:p>
        </w:tc>
        <w:tc>
          <w:tcPr>
            <w:tcW w:w="0" w:type="auto"/>
            <w:hideMark/>
          </w:tcPr>
          <w:p w14:paraId="7F7BE18B"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Produce tensiones conceptuales y operativas sobre el alcance real de la ineficacia.</w:t>
            </w:r>
          </w:p>
        </w:tc>
        <w:tc>
          <w:tcPr>
            <w:tcW w:w="0" w:type="auto"/>
            <w:hideMark/>
          </w:tcPr>
          <w:p w14:paraId="4E889239"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DIAN</w:t>
            </w:r>
          </w:p>
        </w:tc>
      </w:tr>
      <w:tr w:rsidR="00FD6BD7" w:rsidRPr="006177E4" w14:paraId="2CFD2401" w14:textId="77777777" w:rsidTr="00D64F6E">
        <w:trPr>
          <w:trHeight w:val="1382"/>
        </w:trPr>
        <w:tc>
          <w:tcPr>
            <w:tcW w:w="0" w:type="auto"/>
            <w:hideMark/>
          </w:tcPr>
          <w:p w14:paraId="0A1FBE65"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Procedimental</w:t>
            </w:r>
            <w:proofErr w:type="spellEnd"/>
          </w:p>
        </w:tc>
        <w:tc>
          <w:tcPr>
            <w:tcW w:w="0" w:type="auto"/>
            <w:hideMark/>
          </w:tcPr>
          <w:p w14:paraId="7ED7F14B"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22619 de 2019</w:t>
            </w:r>
          </w:p>
        </w:tc>
        <w:tc>
          <w:tcPr>
            <w:tcW w:w="0" w:type="auto"/>
            <w:hideMark/>
          </w:tcPr>
          <w:p w14:paraId="3D50CAD3"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2019</w:t>
            </w:r>
          </w:p>
        </w:tc>
        <w:tc>
          <w:tcPr>
            <w:tcW w:w="0" w:type="auto"/>
            <w:hideMark/>
          </w:tcPr>
          <w:p w14:paraId="5F81CECD"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Tensión entre facilidad de pago e ineficacia</w:t>
            </w:r>
          </w:p>
        </w:tc>
        <w:tc>
          <w:tcPr>
            <w:tcW w:w="0" w:type="auto"/>
            <w:hideMark/>
          </w:tcPr>
          <w:p w14:paraId="11E779A0"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La doctrina administrativa ha diferenciado entre la </w:t>
            </w:r>
            <w:r w:rsidRPr="006177E4">
              <w:rPr>
                <w:rFonts w:eastAsia="Times New Roman" w:cs="Times New Roman"/>
                <w:color w:val="000000"/>
                <w:szCs w:val="24"/>
              </w:rPr>
              <w:lastRenderedPageBreak/>
              <w:t>posibilidad de otorgar facilidades de pago en sede de cobro y la imposibilidad de que ello sanee por sí mismo la ineficacia de la declaración.</w:t>
            </w:r>
          </w:p>
        </w:tc>
        <w:tc>
          <w:tcPr>
            <w:tcW w:w="0" w:type="auto"/>
            <w:hideMark/>
          </w:tcPr>
          <w:p w14:paraId="783198DB"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Puede inducir a error al retenedor que cree que la </w:t>
            </w:r>
            <w:r w:rsidRPr="006177E4">
              <w:rPr>
                <w:rFonts w:eastAsia="Times New Roman" w:cs="Times New Roman"/>
                <w:color w:val="000000"/>
                <w:szCs w:val="24"/>
              </w:rPr>
              <w:lastRenderedPageBreak/>
              <w:t>financiación reemplaza el deber de presentar nuevamente la declaración eficaz.</w:t>
            </w:r>
          </w:p>
        </w:tc>
        <w:tc>
          <w:tcPr>
            <w:tcW w:w="0" w:type="auto"/>
            <w:hideMark/>
          </w:tcPr>
          <w:p w14:paraId="21C2106F"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r>
      <w:tr w:rsidR="00FD6BD7" w:rsidRPr="006177E4" w14:paraId="7146B14B" w14:textId="77777777" w:rsidTr="00D64F6E">
        <w:trPr>
          <w:trHeight w:val="2916"/>
        </w:trPr>
        <w:tc>
          <w:tcPr>
            <w:tcW w:w="0" w:type="auto"/>
            <w:hideMark/>
          </w:tcPr>
          <w:p w14:paraId="065AFE41"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Administrativa</w:t>
            </w:r>
            <w:proofErr w:type="spellEnd"/>
          </w:p>
        </w:tc>
        <w:tc>
          <w:tcPr>
            <w:tcW w:w="0" w:type="auto"/>
            <w:hideMark/>
          </w:tcPr>
          <w:p w14:paraId="6BD8A674"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Concepto</w:t>
            </w:r>
            <w:proofErr w:type="spellEnd"/>
            <w:r w:rsidRPr="006177E4">
              <w:rPr>
                <w:rFonts w:eastAsia="Times New Roman" w:cs="Times New Roman"/>
                <w:color w:val="000000"/>
                <w:szCs w:val="24"/>
                <w:lang w:val="en-US"/>
              </w:rPr>
              <w:t xml:space="preserve"> 008678 </w:t>
            </w:r>
            <w:proofErr w:type="spellStart"/>
            <w:r w:rsidRPr="006177E4">
              <w:rPr>
                <w:rFonts w:eastAsia="Times New Roman" w:cs="Times New Roman"/>
                <w:color w:val="000000"/>
                <w:szCs w:val="24"/>
                <w:lang w:val="en-US"/>
              </w:rPr>
              <w:t>interno</w:t>
            </w:r>
            <w:proofErr w:type="spellEnd"/>
            <w:r w:rsidRPr="006177E4">
              <w:rPr>
                <w:rFonts w:eastAsia="Times New Roman" w:cs="Times New Roman"/>
                <w:color w:val="000000"/>
                <w:szCs w:val="24"/>
                <w:lang w:val="en-US"/>
              </w:rPr>
              <w:t xml:space="preserve"> 991 de 2024</w:t>
            </w:r>
          </w:p>
        </w:tc>
        <w:tc>
          <w:tcPr>
            <w:tcW w:w="0" w:type="auto"/>
            <w:hideMark/>
          </w:tcPr>
          <w:p w14:paraId="71769BBC"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2024</w:t>
            </w:r>
          </w:p>
        </w:tc>
        <w:tc>
          <w:tcPr>
            <w:tcW w:w="0" w:type="auto"/>
            <w:hideMark/>
          </w:tcPr>
          <w:p w14:paraId="6E417534"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Déficit de comprensión del procedimiento aplicable</w:t>
            </w:r>
          </w:p>
        </w:tc>
        <w:tc>
          <w:tcPr>
            <w:tcW w:w="0" w:type="auto"/>
            <w:hideMark/>
          </w:tcPr>
          <w:p w14:paraId="603A3A1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Las reiteraciones doctrinales evidenciaron dudas frecuentes sobre corrección, extemporaneidad, pago y subsanación.</w:t>
            </w:r>
          </w:p>
        </w:tc>
        <w:tc>
          <w:tcPr>
            <w:tcW w:w="0" w:type="auto"/>
            <w:hideMark/>
          </w:tcPr>
          <w:p w14:paraId="34D42581"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Sugiere fallas de pedagogía tributaria y de gestión del cumplimiento por parte de los obligados.</w:t>
            </w:r>
          </w:p>
        </w:tc>
        <w:tc>
          <w:tcPr>
            <w:tcW w:w="0" w:type="auto"/>
            <w:hideMark/>
          </w:tcPr>
          <w:p w14:paraId="49AF9DD4"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DIAN</w:t>
            </w:r>
          </w:p>
        </w:tc>
      </w:tr>
      <w:tr w:rsidR="00FD6BD7" w:rsidRPr="006177E4" w14:paraId="2A4387F6" w14:textId="77777777" w:rsidTr="00D64F6E">
        <w:trPr>
          <w:trHeight w:val="1408"/>
        </w:trPr>
        <w:tc>
          <w:tcPr>
            <w:tcW w:w="0" w:type="auto"/>
            <w:hideMark/>
          </w:tcPr>
          <w:p w14:paraId="400C7DF0"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Administrativa</w:t>
            </w:r>
            <w:proofErr w:type="spellEnd"/>
          </w:p>
        </w:tc>
        <w:tc>
          <w:tcPr>
            <w:tcW w:w="0" w:type="auto"/>
            <w:hideMark/>
          </w:tcPr>
          <w:p w14:paraId="3A48250C"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902639 de 2020</w:t>
            </w:r>
          </w:p>
        </w:tc>
        <w:tc>
          <w:tcPr>
            <w:tcW w:w="0" w:type="auto"/>
            <w:hideMark/>
          </w:tcPr>
          <w:p w14:paraId="7CC2146C"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2020</w:t>
            </w:r>
          </w:p>
        </w:tc>
        <w:tc>
          <w:tcPr>
            <w:tcW w:w="0" w:type="auto"/>
            <w:hideMark/>
          </w:tcPr>
          <w:p w14:paraId="3C9675F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Insuficiente gestión </w:t>
            </w:r>
            <w:r w:rsidRPr="006177E4">
              <w:rPr>
                <w:rFonts w:eastAsia="Times New Roman" w:cs="Times New Roman"/>
                <w:color w:val="000000"/>
                <w:szCs w:val="24"/>
              </w:rPr>
              <w:lastRenderedPageBreak/>
              <w:t>institucional del cumplimiento</w:t>
            </w:r>
          </w:p>
        </w:tc>
        <w:tc>
          <w:tcPr>
            <w:tcW w:w="0" w:type="auto"/>
            <w:hideMark/>
          </w:tcPr>
          <w:p w14:paraId="73391D09"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La recurrencia de oficios interpretativos </w:t>
            </w:r>
            <w:r w:rsidRPr="006177E4">
              <w:rPr>
                <w:rFonts w:eastAsia="Times New Roman" w:cs="Times New Roman"/>
                <w:color w:val="000000"/>
                <w:szCs w:val="24"/>
              </w:rPr>
              <w:lastRenderedPageBreak/>
              <w:t>mostró que la figura requiere mediación administrativa constante para ser entendida y aplicada correctamente.</w:t>
            </w:r>
          </w:p>
        </w:tc>
        <w:tc>
          <w:tcPr>
            <w:tcW w:w="0" w:type="auto"/>
            <w:hideMark/>
          </w:tcPr>
          <w:p w14:paraId="711BCFF6"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Revela que el problema no es solo </w:t>
            </w:r>
            <w:r w:rsidRPr="006177E4">
              <w:rPr>
                <w:rFonts w:eastAsia="Times New Roman" w:cs="Times New Roman"/>
                <w:color w:val="000000"/>
                <w:szCs w:val="24"/>
              </w:rPr>
              <w:lastRenderedPageBreak/>
              <w:t>normativo, sino también de operación administrativa del sistema.</w:t>
            </w:r>
          </w:p>
        </w:tc>
        <w:tc>
          <w:tcPr>
            <w:tcW w:w="0" w:type="auto"/>
            <w:hideMark/>
          </w:tcPr>
          <w:p w14:paraId="53060D92"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lastRenderedPageBreak/>
              <w:t>DIAN</w:t>
            </w:r>
          </w:p>
        </w:tc>
      </w:tr>
      <w:tr w:rsidR="00FD6BD7" w:rsidRPr="006177E4" w14:paraId="3E1C51BA" w14:textId="77777777" w:rsidTr="00D64F6E">
        <w:trPr>
          <w:trHeight w:val="1408"/>
        </w:trPr>
        <w:tc>
          <w:tcPr>
            <w:tcW w:w="0" w:type="auto"/>
            <w:hideMark/>
          </w:tcPr>
          <w:p w14:paraId="7BC3ADBF"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Administrativa</w:t>
            </w:r>
            <w:proofErr w:type="spellEnd"/>
          </w:p>
        </w:tc>
        <w:tc>
          <w:tcPr>
            <w:tcW w:w="0" w:type="auto"/>
            <w:hideMark/>
          </w:tcPr>
          <w:p w14:paraId="1CED803C"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910619 de 2020</w:t>
            </w:r>
          </w:p>
        </w:tc>
        <w:tc>
          <w:tcPr>
            <w:tcW w:w="0" w:type="auto"/>
            <w:hideMark/>
          </w:tcPr>
          <w:p w14:paraId="5E5D3D69"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2020</w:t>
            </w:r>
          </w:p>
        </w:tc>
        <w:tc>
          <w:tcPr>
            <w:tcW w:w="0" w:type="auto"/>
            <w:hideMark/>
          </w:tcPr>
          <w:p w14:paraId="3A09C727"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Reiteración doctrinal sobre eficacia y consecuencias</w:t>
            </w:r>
          </w:p>
        </w:tc>
        <w:tc>
          <w:tcPr>
            <w:tcW w:w="0" w:type="auto"/>
            <w:hideMark/>
          </w:tcPr>
          <w:p w14:paraId="2429ED20"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doctrina oficial reiteró en distintos años la necesidad de precisar el alcance del artículo 580-1 y sus efectos procedimentales para los agentes retenedores.</w:t>
            </w:r>
          </w:p>
        </w:tc>
        <w:tc>
          <w:tcPr>
            <w:tcW w:w="0" w:type="auto"/>
            <w:hideMark/>
          </w:tcPr>
          <w:p w14:paraId="777AA2D0"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reiteración evidencia persistencia de dudas y complejidad técnica en la aplicación del régimen.</w:t>
            </w:r>
          </w:p>
        </w:tc>
        <w:tc>
          <w:tcPr>
            <w:tcW w:w="0" w:type="auto"/>
            <w:hideMark/>
          </w:tcPr>
          <w:p w14:paraId="36C4FCA0"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DIAN</w:t>
            </w:r>
          </w:p>
        </w:tc>
      </w:tr>
      <w:tr w:rsidR="00FD6BD7" w:rsidRPr="006177E4" w14:paraId="115AB346" w14:textId="77777777" w:rsidTr="00D64F6E">
        <w:trPr>
          <w:trHeight w:val="1124"/>
        </w:trPr>
        <w:tc>
          <w:tcPr>
            <w:tcW w:w="0" w:type="auto"/>
            <w:hideMark/>
          </w:tcPr>
          <w:p w14:paraId="5F7830F9"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lastRenderedPageBreak/>
              <w:t>Administrativa</w:t>
            </w:r>
            <w:proofErr w:type="spellEnd"/>
          </w:p>
        </w:tc>
        <w:tc>
          <w:tcPr>
            <w:tcW w:w="0" w:type="auto"/>
            <w:hideMark/>
          </w:tcPr>
          <w:p w14:paraId="20FBA995"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Oficio</w:t>
            </w:r>
            <w:proofErr w:type="spellEnd"/>
            <w:r w:rsidRPr="006177E4">
              <w:rPr>
                <w:rFonts w:eastAsia="Times New Roman" w:cs="Times New Roman"/>
                <w:color w:val="000000"/>
                <w:szCs w:val="24"/>
                <w:lang w:val="en-US"/>
              </w:rPr>
              <w:t xml:space="preserve"> 905544 de 2021</w:t>
            </w:r>
          </w:p>
        </w:tc>
        <w:tc>
          <w:tcPr>
            <w:tcW w:w="0" w:type="auto"/>
            <w:hideMark/>
          </w:tcPr>
          <w:p w14:paraId="71A58CE5"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771B303D"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Necesidad de precisión interna sobre reglas de aplicación</w:t>
            </w:r>
          </w:p>
        </w:tc>
        <w:tc>
          <w:tcPr>
            <w:tcW w:w="0" w:type="auto"/>
            <w:hideMark/>
          </w:tcPr>
          <w:p w14:paraId="69168886"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Los desarrollos internos reproducidos en doctrina posterior muestran que la administración tributaria ha debido unificar criterios interpretativos para orientar el tratamiento de la ineficacia.</w:t>
            </w:r>
          </w:p>
        </w:tc>
        <w:tc>
          <w:tcPr>
            <w:tcW w:w="0" w:type="auto"/>
            <w:hideMark/>
          </w:tcPr>
          <w:p w14:paraId="208059F8"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necesidad de precisión administrativa constante confirma la densidad técnica y operativa de la figura.</w:t>
            </w:r>
          </w:p>
        </w:tc>
        <w:tc>
          <w:tcPr>
            <w:tcW w:w="0" w:type="auto"/>
            <w:hideMark/>
          </w:tcPr>
          <w:p w14:paraId="77083809"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DIAN</w:t>
            </w:r>
          </w:p>
        </w:tc>
      </w:tr>
      <w:tr w:rsidR="00FD6BD7" w:rsidRPr="006177E4" w14:paraId="4BA8B198" w14:textId="77777777" w:rsidTr="00D64F6E">
        <w:trPr>
          <w:trHeight w:val="1062"/>
        </w:trPr>
        <w:tc>
          <w:tcPr>
            <w:tcW w:w="0" w:type="auto"/>
            <w:hideMark/>
          </w:tcPr>
          <w:p w14:paraId="5F9C3D99"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Económica</w:t>
            </w:r>
            <w:proofErr w:type="spellEnd"/>
          </w:p>
        </w:tc>
        <w:tc>
          <w:tcPr>
            <w:tcW w:w="0" w:type="auto"/>
            <w:hideMark/>
          </w:tcPr>
          <w:p w14:paraId="07F40721"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Expediente</w:t>
            </w:r>
            <w:proofErr w:type="spellEnd"/>
            <w:r w:rsidRPr="006177E4">
              <w:rPr>
                <w:rFonts w:eastAsia="Times New Roman" w:cs="Times New Roman"/>
                <w:color w:val="000000"/>
                <w:szCs w:val="24"/>
                <w:lang w:val="en-US"/>
              </w:rPr>
              <w:t xml:space="preserve"> 25000-23-27-000-2009-00075-01 (18304)</w:t>
            </w:r>
          </w:p>
        </w:tc>
        <w:tc>
          <w:tcPr>
            <w:tcW w:w="0" w:type="auto"/>
            <w:hideMark/>
          </w:tcPr>
          <w:p w14:paraId="37C229B9"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2011</w:t>
            </w:r>
          </w:p>
        </w:tc>
        <w:tc>
          <w:tcPr>
            <w:tcW w:w="0" w:type="auto"/>
            <w:hideMark/>
          </w:tcPr>
          <w:p w14:paraId="2EC7628B"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Insuficiencia de liquidez del agente retenedor</w:t>
            </w:r>
          </w:p>
        </w:tc>
        <w:tc>
          <w:tcPr>
            <w:tcW w:w="0" w:type="auto"/>
            <w:hideMark/>
          </w:tcPr>
          <w:p w14:paraId="321C3B26"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Una causa estructural del fenómeno es la falta de recursos líquidos para trasladar oportunamente al </w:t>
            </w:r>
            <w:r w:rsidRPr="006177E4">
              <w:rPr>
                <w:rFonts w:eastAsia="Times New Roman" w:cs="Times New Roman"/>
                <w:color w:val="000000"/>
                <w:szCs w:val="24"/>
              </w:rPr>
              <w:lastRenderedPageBreak/>
              <w:t>Estado los valores retenidos.</w:t>
            </w:r>
          </w:p>
        </w:tc>
        <w:tc>
          <w:tcPr>
            <w:tcW w:w="0" w:type="auto"/>
            <w:hideMark/>
          </w:tcPr>
          <w:p w14:paraId="0015F3AE"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Explica por qué el retenedor posterga el pago o utiliza temporalmente recursos que no le pertenecen.</w:t>
            </w:r>
          </w:p>
        </w:tc>
        <w:tc>
          <w:tcPr>
            <w:tcW w:w="0" w:type="auto"/>
            <w:hideMark/>
          </w:tcPr>
          <w:p w14:paraId="653209A3"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Consejo de Estado, Sección Cuarta</w:t>
            </w:r>
          </w:p>
        </w:tc>
      </w:tr>
      <w:tr w:rsidR="00FD6BD7" w:rsidRPr="006177E4" w14:paraId="2D9FF25A" w14:textId="77777777" w:rsidTr="00D64F6E">
        <w:trPr>
          <w:trHeight w:val="3180"/>
        </w:trPr>
        <w:tc>
          <w:tcPr>
            <w:tcW w:w="0" w:type="auto"/>
            <w:hideMark/>
          </w:tcPr>
          <w:p w14:paraId="21B1F39B"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Económica</w:t>
            </w:r>
            <w:proofErr w:type="spellEnd"/>
          </w:p>
        </w:tc>
        <w:tc>
          <w:tcPr>
            <w:tcW w:w="0" w:type="auto"/>
            <w:hideMark/>
          </w:tcPr>
          <w:p w14:paraId="42DB3D8D"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Expediente</w:t>
            </w:r>
            <w:proofErr w:type="spellEnd"/>
            <w:r w:rsidRPr="006177E4">
              <w:rPr>
                <w:rFonts w:eastAsia="Times New Roman" w:cs="Times New Roman"/>
                <w:color w:val="000000"/>
                <w:szCs w:val="24"/>
                <w:lang w:val="en-US"/>
              </w:rPr>
              <w:t xml:space="preserve"> 25000-23-27-000-2009-00075-01 (18304)</w:t>
            </w:r>
          </w:p>
        </w:tc>
        <w:tc>
          <w:tcPr>
            <w:tcW w:w="0" w:type="auto"/>
            <w:hideMark/>
          </w:tcPr>
          <w:p w14:paraId="6FD5258F"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2011</w:t>
            </w:r>
          </w:p>
        </w:tc>
        <w:tc>
          <w:tcPr>
            <w:tcW w:w="0" w:type="auto"/>
            <w:hideMark/>
          </w:tcPr>
          <w:p w14:paraId="5F0EC8E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Uso de recursos retenidos para financiar la operación</w:t>
            </w:r>
          </w:p>
        </w:tc>
        <w:tc>
          <w:tcPr>
            <w:tcW w:w="0" w:type="auto"/>
            <w:hideMark/>
          </w:tcPr>
          <w:p w14:paraId="553DF366"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jurisprudencia destacó que la norma busca impedir que el agente retenedor financie su actividad con sumas retenidas a terceros.</w:t>
            </w:r>
          </w:p>
        </w:tc>
        <w:tc>
          <w:tcPr>
            <w:tcW w:w="0" w:type="auto"/>
            <w:hideMark/>
          </w:tcPr>
          <w:p w14:paraId="44AF73B6"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Conecta la ineficacia con problemas de flujo de caja y con el interés fiscal protegido.</w:t>
            </w:r>
          </w:p>
        </w:tc>
        <w:tc>
          <w:tcPr>
            <w:tcW w:w="0" w:type="auto"/>
            <w:hideMark/>
          </w:tcPr>
          <w:p w14:paraId="19F6D6ED"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Consejo de Estado, Sección Cuarta</w:t>
            </w:r>
          </w:p>
        </w:tc>
      </w:tr>
      <w:tr w:rsidR="00FD6BD7" w:rsidRPr="006177E4" w14:paraId="43BDE1CA" w14:textId="77777777" w:rsidTr="00D64F6E">
        <w:trPr>
          <w:trHeight w:val="983"/>
        </w:trPr>
        <w:tc>
          <w:tcPr>
            <w:tcW w:w="0" w:type="auto"/>
            <w:hideMark/>
          </w:tcPr>
          <w:p w14:paraId="6C213FA2"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Económica</w:t>
            </w:r>
            <w:proofErr w:type="spellEnd"/>
          </w:p>
        </w:tc>
        <w:tc>
          <w:tcPr>
            <w:tcW w:w="0" w:type="auto"/>
            <w:hideMark/>
          </w:tcPr>
          <w:p w14:paraId="52931AFE"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Expediente</w:t>
            </w:r>
            <w:proofErr w:type="spellEnd"/>
            <w:r w:rsidRPr="006177E4">
              <w:rPr>
                <w:rFonts w:eastAsia="Times New Roman" w:cs="Times New Roman"/>
                <w:color w:val="000000"/>
                <w:szCs w:val="24"/>
                <w:lang w:val="en-US"/>
              </w:rPr>
              <w:t xml:space="preserve"> 25000-23-27-000-2009-00075-01 (18304)</w:t>
            </w:r>
          </w:p>
        </w:tc>
        <w:tc>
          <w:tcPr>
            <w:tcW w:w="0" w:type="auto"/>
            <w:hideMark/>
          </w:tcPr>
          <w:p w14:paraId="707F66E6"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2011</w:t>
            </w:r>
          </w:p>
        </w:tc>
        <w:tc>
          <w:tcPr>
            <w:tcW w:w="0" w:type="auto"/>
            <w:hideMark/>
          </w:tcPr>
          <w:p w14:paraId="629B839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Postergación del traslado efectivo al fisco</w:t>
            </w:r>
          </w:p>
        </w:tc>
        <w:tc>
          <w:tcPr>
            <w:tcW w:w="0" w:type="auto"/>
            <w:hideMark/>
          </w:tcPr>
          <w:p w14:paraId="0313D90E"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La obligación de pago no se entiende cumplida hasta que las sumas retenidas ingresan efectivamente a las cuentas de la </w:t>
            </w:r>
            <w:r w:rsidRPr="006177E4">
              <w:rPr>
                <w:rFonts w:eastAsia="Times New Roman" w:cs="Times New Roman"/>
                <w:color w:val="000000"/>
                <w:szCs w:val="24"/>
              </w:rPr>
              <w:lastRenderedPageBreak/>
              <w:t>DIAN y son imputadas al saldo insoluto.</w:t>
            </w:r>
          </w:p>
        </w:tc>
        <w:tc>
          <w:tcPr>
            <w:tcW w:w="0" w:type="auto"/>
            <w:hideMark/>
          </w:tcPr>
          <w:p w14:paraId="2B7A8D1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Muestra que el simple reporte o la declaración sin consignación real no satisface la finalidad recaudatoria de la </w:t>
            </w:r>
            <w:r w:rsidRPr="006177E4">
              <w:rPr>
                <w:rFonts w:eastAsia="Times New Roman" w:cs="Times New Roman"/>
                <w:color w:val="000000"/>
                <w:szCs w:val="24"/>
              </w:rPr>
              <w:lastRenderedPageBreak/>
              <w:t>retención en la fuente.</w:t>
            </w:r>
          </w:p>
        </w:tc>
        <w:tc>
          <w:tcPr>
            <w:tcW w:w="0" w:type="auto"/>
            <w:hideMark/>
          </w:tcPr>
          <w:p w14:paraId="1784264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Consejo de Estado, Sección Cuarta</w:t>
            </w:r>
          </w:p>
        </w:tc>
      </w:tr>
      <w:tr w:rsidR="00FD6BD7" w:rsidRPr="006177E4" w14:paraId="3CFDBC16" w14:textId="77777777" w:rsidTr="00D64F6E">
        <w:trPr>
          <w:trHeight w:val="3444"/>
        </w:trPr>
        <w:tc>
          <w:tcPr>
            <w:tcW w:w="0" w:type="auto"/>
            <w:hideMark/>
          </w:tcPr>
          <w:p w14:paraId="668BD45A"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Doctrinal</w:t>
            </w:r>
          </w:p>
        </w:tc>
        <w:tc>
          <w:tcPr>
            <w:tcW w:w="0" w:type="auto"/>
            <w:hideMark/>
          </w:tcPr>
          <w:p w14:paraId="1D5E75F6"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C-102 de 2015</w:t>
            </w:r>
          </w:p>
        </w:tc>
        <w:tc>
          <w:tcPr>
            <w:tcW w:w="0" w:type="auto"/>
            <w:hideMark/>
          </w:tcPr>
          <w:p w14:paraId="4BE01C1C"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2015</w:t>
            </w:r>
          </w:p>
        </w:tc>
        <w:tc>
          <w:tcPr>
            <w:tcW w:w="0" w:type="auto"/>
            <w:hideMark/>
          </w:tcPr>
          <w:p w14:paraId="6FA32B6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Debate sobre la naturaleza jurídica de la ineficacia</w:t>
            </w:r>
          </w:p>
        </w:tc>
        <w:tc>
          <w:tcPr>
            <w:tcW w:w="0" w:type="auto"/>
            <w:hideMark/>
          </w:tcPr>
          <w:p w14:paraId="61C5B27D"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Corte Constitucional indicó que la ineficacia no es sanción en sentido estricto, sino una consecuencia legal por incumplimiento del pago total.</w:t>
            </w:r>
          </w:p>
        </w:tc>
        <w:tc>
          <w:tcPr>
            <w:tcW w:w="0" w:type="auto"/>
            <w:hideMark/>
          </w:tcPr>
          <w:p w14:paraId="785D40BF"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Persisten discusiones sobre su severidad material y su cercanía funcional a una reacción sancionatoria.</w:t>
            </w:r>
          </w:p>
        </w:tc>
        <w:tc>
          <w:tcPr>
            <w:tcW w:w="0" w:type="auto"/>
            <w:hideMark/>
          </w:tcPr>
          <w:p w14:paraId="2C89C956"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 xml:space="preserve">Corte </w:t>
            </w:r>
            <w:proofErr w:type="spellStart"/>
            <w:r w:rsidRPr="006177E4">
              <w:rPr>
                <w:rFonts w:eastAsia="Times New Roman" w:cs="Times New Roman"/>
                <w:color w:val="000000"/>
                <w:szCs w:val="24"/>
                <w:lang w:val="en-US"/>
              </w:rPr>
              <w:t>Constitucional</w:t>
            </w:r>
            <w:proofErr w:type="spellEnd"/>
          </w:p>
        </w:tc>
      </w:tr>
      <w:tr w:rsidR="00FD6BD7" w:rsidRPr="006177E4" w14:paraId="150EFECA" w14:textId="77777777" w:rsidTr="00D64F6E">
        <w:trPr>
          <w:trHeight w:val="3708"/>
        </w:trPr>
        <w:tc>
          <w:tcPr>
            <w:tcW w:w="0" w:type="auto"/>
            <w:hideMark/>
          </w:tcPr>
          <w:p w14:paraId="6D257BA5"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Doctrinal</w:t>
            </w:r>
          </w:p>
        </w:tc>
        <w:tc>
          <w:tcPr>
            <w:tcW w:w="0" w:type="auto"/>
            <w:hideMark/>
          </w:tcPr>
          <w:p w14:paraId="5205591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Improcedencia de las sanciones por extemporaneidad y por no declarar cuando se presenta oportunamente la </w:t>
            </w:r>
            <w:r w:rsidRPr="006177E4">
              <w:rPr>
                <w:rFonts w:eastAsia="Times New Roman" w:cs="Times New Roman"/>
                <w:color w:val="000000"/>
                <w:szCs w:val="24"/>
              </w:rPr>
              <w:lastRenderedPageBreak/>
              <w:t>declaración de retención en la fuente sin pago total</w:t>
            </w:r>
          </w:p>
        </w:tc>
        <w:tc>
          <w:tcPr>
            <w:tcW w:w="0" w:type="auto"/>
            <w:hideMark/>
          </w:tcPr>
          <w:p w14:paraId="32385DDD"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lastRenderedPageBreak/>
              <w:t>2017</w:t>
            </w:r>
          </w:p>
        </w:tc>
        <w:tc>
          <w:tcPr>
            <w:tcW w:w="0" w:type="auto"/>
            <w:hideMark/>
          </w:tcPr>
          <w:p w14:paraId="3775C732"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Confusión entre ineficacia y otras figuras procedimentales</w:t>
            </w:r>
          </w:p>
        </w:tc>
        <w:tc>
          <w:tcPr>
            <w:tcW w:w="0" w:type="auto"/>
            <w:hideMark/>
          </w:tcPr>
          <w:p w14:paraId="3C678FD2"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La revisión académica y doctrinal mostró que la ineficacia suele confundirse con extemporaneidad, no declaración, </w:t>
            </w:r>
            <w:r w:rsidRPr="006177E4">
              <w:rPr>
                <w:rFonts w:eastAsia="Times New Roman" w:cs="Times New Roman"/>
                <w:color w:val="000000"/>
                <w:szCs w:val="24"/>
              </w:rPr>
              <w:lastRenderedPageBreak/>
              <w:t>corrección e inexactitud.</w:t>
            </w:r>
          </w:p>
        </w:tc>
        <w:tc>
          <w:tcPr>
            <w:tcW w:w="0" w:type="auto"/>
            <w:hideMark/>
          </w:tcPr>
          <w:p w14:paraId="6C055024"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 xml:space="preserve">Esta superposición conceptual dificulta la interpretación adecuada y la respuesta </w:t>
            </w:r>
            <w:r w:rsidRPr="006177E4">
              <w:rPr>
                <w:rFonts w:eastAsia="Times New Roman" w:cs="Times New Roman"/>
                <w:color w:val="000000"/>
                <w:szCs w:val="24"/>
              </w:rPr>
              <w:lastRenderedPageBreak/>
              <w:t>procedimental del obligado.</w:t>
            </w:r>
          </w:p>
        </w:tc>
        <w:tc>
          <w:tcPr>
            <w:tcW w:w="0" w:type="auto"/>
            <w:hideMark/>
          </w:tcPr>
          <w:p w14:paraId="22E061A7"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lastRenderedPageBreak/>
              <w:t>David Rueda Mantilla</w:t>
            </w:r>
          </w:p>
        </w:tc>
      </w:tr>
      <w:tr w:rsidR="00FD6BD7" w:rsidRPr="006177E4" w14:paraId="37E31FD0" w14:textId="77777777" w:rsidTr="00D64F6E">
        <w:trPr>
          <w:trHeight w:val="841"/>
        </w:trPr>
        <w:tc>
          <w:tcPr>
            <w:tcW w:w="0" w:type="auto"/>
            <w:hideMark/>
          </w:tcPr>
          <w:p w14:paraId="7B514AEB"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Doctrinal</w:t>
            </w:r>
          </w:p>
        </w:tc>
        <w:tc>
          <w:tcPr>
            <w:tcW w:w="0" w:type="auto"/>
            <w:hideMark/>
          </w:tcPr>
          <w:p w14:paraId="78B41AC5"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Concepto</w:t>
            </w:r>
            <w:proofErr w:type="spellEnd"/>
            <w:r w:rsidRPr="006177E4">
              <w:rPr>
                <w:rFonts w:eastAsia="Times New Roman" w:cs="Times New Roman"/>
                <w:color w:val="000000"/>
                <w:szCs w:val="24"/>
                <w:lang w:val="en-US"/>
              </w:rPr>
              <w:t xml:space="preserve"> 16224 de 2025</w:t>
            </w:r>
          </w:p>
        </w:tc>
        <w:tc>
          <w:tcPr>
            <w:tcW w:w="0" w:type="auto"/>
            <w:hideMark/>
          </w:tcPr>
          <w:p w14:paraId="3073EC15"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2025</w:t>
            </w:r>
          </w:p>
        </w:tc>
        <w:tc>
          <w:tcPr>
            <w:tcW w:w="0" w:type="auto"/>
            <w:hideMark/>
          </w:tcPr>
          <w:p w14:paraId="6A34A67C"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Persistencia de debates sobre cobro y eficacia residual</w:t>
            </w:r>
          </w:p>
        </w:tc>
        <w:tc>
          <w:tcPr>
            <w:tcW w:w="0" w:type="auto"/>
            <w:hideMark/>
          </w:tcPr>
          <w:p w14:paraId="00E3E07B"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doctrina reciente sostuvo que la declaración ineficaz puede servir como título para el cobro administrativo, pese a no producir efectos para el declarante.</w:t>
            </w:r>
          </w:p>
        </w:tc>
        <w:tc>
          <w:tcPr>
            <w:tcW w:w="0" w:type="auto"/>
            <w:hideMark/>
          </w:tcPr>
          <w:p w14:paraId="412784B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figura mantiene una eficacia residual en favor de la administración, lo que complejiza su comprensión.</w:t>
            </w:r>
          </w:p>
        </w:tc>
        <w:tc>
          <w:tcPr>
            <w:tcW w:w="0" w:type="auto"/>
            <w:hideMark/>
          </w:tcPr>
          <w:p w14:paraId="241AEC2C"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DIAN</w:t>
            </w:r>
          </w:p>
        </w:tc>
      </w:tr>
      <w:tr w:rsidR="00FD6BD7" w:rsidRPr="006177E4" w14:paraId="7213C1ED" w14:textId="77777777" w:rsidTr="00D64F6E">
        <w:trPr>
          <w:trHeight w:val="4500"/>
        </w:trPr>
        <w:tc>
          <w:tcPr>
            <w:tcW w:w="0" w:type="auto"/>
            <w:hideMark/>
          </w:tcPr>
          <w:p w14:paraId="1F484183"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lastRenderedPageBreak/>
              <w:t>Doctrinal</w:t>
            </w:r>
          </w:p>
        </w:tc>
        <w:tc>
          <w:tcPr>
            <w:tcW w:w="0" w:type="auto"/>
            <w:hideMark/>
          </w:tcPr>
          <w:p w14:paraId="3205F4FD"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11001-03-27-000-2014-00146-00 (21461)</w:t>
            </w:r>
          </w:p>
        </w:tc>
        <w:tc>
          <w:tcPr>
            <w:tcW w:w="0" w:type="auto"/>
            <w:hideMark/>
          </w:tcPr>
          <w:p w14:paraId="299462CE"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2019</w:t>
            </w:r>
          </w:p>
        </w:tc>
        <w:tc>
          <w:tcPr>
            <w:tcW w:w="0" w:type="auto"/>
            <w:hideMark/>
          </w:tcPr>
          <w:p w14:paraId="3C9F4AF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Discusión sobre saldos a favor y compensación</w:t>
            </w:r>
          </w:p>
        </w:tc>
        <w:tc>
          <w:tcPr>
            <w:tcW w:w="0" w:type="auto"/>
            <w:hideMark/>
          </w:tcPr>
          <w:p w14:paraId="460B75D7"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La jurisprudencia contenciosa analizó si determinados saldos a favor susceptibles de compensación excluyen la ineficacia o permiten tener por eficaz la declaración sin pago directo.</w:t>
            </w:r>
          </w:p>
        </w:tc>
        <w:tc>
          <w:tcPr>
            <w:tcW w:w="0" w:type="auto"/>
            <w:hideMark/>
          </w:tcPr>
          <w:p w14:paraId="40B494F8"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Exige distinguir entre la regla general de pago total y las excepciones legales vinculadas a compensación.</w:t>
            </w:r>
          </w:p>
        </w:tc>
        <w:tc>
          <w:tcPr>
            <w:tcW w:w="0" w:type="auto"/>
            <w:hideMark/>
          </w:tcPr>
          <w:p w14:paraId="6AC3BC18"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Consejo de Estado, Sección Cuarta</w:t>
            </w:r>
          </w:p>
        </w:tc>
      </w:tr>
      <w:tr w:rsidR="00FD6BD7" w:rsidRPr="006177E4" w14:paraId="71C4AC65" w14:textId="77777777" w:rsidTr="00D64F6E">
        <w:trPr>
          <w:trHeight w:val="2258"/>
        </w:trPr>
        <w:tc>
          <w:tcPr>
            <w:tcW w:w="0" w:type="auto"/>
            <w:hideMark/>
          </w:tcPr>
          <w:p w14:paraId="7B039FCC" w14:textId="77777777" w:rsidR="00FD6BD7" w:rsidRPr="006177E4" w:rsidRDefault="00FD6BD7" w:rsidP="00263B16">
            <w:pPr>
              <w:spacing w:line="480" w:lineRule="auto"/>
              <w:jc w:val="left"/>
              <w:rPr>
                <w:rFonts w:eastAsia="Times New Roman" w:cs="Times New Roman"/>
                <w:color w:val="000000"/>
                <w:szCs w:val="24"/>
                <w:lang w:val="en-US"/>
              </w:rPr>
            </w:pPr>
            <w:r w:rsidRPr="006177E4">
              <w:rPr>
                <w:rFonts w:eastAsia="Times New Roman" w:cs="Times New Roman"/>
                <w:color w:val="000000"/>
                <w:szCs w:val="24"/>
                <w:lang w:val="en-US"/>
              </w:rPr>
              <w:t>Doctrinal</w:t>
            </w:r>
          </w:p>
        </w:tc>
        <w:tc>
          <w:tcPr>
            <w:tcW w:w="0" w:type="auto"/>
            <w:hideMark/>
          </w:tcPr>
          <w:p w14:paraId="55165B4E" w14:textId="77777777" w:rsidR="00FD6BD7" w:rsidRPr="006177E4" w:rsidRDefault="00FD6BD7" w:rsidP="00263B16">
            <w:pPr>
              <w:spacing w:line="480" w:lineRule="auto"/>
              <w:jc w:val="left"/>
              <w:rPr>
                <w:rFonts w:eastAsia="Times New Roman" w:cs="Times New Roman"/>
                <w:color w:val="000000"/>
                <w:szCs w:val="24"/>
                <w:lang w:val="en-US"/>
              </w:rPr>
            </w:pPr>
            <w:proofErr w:type="spellStart"/>
            <w:r w:rsidRPr="006177E4">
              <w:rPr>
                <w:rFonts w:eastAsia="Times New Roman" w:cs="Times New Roman"/>
                <w:color w:val="000000"/>
                <w:szCs w:val="24"/>
                <w:lang w:val="en-US"/>
              </w:rPr>
              <w:t>Sentencia</w:t>
            </w:r>
            <w:proofErr w:type="spellEnd"/>
            <w:r w:rsidRPr="006177E4">
              <w:rPr>
                <w:rFonts w:eastAsia="Times New Roman" w:cs="Times New Roman"/>
                <w:color w:val="000000"/>
                <w:szCs w:val="24"/>
                <w:lang w:val="en-US"/>
              </w:rPr>
              <w:t xml:space="preserve"> 25000-23-37-000-2016-02088-01 (24331)</w:t>
            </w:r>
          </w:p>
        </w:tc>
        <w:tc>
          <w:tcPr>
            <w:tcW w:w="0" w:type="auto"/>
            <w:hideMark/>
          </w:tcPr>
          <w:p w14:paraId="55B9A576" w14:textId="77777777" w:rsidR="00FD6BD7" w:rsidRPr="006177E4" w:rsidRDefault="00FD6BD7" w:rsidP="00263B16">
            <w:pPr>
              <w:spacing w:line="480" w:lineRule="auto"/>
              <w:jc w:val="right"/>
              <w:rPr>
                <w:rFonts w:eastAsia="Times New Roman" w:cs="Times New Roman"/>
                <w:color w:val="000000"/>
                <w:szCs w:val="24"/>
                <w:lang w:val="en-US"/>
              </w:rPr>
            </w:pPr>
            <w:r w:rsidRPr="006177E4">
              <w:rPr>
                <w:rFonts w:eastAsia="Times New Roman" w:cs="Times New Roman"/>
                <w:color w:val="000000"/>
                <w:szCs w:val="24"/>
                <w:lang w:val="en-US"/>
              </w:rPr>
              <w:t>2021</w:t>
            </w:r>
          </w:p>
        </w:tc>
        <w:tc>
          <w:tcPr>
            <w:tcW w:w="0" w:type="auto"/>
            <w:hideMark/>
          </w:tcPr>
          <w:p w14:paraId="4E0D8FCF"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Excepciones jurisprudenciales a la regla general</w:t>
            </w:r>
          </w:p>
        </w:tc>
        <w:tc>
          <w:tcPr>
            <w:tcW w:w="0" w:type="auto"/>
            <w:hideMark/>
          </w:tcPr>
          <w:p w14:paraId="7952E045"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 xml:space="preserve">La jurisprudencia posterior reiteró que la declaración presentada sin pago es, en principio, ineficaz, salvo los supuestos legales expresos </w:t>
            </w:r>
            <w:r w:rsidRPr="006177E4">
              <w:rPr>
                <w:rFonts w:eastAsia="Times New Roman" w:cs="Times New Roman"/>
                <w:color w:val="000000"/>
                <w:szCs w:val="24"/>
              </w:rPr>
              <w:lastRenderedPageBreak/>
              <w:t>relacionados con compensación u otras excepciones normativas.</w:t>
            </w:r>
          </w:p>
        </w:tc>
        <w:tc>
          <w:tcPr>
            <w:tcW w:w="0" w:type="auto"/>
            <w:hideMark/>
          </w:tcPr>
          <w:p w14:paraId="7B72C2BB"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lastRenderedPageBreak/>
              <w:t>Refuerza la lectura de la figura como regla general severa con excepciones taxativas.</w:t>
            </w:r>
          </w:p>
        </w:tc>
        <w:tc>
          <w:tcPr>
            <w:tcW w:w="0" w:type="auto"/>
            <w:hideMark/>
          </w:tcPr>
          <w:p w14:paraId="7CA56FF3" w14:textId="77777777" w:rsidR="00FD6BD7" w:rsidRPr="006177E4" w:rsidRDefault="00FD6BD7" w:rsidP="00263B16">
            <w:pPr>
              <w:spacing w:line="480" w:lineRule="auto"/>
              <w:jc w:val="left"/>
              <w:rPr>
                <w:rFonts w:eastAsia="Times New Roman" w:cs="Times New Roman"/>
                <w:color w:val="000000"/>
                <w:szCs w:val="24"/>
              </w:rPr>
            </w:pPr>
            <w:r w:rsidRPr="006177E4">
              <w:rPr>
                <w:rFonts w:eastAsia="Times New Roman" w:cs="Times New Roman"/>
                <w:color w:val="000000"/>
                <w:szCs w:val="24"/>
              </w:rPr>
              <w:t>Consejo de Estado, Sección Cuarta</w:t>
            </w:r>
          </w:p>
        </w:tc>
      </w:tr>
    </w:tbl>
    <w:p w14:paraId="211686EB" w14:textId="77777777" w:rsidR="00FD6BD7" w:rsidRPr="006177E4" w:rsidRDefault="00FD6BD7" w:rsidP="00263B16">
      <w:pPr>
        <w:spacing w:line="480" w:lineRule="auto"/>
        <w:rPr>
          <w:rFonts w:cs="Times New Roman"/>
          <w:bCs/>
          <w:szCs w:val="24"/>
        </w:rPr>
      </w:pPr>
    </w:p>
    <w:p w14:paraId="7842B252" w14:textId="5A0B5AE3" w:rsidR="00FD6BD7" w:rsidRPr="006177E4" w:rsidRDefault="00FD6BD7" w:rsidP="00263B16">
      <w:pPr>
        <w:spacing w:line="480" w:lineRule="auto"/>
        <w:jc w:val="left"/>
        <w:rPr>
          <w:rFonts w:cs="Times New Roman"/>
          <w:bCs/>
          <w:szCs w:val="24"/>
        </w:rPr>
      </w:pPr>
      <w:r w:rsidRPr="006177E4">
        <w:rPr>
          <w:rFonts w:cs="Times New Roman"/>
          <w:bCs/>
          <w:szCs w:val="24"/>
        </w:rPr>
        <w:t>Fuente:</w:t>
      </w:r>
      <w:r w:rsidR="00340E73" w:rsidRPr="006177E4">
        <w:rPr>
          <w:rFonts w:cs="Times New Roman"/>
          <w:bCs/>
          <w:szCs w:val="24"/>
        </w:rPr>
        <w:t xml:space="preserve"> elaboración propia (Acero y López, 2026) con apoyo IA</w:t>
      </w:r>
    </w:p>
    <w:p w14:paraId="31BFE289" w14:textId="5E244C59" w:rsidR="00FD6BD7" w:rsidRPr="006177E4" w:rsidRDefault="00FD6BD7" w:rsidP="008C471E">
      <w:pPr>
        <w:pStyle w:val="PrrAPA"/>
        <w:sectPr w:rsidR="00FD6BD7" w:rsidRPr="006177E4" w:rsidSect="00F913E9">
          <w:pgSz w:w="15840" w:h="12240" w:orient="landscape"/>
          <w:pgMar w:top="1440" w:right="1440" w:bottom="1440" w:left="1440" w:header="720" w:footer="720" w:gutter="0"/>
          <w:cols w:space="720"/>
          <w:docGrid w:linePitch="360"/>
        </w:sectPr>
      </w:pPr>
      <w:r w:rsidRPr="006177E4">
        <w:t xml:space="preserve">Los hallazgos y resultados de la matriz </w:t>
      </w:r>
      <w:r w:rsidR="00F31EDC" w:rsidRPr="006177E4">
        <w:t>relacionada</w:t>
      </w:r>
      <w:r w:rsidRPr="006177E4">
        <w:t xml:space="preserve"> representan de manera detallada de las discusiones de cada una de las fuentes consultadas y que permiten determinar las principales causas de la figura de la ineficacia.</w:t>
      </w:r>
    </w:p>
    <w:p w14:paraId="2962673B" w14:textId="661986C6" w:rsidR="00FD6BD7" w:rsidRPr="00C66C24" w:rsidRDefault="00FD6BD7" w:rsidP="00263B16">
      <w:pPr>
        <w:pStyle w:val="Ttulo4"/>
      </w:pPr>
      <w:bookmarkStart w:id="133" w:name="_Toc228250802"/>
      <w:bookmarkStart w:id="134" w:name="_Toc229077668"/>
      <w:r w:rsidRPr="00C66C24">
        <w:lastRenderedPageBreak/>
        <w:t>Principales causas de la ineficacia de las declaraciones de retención en la fuente en renta según los alcances legales y procedimentales.</w:t>
      </w:r>
      <w:bookmarkEnd w:id="133"/>
      <w:bookmarkEnd w:id="134"/>
      <w:r w:rsidRPr="00C66C24">
        <w:t xml:space="preserve"> </w:t>
      </w:r>
    </w:p>
    <w:p w14:paraId="3F1F0485" w14:textId="77777777" w:rsidR="00FD6BD7" w:rsidRPr="006177E4" w:rsidRDefault="00FD6BD7" w:rsidP="008C471E">
      <w:pPr>
        <w:pStyle w:val="PrrAPA"/>
      </w:pPr>
      <w:r w:rsidRPr="006177E4">
        <w:t>La identificación de las causas de la ineficacia se realizó analizando la configuración legal del artículo 580-1 del estatuto tributario, su desarrollo jurisprudencial y su interpretación incidieron en la presentación de las declaraciones sin pago total.</w:t>
      </w:r>
    </w:p>
    <w:p w14:paraId="23FD441A" w14:textId="21B8D98B" w:rsidR="00FD6BD7" w:rsidRPr="006177E4" w:rsidRDefault="00FD6BD7" w:rsidP="008C471E">
      <w:pPr>
        <w:pStyle w:val="PrrAPA"/>
      </w:pPr>
      <w:r w:rsidRPr="006177E4">
        <w:t>Revisando la literatura, en el libro de Hacienda pública</w:t>
      </w:r>
      <w:r w:rsidR="009F5546">
        <w:t xml:space="preserve"> </w:t>
      </w:r>
      <w:r w:rsidRPr="006177E4">
        <w:t>se encuentra dentro de los hallazgos, que la figura de las retenciones, a partir de 1969, configuró un abono al impuesto y un mecanismo de eficiencia que permitió desde entonces atenuar el efecto de la inflación.</w:t>
      </w:r>
    </w:p>
    <w:p w14:paraId="462A4E7F" w14:textId="7A7385CE" w:rsidR="00FD6BD7" w:rsidRPr="006177E4" w:rsidRDefault="00FD6BD7" w:rsidP="008C471E">
      <w:pPr>
        <w:pStyle w:val="PrrAPA"/>
      </w:pPr>
      <w:r w:rsidRPr="006177E4">
        <w:t>En la siguiente figura se sintetizan las principales causas, a partir del análisis documental realizado</w:t>
      </w:r>
      <w:r w:rsidR="00E667D6">
        <w:t>.</w:t>
      </w:r>
    </w:p>
    <w:p w14:paraId="61F1C8F3" w14:textId="77777777" w:rsidR="00F31EDC" w:rsidRDefault="00E667D6" w:rsidP="00263B16">
      <w:pPr>
        <w:pStyle w:val="Descripcin"/>
        <w:spacing w:after="0" w:line="480" w:lineRule="auto"/>
        <w:rPr>
          <w:b/>
          <w:bCs/>
          <w:i w:val="0"/>
          <w:iCs w:val="0"/>
        </w:rPr>
      </w:pPr>
      <w:bookmarkStart w:id="135" w:name="_Toc229077716"/>
      <w:r w:rsidRPr="00857047">
        <w:rPr>
          <w:b/>
          <w:bCs/>
          <w:i w:val="0"/>
          <w:iCs w:val="0"/>
        </w:rPr>
        <w:t xml:space="preserve">Figura </w:t>
      </w:r>
      <w:r w:rsidRPr="00857047">
        <w:rPr>
          <w:b/>
          <w:bCs/>
          <w:i w:val="0"/>
          <w:iCs w:val="0"/>
        </w:rPr>
        <w:fldChar w:fldCharType="begin"/>
      </w:r>
      <w:r w:rsidRPr="00857047">
        <w:rPr>
          <w:b/>
          <w:bCs/>
          <w:i w:val="0"/>
          <w:iCs w:val="0"/>
        </w:rPr>
        <w:instrText xml:space="preserve"> SEQ Figura_ \* ARABIC </w:instrText>
      </w:r>
      <w:r w:rsidRPr="00857047">
        <w:rPr>
          <w:b/>
          <w:bCs/>
          <w:i w:val="0"/>
          <w:iCs w:val="0"/>
        </w:rPr>
        <w:fldChar w:fldCharType="separate"/>
      </w:r>
      <w:r w:rsidR="00F01079">
        <w:rPr>
          <w:b/>
          <w:bCs/>
          <w:i w:val="0"/>
          <w:iCs w:val="0"/>
          <w:noProof/>
        </w:rPr>
        <w:t>7</w:t>
      </w:r>
      <w:r w:rsidRPr="00857047">
        <w:rPr>
          <w:b/>
          <w:bCs/>
          <w:i w:val="0"/>
          <w:iCs w:val="0"/>
        </w:rPr>
        <w:fldChar w:fldCharType="end"/>
      </w:r>
      <w:r w:rsidR="00857047">
        <w:rPr>
          <w:b/>
          <w:bCs/>
          <w:i w:val="0"/>
          <w:iCs w:val="0"/>
        </w:rPr>
        <w:t xml:space="preserve"> </w:t>
      </w:r>
    </w:p>
    <w:p w14:paraId="7CDFB077" w14:textId="52B0C13B" w:rsidR="00FD6BD7" w:rsidRPr="00857047" w:rsidRDefault="00FD6BD7" w:rsidP="00263B16">
      <w:pPr>
        <w:pStyle w:val="Descripcin"/>
        <w:spacing w:after="0" w:line="480" w:lineRule="auto"/>
        <w:rPr>
          <w:rFonts w:cs="Times New Roman"/>
          <w:b/>
          <w:bCs/>
          <w:i w:val="0"/>
          <w:iCs w:val="0"/>
          <w:szCs w:val="24"/>
        </w:rPr>
      </w:pPr>
      <w:r w:rsidRPr="006177E4">
        <w:rPr>
          <w:rFonts w:cs="Times New Roman"/>
          <w:bCs/>
          <w:szCs w:val="24"/>
        </w:rPr>
        <w:t>Causas de la ineficacia</w:t>
      </w:r>
      <w:r w:rsidR="00857047">
        <w:rPr>
          <w:rFonts w:cs="Times New Roman"/>
          <w:bCs/>
          <w:szCs w:val="24"/>
        </w:rPr>
        <w:t>.</w:t>
      </w:r>
      <w:bookmarkEnd w:id="135"/>
    </w:p>
    <w:p w14:paraId="2C81BA1F" w14:textId="77777777" w:rsidR="00FD6BD7" w:rsidRPr="006177E4" w:rsidRDefault="00FD6BD7" w:rsidP="00263B16">
      <w:pPr>
        <w:pStyle w:val="NormalWeb"/>
        <w:spacing w:before="0" w:beforeAutospacing="0" w:after="0" w:afterAutospacing="0" w:line="480" w:lineRule="auto"/>
        <w:jc w:val="center"/>
      </w:pPr>
      <w:r w:rsidRPr="006177E4">
        <w:rPr>
          <w:noProof/>
        </w:rPr>
        <w:drawing>
          <wp:inline distT="0" distB="0" distL="0" distR="0" wp14:anchorId="31853930" wp14:editId="0C755770">
            <wp:extent cx="5527675" cy="3636335"/>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aturation sat="0"/>
                              </a14:imgEffect>
                            </a14:imgLayer>
                          </a14:imgProps>
                        </a:ext>
                      </a:extLst>
                    </a:blip>
                    <a:stretch>
                      <a:fillRect/>
                    </a:stretch>
                  </pic:blipFill>
                  <pic:spPr>
                    <a:xfrm>
                      <a:off x="0" y="0"/>
                      <a:ext cx="5552159" cy="3652441"/>
                    </a:xfrm>
                    <a:prstGeom prst="rect">
                      <a:avLst/>
                    </a:prstGeom>
                  </pic:spPr>
                </pic:pic>
              </a:graphicData>
            </a:graphic>
          </wp:inline>
        </w:drawing>
      </w:r>
    </w:p>
    <w:p w14:paraId="07CDF887" w14:textId="2BFDB8CB" w:rsidR="00FD6BD7" w:rsidRPr="006177E4" w:rsidRDefault="00857047" w:rsidP="00263B16">
      <w:pPr>
        <w:spacing w:line="480" w:lineRule="auto"/>
        <w:rPr>
          <w:rFonts w:cs="Times New Roman"/>
          <w:bCs/>
          <w:szCs w:val="24"/>
        </w:rPr>
      </w:pPr>
      <w:r>
        <w:rPr>
          <w:rFonts w:cs="Times New Roman"/>
          <w:bCs/>
          <w:szCs w:val="24"/>
        </w:rPr>
        <w:t xml:space="preserve">Nota. </w:t>
      </w:r>
      <w:r w:rsidRPr="00E27C5F">
        <w:rPr>
          <w:rFonts w:eastAsia="Times New Roman" w:cs="Times New Roman"/>
          <w:szCs w:val="24"/>
        </w:rPr>
        <w:t>E</w:t>
      </w:r>
      <w:r w:rsidR="00087FDF" w:rsidRPr="00E27C5F">
        <w:rPr>
          <w:rFonts w:cs="Times New Roman"/>
          <w:bCs/>
          <w:szCs w:val="24"/>
        </w:rPr>
        <w:t>la</w:t>
      </w:r>
      <w:r w:rsidR="00087FDF" w:rsidRPr="006177E4">
        <w:rPr>
          <w:rFonts w:cs="Times New Roman"/>
          <w:bCs/>
          <w:szCs w:val="24"/>
        </w:rPr>
        <w:t>boración propia</w:t>
      </w:r>
      <w:r w:rsidR="00F31EDC">
        <w:rPr>
          <w:rFonts w:cs="Times New Roman"/>
          <w:bCs/>
          <w:szCs w:val="24"/>
        </w:rPr>
        <w:t>.</w:t>
      </w:r>
      <w:r w:rsidR="00087FDF" w:rsidRPr="006177E4">
        <w:rPr>
          <w:rFonts w:cs="Times New Roman"/>
          <w:bCs/>
          <w:szCs w:val="24"/>
        </w:rPr>
        <w:t xml:space="preserve"> (Acero y López, 2026) con apoyo IA</w:t>
      </w:r>
    </w:p>
    <w:p w14:paraId="4D7428DA" w14:textId="77777777" w:rsidR="00857047" w:rsidRDefault="00FD6BD7" w:rsidP="00674D57">
      <w:pPr>
        <w:pStyle w:val="PrrAPA"/>
      </w:pPr>
      <w:r w:rsidRPr="006177E4">
        <w:t xml:space="preserve">Producto del análisis documental y las controversias planteadas por los agentes de retención y contribuyentes entorno a la figura de la ineficacia, se determinan las principales causas </w:t>
      </w:r>
      <w:r w:rsidRPr="006177E4">
        <w:lastRenderedPageBreak/>
        <w:t>legales y procedimentales que explican la ineficacia de las declaraciones de retención en la fuente en renta, y las discusiones jurídicas y operativas se derivan de su aplicación.</w:t>
      </w:r>
    </w:p>
    <w:p w14:paraId="4A0264E7" w14:textId="77777777" w:rsidR="00857047" w:rsidRDefault="00FD6BD7" w:rsidP="00674D57">
      <w:pPr>
        <w:pStyle w:val="PrrAPA"/>
      </w:pPr>
      <w:r w:rsidRPr="006177E4">
        <w:t xml:space="preserve">La principal causa de la figura de la ineficacia se configura en la ausencia del pago total, derivada de su condición concomitante en la presentación y pago. Sumada a ella se presentan factores normativos, económicos, administrativos e interpretativos que incidieron en las declaraciones de retención en la fuente como ineficaces. La figura jurídica prevista por el artículo 580-1 del </w:t>
      </w:r>
      <w:sdt>
        <w:sdtPr>
          <w:rPr>
            <w:color w:val="000000"/>
          </w:rPr>
          <w:tag w:val="MENDELEY_CITATION_v3_eyJjaXRhdGlvbklEIjoiTUVOREVMRVlfQ0lUQVRJT05fZmFmMjYxNjktOWMwNC00NjAwLWE1ZTctZTBlYjg0YTY5MGJi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262256393"/>
          <w:placeholder>
            <w:docPart w:val="DefaultPlaceholder_-1854013440"/>
          </w:placeholder>
        </w:sdtPr>
        <w:sdtEndPr/>
        <w:sdtContent>
          <w:r w:rsidR="00857047">
            <w:rPr>
              <w:color w:val="000000"/>
            </w:rPr>
            <w:t>Decreto 624 (</w:t>
          </w:r>
          <w:r w:rsidR="009A1775" w:rsidRPr="006177E4">
            <w:rPr>
              <w:color w:val="000000"/>
            </w:rPr>
            <w:t>1989)</w:t>
          </w:r>
        </w:sdtContent>
      </w:sdt>
      <w:r w:rsidRPr="006177E4">
        <w:t>, busca el cumplimiento oportuno de una obligación que, por su naturaleza, recae sobre recursos públicos retenidos a terceros y no sobre dineros propios del agente retenedor</w:t>
      </w:r>
      <w:r w:rsidR="00B85535" w:rsidRPr="006177E4">
        <w:t>.</w:t>
      </w:r>
    </w:p>
    <w:p w14:paraId="544F30B6" w14:textId="77777777" w:rsidR="00857047" w:rsidRDefault="00FD6BD7" w:rsidP="00674D57">
      <w:pPr>
        <w:pStyle w:val="PrrAPA"/>
      </w:pPr>
      <w:r w:rsidRPr="006177E4">
        <w:t xml:space="preserve">Otra de las causas se configura en la insuficiencia de liquidez del agente retenedor. La jurisprudencia contencioso-administrativa explicó que la exigencia de pago total se justifica para impedir que el retenedor financie su operación con recursos retenidos que deben ser trasladados oportunamente al Estado Sentencia 18304 </w:t>
      </w:r>
      <w:r w:rsidR="00857047">
        <w:t>(</w:t>
      </w:r>
      <w:r w:rsidRPr="006177E4">
        <w:t>2011)</w:t>
      </w:r>
      <w:r w:rsidR="00857047">
        <w:t xml:space="preserve"> </w:t>
      </w:r>
      <w:sdt>
        <w:sdtPr>
          <w:rPr>
            <w:color w:val="000000"/>
          </w:rPr>
          <w:tag w:val="MENDELEY_CITATION_v3_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"/>
          <w:id w:val="-488555894"/>
          <w:placeholder>
            <w:docPart w:val="DefaultPlaceholder_-1854013440"/>
          </w:placeholder>
        </w:sdtPr>
        <w:sdtEndPr/>
        <w:sdtContent>
          <w:r w:rsidR="009A1775" w:rsidRPr="006177E4">
            <w:rPr>
              <w:color w:val="000000"/>
            </w:rPr>
            <w:t xml:space="preserve">Giraldo </w:t>
          </w:r>
          <w:r w:rsidR="00857047">
            <w:rPr>
              <w:color w:val="000000"/>
            </w:rPr>
            <w:t>(</w:t>
          </w:r>
          <w:r w:rsidR="009A1775" w:rsidRPr="006177E4">
            <w:rPr>
              <w:color w:val="000000"/>
            </w:rPr>
            <w:t>2011)</w:t>
          </w:r>
        </w:sdtContent>
      </w:sdt>
      <w:r w:rsidRPr="006177E4">
        <w:t>. El Consejo de Estado sostuvo que la norma perseguía evitar la práctica de utilizar dineros recaudados para fines distintos a su entrega inmediata al estado.</w:t>
      </w:r>
    </w:p>
    <w:p w14:paraId="014DC032" w14:textId="77777777" w:rsidR="00857047" w:rsidRDefault="00FD6BD7" w:rsidP="00674D57">
      <w:pPr>
        <w:pStyle w:val="PrrAPA"/>
      </w:pPr>
      <w:r w:rsidRPr="006177E4">
        <w:t>La tercera causa, está relacionada con la controversia en torno a la interpretación de la norma y la seguridad jurídica del agente retenedor. La Corte Constitucional avaló que el legislador decretar la ineficacia sin necesidad de acto administrativo declarativo, y precisó que esta consecuencia no constituye una sanción, sino una condición jurídica</w:t>
      </w:r>
      <w:r w:rsidR="00B85535" w:rsidRPr="006177E4">
        <w:t>.</w:t>
      </w:r>
    </w:p>
    <w:p w14:paraId="66E3E103" w14:textId="77777777" w:rsidR="00857047" w:rsidRDefault="00FD6BD7" w:rsidP="00674D57">
      <w:pPr>
        <w:pStyle w:val="PrrAPA"/>
      </w:pPr>
      <w:r w:rsidRPr="006177E4">
        <w:t>La cuarta causa, corresponde al debate en la distinción del cumplimiento del deber formal y el deber sustancial al momento de presentar las declaraciones en la fuente. En la discusión, se expone que la norma demandada es violatoria del artículo 29</w:t>
      </w:r>
      <w:r w:rsidR="0048790F" w:rsidRPr="006177E4">
        <w:t xml:space="preserve"> </w:t>
      </w:r>
      <w:sdt>
        <w:sdtPr>
          <w:rPr>
            <w:color w:val="000000"/>
          </w:rPr>
          <w:tag w:val="MENDELEY_CITATION_v3_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"/>
          <w:id w:val="-1946066620"/>
          <w:placeholder>
            <w:docPart w:val="DefaultPlaceholder_-1854013440"/>
          </w:placeholder>
        </w:sdtPr>
        <w:sdtEndPr/>
        <w:sdtContent>
          <w:r w:rsidR="009A1775" w:rsidRPr="006177E4">
            <w:rPr>
              <w:color w:val="000000"/>
            </w:rPr>
            <w:t>Constitución Política de Colombia</w:t>
          </w:r>
          <w:r w:rsidR="00857047">
            <w:rPr>
              <w:color w:val="000000"/>
            </w:rPr>
            <w:t xml:space="preserve"> (</w:t>
          </w:r>
          <w:r w:rsidR="009A1775" w:rsidRPr="006177E4">
            <w:rPr>
              <w:color w:val="000000"/>
            </w:rPr>
            <w:t>1991)</w:t>
          </w:r>
        </w:sdtContent>
      </w:sdt>
      <w:r w:rsidRPr="006177E4">
        <w:t xml:space="preserve"> de la constitución porque la obligación formal de declarar la retención en la fuente es distinta a la obligación sustancial de pagarla. En la demanda se indica que la norma viola del derecho al debido proceso, porque establece una responsabilidad objetiva, y por la falta de correspondencia y de proporcionalidad entre la conducta del agente retenedor de no pagar totalmente, y la consecuencia que de ella se deriva </w:t>
      </w:r>
      <w:sdt>
        <w:sdtPr>
          <w:rPr>
            <w:color w:val="000000"/>
          </w:rPr>
          <w:tag w:val="MENDELEY_CITATION_v3_eyJjaXRhdGlvbklEIjoiTUVOREVMRVlfQ0lUQVRJT05fNWVhNzVjNWItNGE5Zi00MTYwLWI0OTgtZGJhMGI0ODcxMGFj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33044460"/>
          <w:placeholder>
            <w:docPart w:val="DefaultPlaceholder_-1854013440"/>
          </w:placeholder>
        </w:sdtPr>
        <w:sdtEndPr/>
        <w:sdtContent>
          <w:r w:rsidR="009A1775" w:rsidRPr="006177E4">
            <w:rPr>
              <w:rFonts w:eastAsia="Times New Roman"/>
              <w:color w:val="000000"/>
            </w:rPr>
            <w:t xml:space="preserve">Sentencia C-102 </w:t>
          </w:r>
          <w:r w:rsidR="00857047">
            <w:rPr>
              <w:rFonts w:eastAsia="Times New Roman"/>
              <w:color w:val="000000"/>
            </w:rPr>
            <w:t>(</w:t>
          </w:r>
          <w:r w:rsidR="009A1775" w:rsidRPr="006177E4">
            <w:rPr>
              <w:rFonts w:eastAsia="Times New Roman"/>
              <w:color w:val="000000"/>
            </w:rPr>
            <w:t>2015)</w:t>
          </w:r>
        </w:sdtContent>
      </w:sdt>
    </w:p>
    <w:p w14:paraId="0CD7A462" w14:textId="77777777" w:rsidR="00857047" w:rsidRDefault="00FD6BD7" w:rsidP="00674D57">
      <w:pPr>
        <w:pStyle w:val="PrrAPA"/>
      </w:pPr>
      <w:r w:rsidRPr="006177E4">
        <w:t xml:space="preserve">La quinta causa consistió en las limitaciones operativas de la administración tributaria para fiscalizar las declaraciones ineficaces y adelantar el proceso sancionatorio y las limitaciones de la </w:t>
      </w:r>
      <w:sdt>
        <w:sdtPr>
          <w:rPr>
            <w:color w:val="000000"/>
          </w:rPr>
          <w:tag w:val="MENDELEY_CITATION_v3_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"/>
          <w:id w:val="715780919"/>
          <w:placeholder>
            <w:docPart w:val="DefaultPlaceholder_-1854013440"/>
          </w:placeholder>
        </w:sdtPr>
        <w:sdtEndPr/>
        <w:sdtContent>
          <w:r w:rsidR="009A1775" w:rsidRPr="006177E4">
            <w:rPr>
              <w:color w:val="000000"/>
            </w:rPr>
            <w:t xml:space="preserve">Ley 1116 </w:t>
          </w:r>
          <w:r w:rsidR="00857047">
            <w:rPr>
              <w:color w:val="000000"/>
            </w:rPr>
            <w:t>(</w:t>
          </w:r>
          <w:r w:rsidR="009A1775" w:rsidRPr="006177E4">
            <w:rPr>
              <w:color w:val="000000"/>
            </w:rPr>
            <w:t>2016)</w:t>
          </w:r>
        </w:sdtContent>
      </w:sdt>
      <w:r w:rsidRPr="006177E4">
        <w:t xml:space="preserve"> en los procesos de reorganización en donde se exige el pago total de las declaraciones de retención, </w:t>
      </w:r>
      <w:sdt>
        <w:sdtPr>
          <w:rPr>
            <w:color w:val="000000"/>
          </w:rPr>
          <w:tag w:val="MENDELEY_CITATION_v3_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"/>
          <w:id w:val="141162407"/>
          <w:placeholder>
            <w:docPart w:val="DefaultPlaceholder_-1854013440"/>
          </w:placeholder>
        </w:sdtPr>
        <w:sdtEndPr/>
        <w:sdtContent>
          <w:r w:rsidR="009A1775" w:rsidRPr="006177E4">
            <w:rPr>
              <w:color w:val="000000"/>
            </w:rPr>
            <w:t>Rincón Palacio</w:t>
          </w:r>
          <w:r w:rsidR="00857047">
            <w:rPr>
              <w:color w:val="000000"/>
            </w:rPr>
            <w:t xml:space="preserve"> (</w:t>
          </w:r>
          <w:r w:rsidR="009A1775" w:rsidRPr="006177E4">
            <w:rPr>
              <w:color w:val="000000"/>
            </w:rPr>
            <w:t>2018a)</w:t>
          </w:r>
        </w:sdtContent>
      </w:sdt>
    </w:p>
    <w:p w14:paraId="3629635F" w14:textId="77777777" w:rsidR="00857047" w:rsidRDefault="00FD6BD7" w:rsidP="00674D57">
      <w:pPr>
        <w:pStyle w:val="PrrAPA"/>
      </w:pPr>
      <w:r w:rsidRPr="006177E4">
        <w:lastRenderedPageBreak/>
        <w:t>La sexta causa está relacionada con la complejidad en la interpretación de la norma. Las fuentes revisadas mostraron discusiones persistentes sobre la posibilidad de corregir una declaración ineficaz, lo cual debió aclararse mediante oficios y conceptos de la DIAN, Oficios 910619 de 2020</w:t>
      </w:r>
      <w:r w:rsidR="00DD69F1" w:rsidRPr="006177E4">
        <w:t xml:space="preserve"> </w:t>
      </w:r>
      <w:sdt>
        <w:sdtPr>
          <w:rPr>
            <w:color w:val="000000"/>
          </w:rPr>
          <w:tag w:val="MENDELEY_CITATION_v3_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"/>
          <w:id w:val="1943344951"/>
          <w:placeholder>
            <w:docPart w:val="DefaultPlaceholder_-1854013440"/>
          </w:placeholder>
        </w:sdtPr>
        <w:sdtEndPr/>
        <w:sdtContent>
          <w:r w:rsidR="00857047">
            <w:rPr>
              <w:color w:val="000000"/>
            </w:rPr>
            <w:t>(</w:t>
          </w:r>
          <w:r w:rsidR="009A1775" w:rsidRPr="006177E4">
            <w:rPr>
              <w:color w:val="000000"/>
            </w:rPr>
            <w:t>DIAN</w:t>
          </w:r>
          <w:r w:rsidR="00857047">
            <w:rPr>
              <w:color w:val="000000"/>
            </w:rPr>
            <w:t xml:space="preserve">, </w:t>
          </w:r>
          <w:r w:rsidR="009A1775" w:rsidRPr="006177E4">
            <w:rPr>
              <w:color w:val="000000"/>
            </w:rPr>
            <w:t>2020)</w:t>
          </w:r>
        </w:sdtContent>
      </w:sdt>
      <w:r w:rsidR="00B55951" w:rsidRPr="006177E4">
        <w:rPr>
          <w:color w:val="000000"/>
        </w:rPr>
        <w:t>,</w:t>
      </w:r>
      <w:r w:rsidRPr="006177E4">
        <w:t xml:space="preserve"> 905545 de 2021</w:t>
      </w:r>
      <w:r w:rsidR="004409D3" w:rsidRPr="006177E4">
        <w:t xml:space="preserve">  </w:t>
      </w:r>
      <w:sdt>
        <w:sdtPr>
          <w:rPr>
            <w:color w:val="000000"/>
          </w:rPr>
          <w:tag w:val="MENDELEY_CITATION_v3_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NTU0NV8yMDIxLmh0bSIsImlzc3VlZCI6eyJkYXRlLXBhcnRzIjpbWzIwMjFdXX0sImxhbmd1YWdlIjoiZXMiLCJhYnN0cmFjdCI6IlJlaXRlcsOzIHF1ZSBubyBlcyBwb3NpYmxlIGNvcnJlZ2lyIHVuYSBkZWNsYXJhY2nDs24gZGUgcmV0ZW5jacOzbiBlbiBsYSBmdWVudGUgaW5lZmljYXo7IGRlYmUgcHJlc2VudGFyc2UgbnVldmFtZW50ZSBjb24gcGFnbyB0b3RhbCwgc2FuY2nDs24gcG9yIGV4dGVtcG9yYW5laWRhZCBlIGludGVyZXNlcy4iLCJwdWJsaXNoZXIiOiJESUFOIn0sImlzVGVtcG9yYXJ5IjpmYWxzZX1dfQ=="/>
          <w:id w:val="-1741858425"/>
          <w:placeholder>
            <w:docPart w:val="DefaultPlaceholder_-1854013440"/>
          </w:placeholder>
        </w:sdtPr>
        <w:sdtEndPr/>
        <w:sdtContent>
          <w:r w:rsidR="00857047">
            <w:rPr>
              <w:color w:val="000000"/>
            </w:rPr>
            <w:t>(</w:t>
          </w:r>
          <w:r w:rsidR="009A1775" w:rsidRPr="006177E4">
            <w:rPr>
              <w:color w:val="000000"/>
            </w:rPr>
            <w:t>DIAN</w:t>
          </w:r>
          <w:r w:rsidR="00857047">
            <w:rPr>
              <w:color w:val="000000"/>
            </w:rPr>
            <w:t xml:space="preserve">, </w:t>
          </w:r>
          <w:r w:rsidR="009A1775" w:rsidRPr="006177E4">
            <w:rPr>
              <w:color w:val="000000"/>
            </w:rPr>
            <w:t>2021)</w:t>
          </w:r>
        </w:sdtContent>
      </w:sdt>
      <w:r w:rsidR="00857047">
        <w:rPr>
          <w:color w:val="000000"/>
        </w:rPr>
        <w:t>,</w:t>
      </w:r>
      <w:r w:rsidRPr="006177E4">
        <w:t xml:space="preserve"> Concepto 008678 </w:t>
      </w:r>
      <w:proofErr w:type="spellStart"/>
      <w:r w:rsidRPr="006177E4">
        <w:t>int</w:t>
      </w:r>
      <w:proofErr w:type="spellEnd"/>
      <w:r w:rsidRPr="006177E4">
        <w:t>. 991 de 2024</w:t>
      </w:r>
      <w:r w:rsidR="00B55951" w:rsidRPr="006177E4">
        <w:t xml:space="preserve"> </w:t>
      </w:r>
      <w:sdt>
        <w:sdtPr>
          <w:rPr>
            <w:color w:val="000000"/>
          </w:rPr>
          <w:tag w:val="MENDELEY_CITATION_v3_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"/>
          <w:id w:val="361716285"/>
          <w:placeholder>
            <w:docPart w:val="DefaultPlaceholder_-1854013440"/>
          </w:placeholder>
        </w:sdtPr>
        <w:sdtEndPr/>
        <w:sdtContent>
          <w:r w:rsidR="00857047">
            <w:rPr>
              <w:color w:val="000000"/>
            </w:rPr>
            <w:t>(</w:t>
          </w:r>
          <w:r w:rsidR="009A1775" w:rsidRPr="006177E4">
            <w:rPr>
              <w:color w:val="000000"/>
            </w:rPr>
            <w:t>DIAN</w:t>
          </w:r>
          <w:r w:rsidR="00857047">
            <w:rPr>
              <w:color w:val="000000"/>
            </w:rPr>
            <w:t xml:space="preserve">, </w:t>
          </w:r>
          <w:r w:rsidR="009A1775" w:rsidRPr="006177E4">
            <w:rPr>
              <w:color w:val="000000"/>
            </w:rPr>
            <w:t>2024)</w:t>
          </w:r>
        </w:sdtContent>
      </w:sdt>
      <w:r w:rsidR="00B55951" w:rsidRPr="006177E4">
        <w:rPr>
          <w:color w:val="000000"/>
        </w:rPr>
        <w:t>.</w:t>
      </w:r>
    </w:p>
    <w:p w14:paraId="211184C7" w14:textId="77777777" w:rsidR="00857047" w:rsidRDefault="00FD6BD7" w:rsidP="00674D57">
      <w:pPr>
        <w:pStyle w:val="PrrAPA"/>
      </w:pPr>
      <w:r w:rsidRPr="006177E4">
        <w:t>El análisis de la doctrina oficial permitió establecer como causa de la ineficacia la confusión entre declaración ineficaz, declaración no presentada y nueva declaración extemporánea. La DIAN reiteró que la declaración ineficaz no puede corregirse y que el agente retenedor debe presentar nuevamente la declaración, con liquidación de sanción por extemporaneidad, intereses moratorios y pago total. Esa necesidad de rehacer el cumplimiento, aun cuando exista un formulario presentado inicialmente dentro del plazo, ha generado tensiones prácticas y dogmáticas que inciden en la persistencia del fenómeno, especialmente cuando el obligado interpreta erróneamente que la declaración inicial puede ser saneada por simple corrección o por pago posterior.</w:t>
      </w:r>
    </w:p>
    <w:p w14:paraId="062972A5" w14:textId="063115D9" w:rsidR="00857047" w:rsidRDefault="00FD6BD7" w:rsidP="00674D57">
      <w:pPr>
        <w:pStyle w:val="PrrAPA"/>
      </w:pPr>
      <w:r w:rsidRPr="006177E4">
        <w:t xml:space="preserve">Las facilidades o acuerdos de pago, genera dificultades cuando el agente retenedor pretende acudir a estas de acuerdo con el artículo 814 </w:t>
      </w:r>
      <w:sdt>
        <w:sdtPr>
          <w:rPr>
            <w:color w:val="000000"/>
          </w:rPr>
          <w:tag w:val="MENDELEY_CITATION_v3_eyJjaXRhdGlvbklEIjoiTUVOREVMRVlfQ0lUQVRJT05fOTZmMTBkMzgtZTU5ZS00ZWM0LTlkNDMtYzk4OTZlMjRlZDA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492918040"/>
          <w:placeholder>
            <w:docPart w:val="DefaultPlaceholder_-1854013440"/>
          </w:placeholder>
        </w:sdtPr>
        <w:sdtEndPr/>
        <w:sdtContent>
          <w:r w:rsidR="00F31EDC">
            <w:rPr>
              <w:color w:val="000000"/>
            </w:rPr>
            <w:t>Decreto 624</w:t>
          </w:r>
          <w:r w:rsidR="009A1775" w:rsidRPr="006177E4">
            <w:rPr>
              <w:color w:val="000000"/>
            </w:rPr>
            <w:t xml:space="preserve"> </w:t>
          </w:r>
          <w:r w:rsidR="00F31EDC">
            <w:rPr>
              <w:color w:val="000000"/>
            </w:rPr>
            <w:t>(</w:t>
          </w:r>
          <w:r w:rsidR="009A1775" w:rsidRPr="006177E4">
            <w:rPr>
              <w:color w:val="000000"/>
            </w:rPr>
            <w:t>1989)</w:t>
          </w:r>
        </w:sdtContent>
      </w:sdt>
      <w:r w:rsidRPr="006177E4">
        <w:t xml:space="preserve"> la doctrina oficial de la DIAN ha advertido que ello no subsana la ineficacia de la declaración. Aunque la doctrina y la jurisprudencia han admitido que las declaraciones ineficaces pueden prestar mérito ejecutivo para efectos del cobro, ello no significa que una facilidad de pago sanee por sí misma la ineficacia de la declaración.</w:t>
      </w:r>
    </w:p>
    <w:p w14:paraId="5D33FFE0" w14:textId="77777777" w:rsidR="00857047" w:rsidRDefault="00FD6BD7" w:rsidP="00674D57">
      <w:pPr>
        <w:pStyle w:val="PrrAPA"/>
      </w:pPr>
      <w:r w:rsidRPr="006177E4">
        <w:t>Esta interpretación de ineficacia para el contribuyente, pero utilidad ejecutiva para la administración, ha contribuido a la confusión del régimen, en la medida en que el obligado puede suponer que el acceso a mecanismos de financiación reemplaza el deber de presentar nuevamente la declaración en los términos exigidos por la ley y la doctrina administrativa.</w:t>
      </w:r>
    </w:p>
    <w:p w14:paraId="00759D17" w14:textId="28A7201E" w:rsidR="00857047" w:rsidRDefault="00FD6BD7" w:rsidP="00674D57">
      <w:pPr>
        <w:pStyle w:val="PrrAPA"/>
      </w:pPr>
      <w:r w:rsidRPr="006177E4">
        <w:t xml:space="preserve">La constitución de título ejecutivo para la </w:t>
      </w:r>
      <w:r w:rsidR="00857047" w:rsidRPr="006177E4">
        <w:t>administración</w:t>
      </w:r>
      <w:r w:rsidRPr="006177E4">
        <w:t xml:space="preserve"> permite el recaudo del impuesto, sin embargo, la declaración sin pago total es ineficaz para el agente retenedor, pero puede prestar mérito ejecutivo para la administración, lo que genera una doble dimensión jurídica y operativa de difícil comprensión para el obligado. Aporta una causa de confusión práctica que incide en la reiteración del fenómeno y en la comprensión de sus consecuencias, Oficio 4638 de 2023 </w:t>
      </w:r>
      <w:sdt>
        <w:sdtPr>
          <w:rPr>
            <w:color w:val="000000"/>
          </w:rPr>
          <w:tag w:val="MENDELEY_CITATION_v3_eyJjaXRhdGlvbklEIjoiTUVOREVMRVlfQ0lUQVRJT05fOTQ3ZmRkNDItZmJlMC00ZWY5LTk5MGQtN2ZiNmVhNTQ2NzUw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
          <w:id w:val="1828551986"/>
          <w:placeholder>
            <w:docPart w:val="DefaultPlaceholder_-1854013440"/>
          </w:placeholder>
        </w:sdtPr>
        <w:sdtEndPr/>
        <w:sdtContent>
          <w:r w:rsidR="009A1775" w:rsidRPr="006177E4">
            <w:rPr>
              <w:color w:val="000000"/>
            </w:rPr>
            <w:t>(DIAN, 2023)</w:t>
          </w:r>
        </w:sdtContent>
      </w:sdt>
      <w:r w:rsidRPr="006177E4">
        <w:t>y Concepto 16224 de 2025</w:t>
      </w:r>
      <w:r w:rsidR="00DD2585" w:rsidRPr="006177E4">
        <w:t xml:space="preserve"> </w:t>
      </w:r>
      <w:sdt>
        <w:sdtPr>
          <w:rPr>
            <w:color w:val="000000"/>
          </w:rPr>
          <w:tag w:val="MENDELEY_CITATION_v3_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xNjIyNF8yMDI1Lmh0bSIsImlzc3VlZCI6eyJkYXRlLXBhcnRzIjpbWzIwMjVdXX0sImxhbmd1YWdlIjoiZXMiLCJhYnN0cmFjdCI6IlJlaXRlcmEgZWwgYWxjYW5jZSBkZWwgaW5jaXNvIHF1aW50byBkZWwgYXJ0w61jdWxvIDU4MC0xIEVUIHNvYnJlIGVsIHBhZ28gdG90YWwgZGVudHJvIGRlIGxvcyBkb3MgbWVzZXMgc2lndWllbnRlcyBhbCB2ZW5jaW1pZW50byBkZWwgcGxhem8gcGFyYSBkZWNsYXJhci4iLCJwdWJsaXNoZXIiOiJESUFOIn0sImlzVGVtcG9yYXJ5IjpmYWxzZX1dfQ=="/>
          <w:id w:val="1033855262"/>
          <w:placeholder>
            <w:docPart w:val="DefaultPlaceholder_-1854013440"/>
          </w:placeholder>
        </w:sdtPr>
        <w:sdtEndPr/>
        <w:sdtContent>
          <w:r w:rsidR="009A1775" w:rsidRPr="006177E4">
            <w:rPr>
              <w:color w:val="000000"/>
            </w:rPr>
            <w:t>(DIAN, 2025)</w:t>
          </w:r>
        </w:sdtContent>
      </w:sdt>
    </w:p>
    <w:p w14:paraId="40A6CB16" w14:textId="77777777" w:rsidR="00857047" w:rsidRDefault="00FD6BD7" w:rsidP="00674D57">
      <w:pPr>
        <w:pStyle w:val="PrrAPA"/>
      </w:pPr>
      <w:r w:rsidRPr="006177E4">
        <w:t>Por último, como novena causa, se identifica que la complejidad de la aplicación fue intensificada por la evolución normativa del artículo 580-1 del</w:t>
      </w:r>
      <w:r w:rsidR="00C30B31" w:rsidRPr="006177E4">
        <w:t xml:space="preserve"> </w:t>
      </w:r>
      <w:sdt>
        <w:sdtPr>
          <w:rPr>
            <w:color w:val="000000"/>
          </w:rPr>
          <w:tag w:val="MENDELEY_CITATION_v3_eyJjaXRhdGlvbklEIjoiTUVOREVMRVlfQ0lUQVRJT05fYzM4OGM0NjMtOTQzOS00N2E5LTk3NjAtYjlmNjBhMjdhMjk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980674756"/>
          <w:placeholder>
            <w:docPart w:val="DefaultPlaceholder_-1854013440"/>
          </w:placeholder>
        </w:sdtPr>
        <w:sdtEndPr/>
        <w:sdtContent>
          <w:r w:rsidR="009A1775" w:rsidRPr="006177E4">
            <w:rPr>
              <w:color w:val="000000"/>
            </w:rPr>
            <w:t>(Estatuto Tributario, 1989)</w:t>
          </w:r>
        </w:sdtContent>
      </w:sdt>
      <w:r w:rsidRPr="006177E4">
        <w:t xml:space="preserve">, </w:t>
      </w:r>
      <w:r w:rsidRPr="006177E4">
        <w:lastRenderedPageBreak/>
        <w:t xml:space="preserve">especialmente a partir de las reformas introducidas por la </w:t>
      </w:r>
      <w:sdt>
        <w:sdtPr>
          <w:rPr>
            <w:color w:val="000000"/>
          </w:rPr>
          <w:tag w:val="MENDELEY_CITATION_v3_eyJjaXRhdGlvbklEIjoiTUVOREVMRVlfQ0lUQVRJT05fZWY2MTc2NWItNDdlYi00MGU5LTg5ZDAtMTZkYjU1MzJiZTZj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
          <w:id w:val="-1238394003"/>
          <w:placeholder>
            <w:docPart w:val="DefaultPlaceholder_-1854013440"/>
          </w:placeholder>
        </w:sdtPr>
        <w:sdtEndPr/>
        <w:sdtContent>
          <w:r w:rsidR="009A1775" w:rsidRPr="006177E4">
            <w:rPr>
              <w:color w:val="000000"/>
            </w:rPr>
            <w:t>Ley 1819</w:t>
          </w:r>
          <w:r w:rsidR="00857047">
            <w:rPr>
              <w:color w:val="000000"/>
            </w:rPr>
            <w:t xml:space="preserve"> (</w:t>
          </w:r>
          <w:r w:rsidR="009A1775" w:rsidRPr="006177E4">
            <w:rPr>
              <w:color w:val="000000"/>
            </w:rPr>
            <w:t>2016)</w:t>
          </w:r>
        </w:sdtContent>
      </w:sdt>
      <w:r w:rsidR="00C30B31" w:rsidRPr="006177E4">
        <w:rPr>
          <w:color w:val="000000"/>
        </w:rPr>
        <w:t xml:space="preserve"> </w:t>
      </w:r>
      <w:sdt>
        <w:sdtPr>
          <w:rPr>
            <w:color w:val="000000"/>
          </w:rPr>
          <w:tag w:val="MENDELEY_CITATION_v3_eyJjaXRhdGlvbklEIjoiTUVOREVMRVlfQ0lUQVRJT05fZTIwMmEwYjQtNmE3Zi00NWM1LWJiOTQtOWU5ZWJhYjc3YTRk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
          <w:id w:val="1862856388"/>
          <w:placeholder>
            <w:docPart w:val="DefaultPlaceholder_-1854013440"/>
          </w:placeholder>
        </w:sdtPr>
        <w:sdtEndPr/>
        <w:sdtContent>
          <w:r w:rsidR="009A1775" w:rsidRPr="006177E4">
            <w:rPr>
              <w:color w:val="000000"/>
            </w:rPr>
            <w:t xml:space="preserve">Ley 2010 </w:t>
          </w:r>
          <w:r w:rsidR="00857047">
            <w:rPr>
              <w:color w:val="000000"/>
            </w:rPr>
            <w:t>(</w:t>
          </w:r>
          <w:r w:rsidR="009A1775" w:rsidRPr="006177E4">
            <w:rPr>
              <w:color w:val="000000"/>
            </w:rPr>
            <w:t>2019)</w:t>
          </w:r>
        </w:sdtContent>
      </w:sdt>
      <w:r w:rsidR="00C30B31" w:rsidRPr="006177E4">
        <w:rPr>
          <w:color w:val="000000"/>
        </w:rPr>
        <w:t xml:space="preserve">, </w:t>
      </w:r>
      <w:sdt>
        <w:sdtPr>
          <w:rPr>
            <w:color w:val="000000"/>
          </w:rPr>
          <w:tag w:val="MENDELEY_CITATION_v3_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IyNzdfMjAyMi5odG1sIiwiaXNzdWVkIjp7ImRhdGUtcGFydHMiOltbMjAyMl1dfX0sImlzVGVtcG9yYXJ5IjpmYWxzZX1dfQ=="/>
          <w:id w:val="-868374115"/>
          <w:placeholder>
            <w:docPart w:val="DefaultPlaceholder_-1854013440"/>
          </w:placeholder>
        </w:sdtPr>
        <w:sdtEndPr/>
        <w:sdtContent>
          <w:r w:rsidR="009A1775" w:rsidRPr="006177E4">
            <w:rPr>
              <w:color w:val="000000"/>
            </w:rPr>
            <w:t>Ley 2277</w:t>
          </w:r>
          <w:r w:rsidR="00857047">
            <w:rPr>
              <w:color w:val="000000"/>
            </w:rPr>
            <w:t xml:space="preserve"> (</w:t>
          </w:r>
          <w:r w:rsidR="009A1775" w:rsidRPr="006177E4">
            <w:rPr>
              <w:color w:val="000000"/>
            </w:rPr>
            <w:t>2022)</w:t>
          </w:r>
        </w:sdtContent>
      </w:sdt>
      <w:r w:rsidRPr="006177E4">
        <w:t>,el hecho de presentar nuevamente la declaración, imputar saldos a favor, solicitar facilidades de pago o determinar si la ineficacia opera como sanción o como consecuencia jurídica, hace parte de las causas y de la reiteración en la presentación de retenciones como ineficaces.</w:t>
      </w:r>
    </w:p>
    <w:p w14:paraId="46FBA711" w14:textId="67DDBCF4" w:rsidR="00FD6BD7" w:rsidRDefault="00FD6BD7" w:rsidP="00674D57">
      <w:pPr>
        <w:pStyle w:val="PrrAPA"/>
      </w:pPr>
      <w:r w:rsidRPr="006177E4">
        <w:t>Finalmente, del análisis documental realizado, permite identificar que las causas de las retenciones en la fuente ineficaces no están asociadas únicamente al pago total, sino, además, a conceptos relacionados con la interpretación de la norma, el tránsito en los cambios normativos y los conceptos de seguridad jurídica y derecho al debido proceso de los agentes retenedores.</w:t>
      </w:r>
    </w:p>
    <w:p w14:paraId="746AA2AC" w14:textId="77777777" w:rsidR="00F31EDC" w:rsidRPr="00857047" w:rsidRDefault="00F31EDC" w:rsidP="00263B16">
      <w:pPr>
        <w:spacing w:line="480" w:lineRule="auto"/>
        <w:ind w:right="454" w:firstLine="720"/>
        <w:jc w:val="left"/>
        <w:rPr>
          <w:rFonts w:cs="Times New Roman"/>
          <w:bCs/>
          <w:szCs w:val="24"/>
        </w:rPr>
      </w:pPr>
    </w:p>
    <w:p w14:paraId="3F450E78" w14:textId="467EB560" w:rsidR="00FD6BD7" w:rsidRPr="00857047" w:rsidRDefault="00AC7813" w:rsidP="00263B16">
      <w:pPr>
        <w:pStyle w:val="Ttulo5"/>
      </w:pPr>
      <w:bookmarkStart w:id="136" w:name="_Toc228250803"/>
      <w:bookmarkStart w:id="137" w:name="_Toc229077669"/>
      <w:r w:rsidRPr="00857047">
        <w:t>Entrevista</w:t>
      </w:r>
      <w:r w:rsidR="00FD6BD7" w:rsidRPr="00857047">
        <w:t xml:space="preserve"> estructurada</w:t>
      </w:r>
      <w:r w:rsidR="00EB0661" w:rsidRPr="00857047">
        <w:t>, Análisis Trabajo de Campo</w:t>
      </w:r>
      <w:bookmarkEnd w:id="136"/>
      <w:r w:rsidR="00256B43">
        <w:t>.</w:t>
      </w:r>
      <w:bookmarkEnd w:id="137"/>
    </w:p>
    <w:p w14:paraId="3EE9CEF1" w14:textId="77777777" w:rsidR="00256B43" w:rsidRDefault="00FD6BD7" w:rsidP="00674D57">
      <w:pPr>
        <w:pStyle w:val="PrrAPA"/>
      </w:pPr>
      <w:r w:rsidRPr="006177E4">
        <w:t>Con el propósito de complementar los hallazgos documentales, como fuente primaria se incorporó una entrevista estructurada dirigida a expertos con formación y experiencia en contabilidad, en derecho tributario y procedimiento tributario pertenecientes a la Dirección Seccional de Impuestos y Aduanas de Ibagué, así como profesionales con campo de acción en zonas de influencia en la jurisdicción de Ibagué y sus alrededores. Este instrumento se diseñó para conocer las impresiones especializadas sobre las causas estructurales de la ineficacia, tema abordado en el objetivo 1.</w:t>
      </w:r>
    </w:p>
    <w:p w14:paraId="2140CCBC" w14:textId="620D9A6A" w:rsidR="00FD6BD7" w:rsidRPr="006177E4" w:rsidRDefault="00FD6BD7" w:rsidP="00674D57">
      <w:pPr>
        <w:pStyle w:val="PrrAPA"/>
      </w:pPr>
      <w:r w:rsidRPr="006177E4">
        <w:t>Dicho instrumento fue validado por los expertos, así como por un metodólogo, quien indicó en la valoración que: después del análisis técnico-metodológico, certifico que el instrumento es pertinente, coherente con los objetivos de investigación, posee suficiencia conceptual y es apto para su aplicación en investigación cualitativa de nivel de maestría.</w:t>
      </w:r>
    </w:p>
    <w:p w14:paraId="4DFB09C9" w14:textId="55748C5B" w:rsidR="00FD6BD7" w:rsidRPr="006177E4" w:rsidRDefault="00FD6BD7" w:rsidP="00674D57">
      <w:pPr>
        <w:pStyle w:val="PrrAPA"/>
      </w:pPr>
      <w:r w:rsidRPr="006177E4">
        <w:t xml:space="preserve">Las preguntas formuladas se orientaron a los siguientes expertos: a. </w:t>
      </w:r>
      <w:r w:rsidR="00256B43" w:rsidRPr="006177E4">
        <w:t>funcionario</w:t>
      </w:r>
      <w:r w:rsidRPr="006177E4">
        <w:t xml:space="preserve"> Fiscalización DIAN; b. </w:t>
      </w:r>
      <w:r w:rsidR="00256B43" w:rsidRPr="006177E4">
        <w:t>funcionario</w:t>
      </w:r>
      <w:r w:rsidRPr="006177E4">
        <w:t xml:space="preserve"> Recaudo y Cobranzas DIAN; c. </w:t>
      </w:r>
      <w:r w:rsidR="00256B43" w:rsidRPr="006177E4">
        <w:t>funcionario</w:t>
      </w:r>
      <w:r w:rsidRPr="006177E4">
        <w:t xml:space="preserve"> Dirección Jurídica DIAN; d. Contador; e. Revisor Fiscal; y f. Docente Universitario.</w:t>
      </w:r>
    </w:p>
    <w:p w14:paraId="1FEEC2E4" w14:textId="77777777" w:rsidR="00FD6BD7" w:rsidRDefault="00FD6BD7" w:rsidP="00674D57">
      <w:pPr>
        <w:pStyle w:val="PrrAPA"/>
      </w:pPr>
      <w:r w:rsidRPr="006177E4">
        <w:tab/>
        <w:t>A continuación, en el siguiente gráfico se realiza una relación entre las causas producto del análisis documental y las causas identificadas por los expertos, de acuerdo con el instrumento aplicado.</w:t>
      </w:r>
    </w:p>
    <w:p w14:paraId="5CBF6FFA" w14:textId="77777777" w:rsidR="00F31EDC" w:rsidRDefault="00F31EDC" w:rsidP="00263B16">
      <w:pPr>
        <w:pStyle w:val="Descripcin"/>
        <w:spacing w:after="0" w:line="480" w:lineRule="auto"/>
        <w:rPr>
          <w:b/>
          <w:bCs/>
          <w:i w:val="0"/>
          <w:iCs w:val="0"/>
        </w:rPr>
      </w:pPr>
      <w:bookmarkStart w:id="138" w:name="_Toc229077717"/>
    </w:p>
    <w:p w14:paraId="4D3E821A" w14:textId="77777777" w:rsidR="00674D57" w:rsidRDefault="00674D57">
      <w:pPr>
        <w:spacing w:after="160" w:line="259" w:lineRule="auto"/>
        <w:jc w:val="left"/>
        <w:rPr>
          <w:b/>
          <w:bCs/>
          <w:szCs w:val="18"/>
        </w:rPr>
      </w:pPr>
      <w:r>
        <w:rPr>
          <w:b/>
          <w:bCs/>
          <w:i/>
          <w:iCs/>
        </w:rPr>
        <w:br w:type="page"/>
      </w:r>
    </w:p>
    <w:p w14:paraId="6D99B009" w14:textId="6B9EFC36" w:rsidR="00F31EDC" w:rsidRDefault="00256B43" w:rsidP="00263B16">
      <w:pPr>
        <w:pStyle w:val="Descripcin"/>
        <w:spacing w:after="0" w:line="480" w:lineRule="auto"/>
        <w:rPr>
          <w:rFonts w:cs="Times New Roman"/>
          <w:b/>
          <w:bCs/>
          <w:i w:val="0"/>
          <w:iCs w:val="0"/>
          <w:szCs w:val="24"/>
        </w:rPr>
      </w:pPr>
      <w:r w:rsidRPr="00256B43">
        <w:rPr>
          <w:b/>
          <w:bCs/>
          <w:i w:val="0"/>
          <w:iCs w:val="0"/>
        </w:rPr>
        <w:lastRenderedPageBreak/>
        <w:t xml:space="preserve">Figura  </w:t>
      </w:r>
      <w:r w:rsidRPr="00256B43">
        <w:rPr>
          <w:b/>
          <w:bCs/>
          <w:i w:val="0"/>
          <w:iCs w:val="0"/>
        </w:rPr>
        <w:fldChar w:fldCharType="begin"/>
      </w:r>
      <w:r w:rsidRPr="00256B43">
        <w:rPr>
          <w:b/>
          <w:bCs/>
          <w:i w:val="0"/>
          <w:iCs w:val="0"/>
        </w:rPr>
        <w:instrText xml:space="preserve"> SEQ Figura_ \* ARABIC </w:instrText>
      </w:r>
      <w:r w:rsidRPr="00256B43">
        <w:rPr>
          <w:b/>
          <w:bCs/>
          <w:i w:val="0"/>
          <w:iCs w:val="0"/>
        </w:rPr>
        <w:fldChar w:fldCharType="separate"/>
      </w:r>
      <w:r w:rsidR="00F01079">
        <w:rPr>
          <w:b/>
          <w:bCs/>
          <w:i w:val="0"/>
          <w:iCs w:val="0"/>
          <w:noProof/>
        </w:rPr>
        <w:t>8</w:t>
      </w:r>
      <w:r w:rsidRPr="00256B43">
        <w:rPr>
          <w:b/>
          <w:bCs/>
          <w:i w:val="0"/>
          <w:iCs w:val="0"/>
        </w:rPr>
        <w:fldChar w:fldCharType="end"/>
      </w:r>
      <w:r>
        <w:rPr>
          <w:rFonts w:cs="Times New Roman"/>
          <w:b/>
          <w:bCs/>
          <w:i w:val="0"/>
          <w:iCs w:val="0"/>
          <w:szCs w:val="24"/>
        </w:rPr>
        <w:t xml:space="preserve"> </w:t>
      </w:r>
    </w:p>
    <w:p w14:paraId="33ECDB77" w14:textId="1B026ADF" w:rsidR="00FD6BD7" w:rsidRPr="00256B43" w:rsidRDefault="00F31EDC" w:rsidP="00263B16">
      <w:pPr>
        <w:pStyle w:val="Descripcin"/>
        <w:spacing w:after="0" w:line="480" w:lineRule="auto"/>
        <w:rPr>
          <w:rFonts w:cs="Times New Roman"/>
          <w:b/>
          <w:bCs/>
          <w:i w:val="0"/>
          <w:iCs w:val="0"/>
          <w:szCs w:val="24"/>
        </w:rPr>
      </w:pPr>
      <w:r w:rsidRPr="006177E4">
        <w:rPr>
          <w:rFonts w:cs="Times New Roman"/>
          <w:bCs/>
          <w:noProof/>
          <w:szCs w:val="24"/>
          <w:lang w:eastAsia="es-CO"/>
        </w:rPr>
        <w:drawing>
          <wp:anchor distT="0" distB="0" distL="114300" distR="114300" simplePos="0" relativeHeight="251659264" behindDoc="0" locked="0" layoutInCell="1" allowOverlap="1" wp14:anchorId="2EB5F535" wp14:editId="74326BB8">
            <wp:simplePos x="0" y="0"/>
            <wp:positionH relativeFrom="column">
              <wp:posOffset>25742</wp:posOffset>
            </wp:positionH>
            <wp:positionV relativeFrom="paragraph">
              <wp:posOffset>252730</wp:posOffset>
            </wp:positionV>
            <wp:extent cx="5943600" cy="342900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t="7195" b="2544"/>
                    <a:stretch/>
                  </pic:blipFill>
                  <pic:spPr bwMode="auto">
                    <a:xfrm>
                      <a:off x="0" y="0"/>
                      <a:ext cx="5943600" cy="3429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6BD7" w:rsidRPr="006177E4">
        <w:rPr>
          <w:rFonts w:cs="Times New Roman"/>
          <w:bCs/>
          <w:szCs w:val="24"/>
        </w:rPr>
        <w:t>Relación causas análisis documental versus entrevista a expertos</w:t>
      </w:r>
      <w:r w:rsidR="00256B43">
        <w:rPr>
          <w:rFonts w:cs="Times New Roman"/>
          <w:bCs/>
          <w:szCs w:val="24"/>
        </w:rPr>
        <w:t>.</w:t>
      </w:r>
      <w:bookmarkEnd w:id="138"/>
    </w:p>
    <w:p w14:paraId="0B040825" w14:textId="4DA701F1" w:rsidR="00FD6BD7" w:rsidRPr="006177E4" w:rsidRDefault="00FD6BD7" w:rsidP="00263B16">
      <w:pPr>
        <w:spacing w:line="480" w:lineRule="auto"/>
        <w:ind w:firstLine="720"/>
        <w:jc w:val="center"/>
        <w:rPr>
          <w:rFonts w:cs="Times New Roman"/>
          <w:bCs/>
          <w:szCs w:val="24"/>
        </w:rPr>
      </w:pPr>
    </w:p>
    <w:p w14:paraId="73259718" w14:textId="36741986" w:rsidR="00272E99" w:rsidRPr="006177E4" w:rsidRDefault="00256B43" w:rsidP="00263B16">
      <w:pPr>
        <w:spacing w:line="480" w:lineRule="auto"/>
        <w:rPr>
          <w:rFonts w:eastAsia="Times New Roman" w:cs="Times New Roman"/>
          <w:szCs w:val="24"/>
        </w:rPr>
      </w:pPr>
      <w:r w:rsidRPr="00256B43">
        <w:rPr>
          <w:rFonts w:eastAsia="Times New Roman" w:cs="Times New Roman"/>
          <w:i/>
          <w:iCs/>
          <w:szCs w:val="24"/>
        </w:rPr>
        <w:t>Nota.</w:t>
      </w:r>
      <w:r>
        <w:rPr>
          <w:rFonts w:eastAsia="Times New Roman" w:cs="Times New Roman"/>
          <w:szCs w:val="24"/>
        </w:rPr>
        <w:t xml:space="preserve"> </w:t>
      </w:r>
      <w:r w:rsidRPr="00E27C5F">
        <w:rPr>
          <w:rFonts w:eastAsia="Times New Roman" w:cs="Times New Roman"/>
          <w:szCs w:val="24"/>
        </w:rPr>
        <w:t>E</w:t>
      </w:r>
      <w:r w:rsidR="00272E99" w:rsidRPr="00E27C5F">
        <w:rPr>
          <w:rFonts w:eastAsia="Times New Roman" w:cs="Times New Roman"/>
          <w:szCs w:val="24"/>
        </w:rPr>
        <w:t>la</w:t>
      </w:r>
      <w:r w:rsidR="00272E99" w:rsidRPr="006177E4">
        <w:rPr>
          <w:rFonts w:eastAsia="Times New Roman" w:cs="Times New Roman"/>
          <w:szCs w:val="24"/>
        </w:rPr>
        <w:t>boración propia</w:t>
      </w:r>
      <w:r w:rsidR="00F31EDC">
        <w:rPr>
          <w:rFonts w:eastAsia="Times New Roman" w:cs="Times New Roman"/>
          <w:szCs w:val="24"/>
        </w:rPr>
        <w:t>.</w:t>
      </w:r>
      <w:r w:rsidR="00272E99" w:rsidRPr="006177E4">
        <w:rPr>
          <w:rFonts w:eastAsia="Times New Roman" w:cs="Times New Roman"/>
          <w:szCs w:val="24"/>
        </w:rPr>
        <w:t xml:space="preserve"> (Acero y López, 2026) apoyo IA</w:t>
      </w:r>
    </w:p>
    <w:p w14:paraId="3FA38532" w14:textId="3892AB52" w:rsidR="00FD6BD7" w:rsidRPr="006177E4" w:rsidRDefault="00FD6BD7" w:rsidP="00674D57">
      <w:pPr>
        <w:pStyle w:val="PrrAPA"/>
        <w:rPr>
          <w:bCs/>
        </w:rPr>
      </w:pPr>
      <w:r w:rsidRPr="006177E4">
        <w:t>La representación relacional entre los hallazgos permitió concluir que complementaron las causas del análisis documental al aportar mayor detalle pragmático y procedimental.</w:t>
      </w:r>
    </w:p>
    <w:p w14:paraId="7F39AF4B" w14:textId="77777777" w:rsidR="00FD6BD7" w:rsidRPr="006177E4" w:rsidRDefault="00FD6BD7" w:rsidP="00674D57">
      <w:pPr>
        <w:pStyle w:val="PrrAPA"/>
        <w:rPr>
          <w:bCs/>
        </w:rPr>
      </w:pPr>
      <w:r w:rsidRPr="006177E4">
        <w:rPr>
          <w:bCs/>
        </w:rPr>
        <w:t>A partir del análisis, las causas identificadas en las respuestas de los expertos se encuentran problemas de liquidez, uso de recursos retenidos en financiación de actividades comerciales o de la empresa, confusión en la interpretación jurídica de la ineficacia, y dificultades operativas en gestión de la administración tributaria para realizar el cobro y fiscalizar aquellas declaraciones que se declaran como ineficaces.</w:t>
      </w:r>
    </w:p>
    <w:p w14:paraId="6306D22C" w14:textId="77777777" w:rsidR="00FD6BD7" w:rsidRPr="006177E4" w:rsidRDefault="00FD6BD7" w:rsidP="00674D57">
      <w:pPr>
        <w:pStyle w:val="PrrAPA"/>
        <w:rPr>
          <w:bCs/>
        </w:rPr>
      </w:pPr>
      <w:r w:rsidRPr="006177E4">
        <w:rPr>
          <w:bCs/>
        </w:rPr>
        <w:t>En relación con las respuestas de los expertos, es posible advertir que la ineficacia de las retenciones en la fuente no se explica por una sola causa y los resultados obtenidos en las entrevistas muestran coincidencias en algunas de las causas previamente identificadas en el análisis documental, con diferentes perspectivas según el perfil del experto.</w:t>
      </w:r>
    </w:p>
    <w:p w14:paraId="17B9BAA1" w14:textId="77777777" w:rsidR="00FD6BD7" w:rsidRPr="006177E4" w:rsidRDefault="00FD6BD7" w:rsidP="00674D57">
      <w:pPr>
        <w:pStyle w:val="PrrAPA"/>
        <w:rPr>
          <w:bCs/>
        </w:rPr>
      </w:pPr>
      <w:r w:rsidRPr="006177E4">
        <w:rPr>
          <w:bCs/>
        </w:rPr>
        <w:t xml:space="preserve">En primer lugar, contrastando las causas señaladas en el análisis documental, la falta de liquides es considerada por los expertos como causa de la presentación de las declaraciones sin </w:t>
      </w:r>
      <w:r w:rsidRPr="006177E4">
        <w:rPr>
          <w:bCs/>
        </w:rPr>
        <w:lastRenderedPageBreak/>
        <w:t>pago total. También, se señaló que los agentes retenedores destinan los recursos retenidos para cubrir costos y gastos propios de la operación.</w:t>
      </w:r>
      <w:r w:rsidRPr="006177E4">
        <w:t xml:space="preserve"> </w:t>
      </w:r>
      <w:r w:rsidRPr="006177E4">
        <w:rPr>
          <w:bCs/>
        </w:rPr>
        <w:t xml:space="preserve">Las respuestas del funcionario de fiscalización DIAN, Contadores y Docentes Universitarios señalan que la falta de liquidez es una causa de la figura. Por otro lado, si bien se menciona la falta de liquidez como causa, los Contadores indican que no puede atribuirse precisamente a falta de liquidez sino a una decisión del agente retenedor de financiarse con los recursos retenidos y una inadecuada gestión de los recursos. </w:t>
      </w:r>
    </w:p>
    <w:p w14:paraId="4B396165" w14:textId="29DCF2C7" w:rsidR="00FD6BD7" w:rsidRPr="006177E4" w:rsidRDefault="00FD6BD7" w:rsidP="00674D57">
      <w:pPr>
        <w:pStyle w:val="PrrAPA"/>
      </w:pPr>
      <w:r w:rsidRPr="006177E4">
        <w:t xml:space="preserve">Otra de las causas se enmarca en el concepto de seguridad jurídica y la interpretación de la norma, en la cual se señalan diferencias en la lectura del artículo 580-1 del </w:t>
      </w:r>
      <w:sdt>
        <w:sdtPr>
          <w:rPr>
            <w:color w:val="000000"/>
          </w:rPr>
          <w:tag w:val="MENDELEY_CITATION_v3_eyJjaXRhdGlvbklEIjoiTUVOREVMRVlfQ0lUQVRJT05fYmFjMTU3YTMtYWZkMS00ZTEwLWEzZjMtOWZhYmZiZGE1YzVj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831058428"/>
          <w:placeholder>
            <w:docPart w:val="DefaultPlaceholder_-1854013440"/>
          </w:placeholder>
        </w:sdtPr>
        <w:sdtEndPr/>
        <w:sdtContent>
          <w:r w:rsidR="00256B43">
            <w:rPr>
              <w:color w:val="000000"/>
            </w:rPr>
            <w:t>Decreto 624 (</w:t>
          </w:r>
          <w:r w:rsidR="009A1775" w:rsidRPr="006177E4">
            <w:rPr>
              <w:color w:val="000000"/>
            </w:rPr>
            <w:t>1989)</w:t>
          </w:r>
          <w:r w:rsidR="00256B43">
            <w:rPr>
              <w:color w:val="000000"/>
            </w:rPr>
            <w:t xml:space="preserve"> </w:t>
          </w:r>
        </w:sdtContent>
      </w:sdt>
      <w:r w:rsidR="001C4A7C" w:rsidRPr="006177E4">
        <w:t>p</w:t>
      </w:r>
      <w:r w:rsidRPr="006177E4">
        <w:t>ara determinados efectos. En la misma línea, los expertos del área jurídica y fiscalización DIAN, así como los contadores y docentes universitarios cuestionan los efectos de la ineficacia e indican que existen vacíos de comprensión y el procedimiento para subsanarla.</w:t>
      </w:r>
    </w:p>
    <w:p w14:paraId="735A2E4A" w14:textId="77777777" w:rsidR="00FD6BD7" w:rsidRPr="006177E4" w:rsidRDefault="00FD6BD7" w:rsidP="00674D57">
      <w:pPr>
        <w:pStyle w:val="PrrAPA"/>
      </w:pPr>
      <w:r w:rsidRPr="006177E4">
        <w:t>Aunado a lo anterior, las posiciones de los expertos también concuerdan con la causa relacionada con la confusión entre el deber formal de declarar y deber sustancial de pagar, especialmente desde el área jurídica DIAN y para los docentes, se reitera el concepto de que una cosa es el incumplimiento del pago y otra el deber formal de declarar, y que no resulta técnicamente coherente tratar la declaración como inexistente para unos efectos y válida para otros.</w:t>
      </w:r>
    </w:p>
    <w:p w14:paraId="65AEBB7A" w14:textId="77777777" w:rsidR="00FD6BD7" w:rsidRPr="006177E4" w:rsidRDefault="00FD6BD7" w:rsidP="00674D57">
      <w:pPr>
        <w:pStyle w:val="PrrAPA"/>
      </w:pPr>
      <w:r w:rsidRPr="006177E4">
        <w:t>Sumado a la complementariedad de la respuesta de los expertos versus el análisis documental, en identificar como consecuencia la confusión del deber de pagar y declarar, dentro del ejercicio académico realizado específicamente con la entrevista a los contadores, se logra determinar una causal que no estaba relacionada en el análisis documental propiamente o que no se identifica a la luz de la jurisprudencia estudiada y es el desconocimiento agente retenedor de la norma en sí, ya que la responsabilidad de los contribuyentes que son agentes de retención la trasladan al contador y no muestran interés en entender la figura y sus efectos.</w:t>
      </w:r>
    </w:p>
    <w:p w14:paraId="7B5B150D" w14:textId="77777777" w:rsidR="00FD6BD7" w:rsidRPr="006177E4" w:rsidRDefault="00FD6BD7" w:rsidP="00674D57">
      <w:pPr>
        <w:pStyle w:val="PrrAPA"/>
      </w:pPr>
      <w:r w:rsidRPr="006177E4">
        <w:t xml:space="preserve">En este contexto, se confirma la causa relacionada con la </w:t>
      </w:r>
      <w:r w:rsidRPr="006177E4">
        <w:rPr>
          <w:rStyle w:val="Textoennegrita"/>
          <w:b w:val="0"/>
          <w:bCs w:val="0"/>
        </w:rPr>
        <w:t>confusión entre declaración ineficaz, declaración no presentada y mérito ejecutivo</w:t>
      </w:r>
      <w:r w:rsidRPr="006177E4">
        <w:t>. En las opiniones de los expertos se observa que el tener que presentar nuevamente la declaración y el efecto de las declaraciones en las acciones de cobro, no solo se percibe como una consecuencia jurídica del no pago, sino como una sanción y una omisión que sigue generando diversas interpretaciones.</w:t>
      </w:r>
    </w:p>
    <w:p w14:paraId="70439CD7" w14:textId="77777777" w:rsidR="00FD6BD7" w:rsidRPr="006177E4" w:rsidRDefault="00FD6BD7" w:rsidP="00674D57">
      <w:pPr>
        <w:pStyle w:val="PrrAPA"/>
      </w:pPr>
      <w:r w:rsidRPr="006177E4">
        <w:t xml:space="preserve">Por último, la causa relacionada con las limitaciones operativas en el proceso sancionatorio y de fiscalización, se complementa con la respuesta de los expertos funcionarios DIAN, quienes describen el procedimiento como largo, desgastante y poco eficiente en términos de recaudo. Se </w:t>
      </w:r>
      <w:r w:rsidRPr="006177E4">
        <w:lastRenderedPageBreak/>
        <w:t>mencionan además de tensiones entre fiscalización y cobranzas cuando existen facilidades de pago y el proceso de fiscalización de exigir la nueva declaración.</w:t>
      </w:r>
    </w:p>
    <w:p w14:paraId="6CE4CD87" w14:textId="77777777" w:rsidR="00FD6BD7" w:rsidRPr="006177E4" w:rsidRDefault="00FD6BD7" w:rsidP="00674D57">
      <w:pPr>
        <w:pStyle w:val="PrrAPA"/>
      </w:pPr>
      <w:r w:rsidRPr="006177E4">
        <w:t>En este sentido, las causas producto del análisis documental y los conceptos de los expertos, mostró una relación de coincidencia y complementariedad. En consecuencia, la ineficacia no se asocia a un único aspecto sino al comportamiento del agente retenedor, las interpretaciones de la norma, aspectos administrativos y procedimentales de la administración tributaria.</w:t>
      </w:r>
    </w:p>
    <w:p w14:paraId="20ADA3C3" w14:textId="77777777" w:rsidR="00FD6BD7" w:rsidRPr="006177E4" w:rsidRDefault="00FD6BD7" w:rsidP="00263B16">
      <w:pPr>
        <w:spacing w:line="480" w:lineRule="auto"/>
        <w:ind w:firstLine="720"/>
        <w:rPr>
          <w:rFonts w:cs="Times New Roman"/>
          <w:szCs w:val="24"/>
        </w:rPr>
      </w:pPr>
    </w:p>
    <w:p w14:paraId="40704316" w14:textId="2A815A60" w:rsidR="00FD6BD7" w:rsidRPr="00256B43" w:rsidRDefault="00AC170E" w:rsidP="00263B16">
      <w:pPr>
        <w:pStyle w:val="Ttulo3"/>
      </w:pPr>
      <w:bookmarkStart w:id="139" w:name="_Toc228250804"/>
      <w:bookmarkStart w:id="140" w:name="_Toc229077670"/>
      <w:r w:rsidRPr="00256B43">
        <w:t>Conclusión Objetivo</w:t>
      </w:r>
      <w:r w:rsidR="00FD6BD7" w:rsidRPr="00256B43">
        <w:t xml:space="preserve"> 1</w:t>
      </w:r>
      <w:bookmarkEnd w:id="139"/>
      <w:bookmarkEnd w:id="140"/>
    </w:p>
    <w:p w14:paraId="4B01761D" w14:textId="77777777" w:rsidR="00FD6BD7" w:rsidRPr="006177E4" w:rsidRDefault="00FD6BD7" w:rsidP="00674D57">
      <w:pPr>
        <w:pStyle w:val="PrrAPA"/>
      </w:pPr>
      <w:r w:rsidRPr="006177E4">
        <w:t>El desarrollo del primer objetivo específico permitió establecer que la ineficacia de las declaraciones de retención en la fuente en renta no se atribuye a una sola causa. De igual manera, se identificó que las principales discusiones en torno a la figura se concentraron en su interpretación jurídica, la responsabilidad de declarar y pagar como deber formal y sustancial, y la gestión de la administración tributaria para su fiscalización y cobro.</w:t>
      </w:r>
    </w:p>
    <w:p w14:paraId="3D663B0E" w14:textId="77777777" w:rsidR="00256B43" w:rsidRDefault="00FD6BD7" w:rsidP="00674D57">
      <w:pPr>
        <w:pStyle w:val="PrrAPA"/>
      </w:pPr>
      <w:r w:rsidRPr="006177E4">
        <w:t>En este sentido, tanto la revisión documental como la entrevista estructurada permitieron identificar las causas asociadas a la ineficacia, así como los aspectos que influyen en que se continúen configurando ineficacias en la administración tributaria.</w:t>
      </w:r>
    </w:p>
    <w:p w14:paraId="52EB8CCB" w14:textId="02B03823" w:rsidR="00FD6BD7" w:rsidRPr="006177E4" w:rsidRDefault="00FD6BD7" w:rsidP="00674D57">
      <w:pPr>
        <w:pStyle w:val="PrrAPA"/>
      </w:pPr>
      <w:r w:rsidRPr="006177E4">
        <w:t>Además, la entrevista permitió complementar las causas previamente identificadas en el análisis documental, añadiendo al análisis los contadores quienes indicaron que el agente retenedor no conoce la norma y les traslada esta responsabilidad, por lo tanto, no muestran interés en entender la figura y sus efectos</w:t>
      </w:r>
      <w:r w:rsidR="00256B43">
        <w:t>.</w:t>
      </w:r>
    </w:p>
    <w:p w14:paraId="331DD09E" w14:textId="746A7FB5" w:rsidR="00323A22" w:rsidRPr="006177E4" w:rsidRDefault="00323A22" w:rsidP="00263B16">
      <w:pPr>
        <w:spacing w:line="480" w:lineRule="auto"/>
        <w:rPr>
          <w:rFonts w:cs="Times New Roman"/>
          <w:bCs/>
          <w:szCs w:val="24"/>
        </w:rPr>
      </w:pPr>
    </w:p>
    <w:p w14:paraId="08F7BBA8" w14:textId="6B2B31DB" w:rsidR="00095F40" w:rsidRPr="00256B43" w:rsidRDefault="00D67E6E" w:rsidP="00263B16">
      <w:pPr>
        <w:pStyle w:val="Ttulo2"/>
      </w:pPr>
      <w:bookmarkStart w:id="141" w:name="_Hlk227359276"/>
      <w:bookmarkEnd w:id="124"/>
      <w:r w:rsidRPr="00256B43">
        <w:t xml:space="preserve"> </w:t>
      </w:r>
      <w:bookmarkStart w:id="142" w:name="_Toc228250805"/>
      <w:bookmarkStart w:id="143" w:name="_Toc229077671"/>
      <w:r w:rsidR="00C70D4E" w:rsidRPr="00256B43">
        <w:t xml:space="preserve">Objetivo </w:t>
      </w:r>
      <w:r w:rsidR="0085277A" w:rsidRPr="00256B43">
        <w:t>B</w:t>
      </w:r>
      <w:r w:rsidR="00C70D4E" w:rsidRPr="00256B43">
        <w:t>: consecuencias legales, fiscales y operativas de la ineficacia de las declaraciones de retención en la fuente en renta</w:t>
      </w:r>
      <w:bookmarkEnd w:id="142"/>
      <w:bookmarkEnd w:id="143"/>
    </w:p>
    <w:p w14:paraId="13684DBF" w14:textId="77777777" w:rsidR="008A2BBC" w:rsidRPr="006177E4" w:rsidRDefault="00095F40" w:rsidP="00674D57">
      <w:pPr>
        <w:pStyle w:val="PrrAPA"/>
      </w:pPr>
      <w:r w:rsidRPr="006177E4">
        <w:t>El análisis de las consecuencias</w:t>
      </w:r>
      <w:r w:rsidR="00E67932" w:rsidRPr="006177E4">
        <w:t xml:space="preserve"> legales, fiscales y operativas</w:t>
      </w:r>
      <w:r w:rsidRPr="006177E4">
        <w:t xml:space="preserve"> derivadas de la ineficacia de </w:t>
      </w:r>
    </w:p>
    <w:p w14:paraId="20E3A393" w14:textId="77777777" w:rsidR="008144F5" w:rsidRDefault="008A2BBC" w:rsidP="00674D57">
      <w:pPr>
        <w:pStyle w:val="PrrAPA"/>
      </w:pPr>
      <w:r w:rsidRPr="006177E4">
        <w:t xml:space="preserve"> </w:t>
      </w:r>
      <w:r w:rsidR="00E25698" w:rsidRPr="006177E4">
        <w:t>las declaraciones de retención en la fuente constituyen</w:t>
      </w:r>
      <w:r w:rsidR="00095F40" w:rsidRPr="006177E4">
        <w:t xml:space="preserve"> un eje central dentro del estudio del cumplimiento tributario en Colombia.</w:t>
      </w:r>
      <w:r w:rsidR="00D67E6E" w:rsidRPr="006177E4">
        <w:t xml:space="preserve"> L</w:t>
      </w:r>
      <w:r w:rsidR="00095F40" w:rsidRPr="006177E4">
        <w:t>as declaraciones presentadas sin pago total son consideradas</w:t>
      </w:r>
      <w:r w:rsidR="00472F54" w:rsidRPr="006177E4">
        <w:rPr>
          <w:rStyle w:val="Textoennegrita"/>
        </w:rPr>
        <w:t xml:space="preserve"> </w:t>
      </w:r>
      <w:r w:rsidR="00472F54" w:rsidRPr="006177E4">
        <w:rPr>
          <w:rStyle w:val="Textoennegrita"/>
          <w:b w:val="0"/>
          <w:bCs w:val="0"/>
        </w:rPr>
        <w:t>ineficaces</w:t>
      </w:r>
      <w:r w:rsidR="00E25698" w:rsidRPr="006177E4">
        <w:rPr>
          <w:rStyle w:val="Textoennegrita"/>
          <w:b w:val="0"/>
          <w:bCs w:val="0"/>
        </w:rPr>
        <w:t>,</w:t>
      </w:r>
      <w:r w:rsidR="00472F54" w:rsidRPr="006177E4">
        <w:rPr>
          <w:rStyle w:val="Textoennegrita"/>
          <w:b w:val="0"/>
          <w:bCs w:val="0"/>
        </w:rPr>
        <w:t xml:space="preserve"> </w:t>
      </w:r>
      <w:r w:rsidR="00095F40" w:rsidRPr="006177E4">
        <w:t xml:space="preserve">lo que implica que carecen de efectos jurídicos sin necesidad de acto </w:t>
      </w:r>
      <w:r w:rsidR="00095F40" w:rsidRPr="006177E4">
        <w:lastRenderedPageBreak/>
        <w:t>administrativo que así lo de</w:t>
      </w:r>
      <w:r w:rsidR="00472F54" w:rsidRPr="006177E4">
        <w:t>c</w:t>
      </w:r>
      <w:r w:rsidR="00095F40" w:rsidRPr="006177E4">
        <w:t>lare. Sin embargo, esta ineficacia no elimina la obligación sustancial, sino que, por el contrario, la refuerza desde el punto de vista coercitivo.</w:t>
      </w:r>
    </w:p>
    <w:p w14:paraId="6D0BAA4A" w14:textId="77777777" w:rsidR="008144F5" w:rsidRDefault="00095F40" w:rsidP="00674D57">
      <w:pPr>
        <w:pStyle w:val="PrrAPA"/>
      </w:pPr>
      <w:r w:rsidRPr="006177E4">
        <w:t>En efecto, la Dirección de Impuestos y Aduanas Nacionales (DIAN) ha reiterado qu</w:t>
      </w:r>
      <w:r w:rsidR="00472F54" w:rsidRPr="006177E4">
        <w:t>e</w:t>
      </w:r>
      <w:r w:rsidR="00E67932" w:rsidRPr="006177E4">
        <w:t xml:space="preserve"> </w:t>
      </w:r>
      <w:r w:rsidRPr="006177E4">
        <w:t xml:space="preserve">dichas declaraciones, aunque ineficaces, constituyen </w:t>
      </w:r>
      <w:r w:rsidR="00E67932" w:rsidRPr="006177E4">
        <w:t>una obligación clara, expresa y exigible</w:t>
      </w:r>
      <w:r w:rsidRPr="006177E4">
        <w:t xml:space="preserve">, susceptible de ser utilizada como título ejecutivo dentro de procesos de cobro </w:t>
      </w:r>
      <w:r w:rsidR="00E67932" w:rsidRPr="006177E4">
        <w:t>coactivo.</w:t>
      </w:r>
      <w:r w:rsidRPr="006177E4">
        <w:t xml:space="preserve"> Esta </w:t>
      </w:r>
      <w:r w:rsidR="00E67932" w:rsidRPr="006177E4">
        <w:t>dualidad genera</w:t>
      </w:r>
      <w:r w:rsidRPr="006177E4">
        <w:t xml:space="preserve"> importantes consecuencias legales, fiscales y operativas para los contribuyentes.</w:t>
      </w:r>
      <w:r w:rsidR="00E25698" w:rsidRPr="006177E4">
        <w:t xml:space="preserve"> </w:t>
      </w:r>
    </w:p>
    <w:p w14:paraId="5951ABCC" w14:textId="232567CB" w:rsidR="00E25698" w:rsidRPr="006177E4" w:rsidRDefault="00095F40" w:rsidP="00674D57">
      <w:pPr>
        <w:pStyle w:val="PrrAPA"/>
      </w:pPr>
      <w:r w:rsidRPr="006177E4">
        <w:t>Desde una perspectiva legal, la ineficacia activa mecanismos de fiscalización y cobro por</w:t>
      </w:r>
      <w:r w:rsidR="00E25698" w:rsidRPr="006177E4">
        <w:t xml:space="preserve"> </w:t>
      </w:r>
    </w:p>
    <w:p w14:paraId="17FA4D51" w14:textId="77777777" w:rsidR="008144F5" w:rsidRDefault="00095F40" w:rsidP="00674D57">
      <w:pPr>
        <w:pStyle w:val="PrrAPA"/>
      </w:pPr>
      <w:r w:rsidRPr="006177E4">
        <w:t>parte de la administración tributaria, incluyendo procesos administrativos y judiciales. En el ámbito fiscal, implica la acumulación de intereses moratorios y la imposición de sanciones tributarias</w:t>
      </w:r>
      <w:r w:rsidR="00A75494" w:rsidRPr="006177E4">
        <w:t xml:space="preserve"> y</w:t>
      </w:r>
      <w:r w:rsidRPr="006177E4">
        <w:t xml:space="preserve"> </w:t>
      </w:r>
      <w:r w:rsidR="00A75494" w:rsidRPr="006177E4">
        <w:t>f</w:t>
      </w:r>
      <w:r w:rsidRPr="006177E4">
        <w:t>inalmente, en el plano operativo, afecta la liquidez empresarial, la gestión contable y la sostenibilidad financiera de los agentes retenedores.</w:t>
      </w:r>
    </w:p>
    <w:p w14:paraId="3E0F4278" w14:textId="4DA2FD84" w:rsidR="0033245C" w:rsidRPr="006177E4" w:rsidRDefault="008144F5" w:rsidP="00674D57">
      <w:pPr>
        <w:pStyle w:val="PrrAPA"/>
      </w:pPr>
      <w:r>
        <w:t>E</w:t>
      </w:r>
      <w:r w:rsidR="000A6F4F" w:rsidRPr="006177E4">
        <w:t xml:space="preserve">n el marco del análisis de las consecuencias derivadas de </w:t>
      </w:r>
      <w:r w:rsidR="00F31EDC" w:rsidRPr="006177E4">
        <w:t xml:space="preserve">la </w:t>
      </w:r>
      <w:r w:rsidR="00F31EDC">
        <w:t>ineficacia</w:t>
      </w:r>
      <w:r w:rsidR="000A6F4F" w:rsidRPr="006177E4">
        <w:t xml:space="preserve"> de las declaraciones de retención en la fuente en renta, resulta </w:t>
      </w:r>
      <w:r w:rsidR="001A1652" w:rsidRPr="006177E4">
        <w:t>necesario articular</w:t>
      </w:r>
      <w:r w:rsidR="000A6F4F" w:rsidRPr="006177E4">
        <w:t xml:space="preserve"> los postulados de la teoría de la hacienda pública con los fundamentos de la teoría de la obligación tributaria, en tanto ambas permiten comprender la trascendencia jurídica y económica de este fenómeno. </w:t>
      </w:r>
    </w:p>
    <w:p w14:paraId="08D58159" w14:textId="28C31634" w:rsidR="00D67E6E" w:rsidRPr="006177E4" w:rsidRDefault="00D67E6E" w:rsidP="00674D57">
      <w:pPr>
        <w:pStyle w:val="PrrAPA"/>
        <w:rPr>
          <w:bCs/>
          <w:u w:color="000000"/>
        </w:rPr>
      </w:pPr>
      <w:r w:rsidRPr="006177E4">
        <w:t xml:space="preserve">En consecuencia y articulado al marco teórico, la pregunta rectoro que orientó el desarrollo del presente objetivo fue: </w:t>
      </w:r>
      <w:r w:rsidRPr="006177E4">
        <w:rPr>
          <w:bCs/>
          <w:u w:color="000000"/>
        </w:rPr>
        <w:t>¿Cuáles son las consecuencias legales, fiscales y operativas de la ineficacia de las declaraciones de retención en la fuente en renta?</w:t>
      </w:r>
    </w:p>
    <w:p w14:paraId="01CFF174" w14:textId="3D25C0E3" w:rsidR="00D67E6E" w:rsidRPr="006177E4" w:rsidRDefault="00D67E6E" w:rsidP="00674D57">
      <w:pPr>
        <w:pStyle w:val="PrrAPA"/>
        <w:rPr>
          <w:bCs/>
          <w:u w:val="single"/>
        </w:rPr>
      </w:pPr>
      <w:r w:rsidRPr="006177E4">
        <w:rPr>
          <w:bCs/>
          <w:u w:color="000000"/>
        </w:rPr>
        <w:t xml:space="preserve">Ahora bien, metodológicamente se destaca el análisis </w:t>
      </w:r>
      <w:r w:rsidR="00135C01" w:rsidRPr="006177E4">
        <w:rPr>
          <w:bCs/>
          <w:u w:color="000000"/>
        </w:rPr>
        <w:t>documental cualitativo el cual permitió articular la teoría de hacienda pública y obligación tributaria con el resultado de la entrevista a expertos y el análisis documental de las denuncias penales reportada por la administración de impuestos de Ibagué desde el 2014 hasta el 2024, el cual fue el periodo de tiempo objeto de estudio</w:t>
      </w:r>
      <w:r w:rsidR="008144F5">
        <w:rPr>
          <w:bCs/>
          <w:u w:color="000000"/>
        </w:rPr>
        <w:t>.</w:t>
      </w:r>
    </w:p>
    <w:bookmarkEnd w:id="141"/>
    <w:p w14:paraId="191CCC7C" w14:textId="7BC1E776" w:rsidR="00EB0661" w:rsidRPr="006177E4" w:rsidRDefault="00EB0661" w:rsidP="00674D57">
      <w:pPr>
        <w:pStyle w:val="PrrAPA"/>
      </w:pPr>
      <w:r w:rsidRPr="006177E4">
        <w:t>El análisis de las consecuencias legales, fiscales y operativas derivadas de la ineficacia de las declaraciones de retención en la fuente constituyen un eje central dentro del estudio tributario de esta figura. Las declaraciones presentadas sin pago total son consideradas</w:t>
      </w:r>
      <w:r w:rsidRPr="006177E4">
        <w:rPr>
          <w:rStyle w:val="Textoennegrita"/>
        </w:rPr>
        <w:t xml:space="preserve"> </w:t>
      </w:r>
      <w:r w:rsidRPr="006177E4">
        <w:rPr>
          <w:rStyle w:val="Textoennegrita"/>
          <w:b w:val="0"/>
          <w:bCs w:val="0"/>
        </w:rPr>
        <w:t>ineficaces (Art. 580 – 1)</w:t>
      </w:r>
      <w:r w:rsidR="00FE571D" w:rsidRPr="006177E4">
        <w:rPr>
          <w:rStyle w:val="Textoennegrita"/>
          <w:b w:val="0"/>
          <w:bCs w:val="0"/>
        </w:rPr>
        <w:t xml:space="preserve"> </w:t>
      </w:r>
      <w:sdt>
        <w:sdtPr>
          <w:rPr>
            <w:rStyle w:val="Textoennegrita"/>
            <w:b w:val="0"/>
            <w:bCs w:val="0"/>
            <w:color w:val="000000"/>
          </w:rPr>
          <w:tag w:val="MENDELEY_CITATION_v3_eyJjaXRhdGlvbklEIjoiTUVOREVMRVlfQ0lUQVRJT05fODI0YjQxOGUtMDkwOC00OWU5LWI3ZmEtMmFjOWRkZDZkMGU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957014386"/>
          <w:placeholder>
            <w:docPart w:val="DefaultPlaceholder_-1854013440"/>
          </w:placeholder>
        </w:sdtPr>
        <w:sdtEndPr>
          <w:rPr>
            <w:rStyle w:val="Textoennegrita"/>
          </w:rPr>
        </w:sdtEndPr>
        <w:sdtContent>
          <w:r w:rsidR="008144F5">
            <w:rPr>
              <w:rStyle w:val="Textoennegrita"/>
              <w:b w:val="0"/>
              <w:bCs w:val="0"/>
              <w:color w:val="000000"/>
            </w:rPr>
            <w:t>Decreto 624</w:t>
          </w:r>
          <w:r w:rsidR="009A1775" w:rsidRPr="006177E4">
            <w:rPr>
              <w:rStyle w:val="Textoennegrita"/>
              <w:b w:val="0"/>
              <w:bCs w:val="0"/>
              <w:color w:val="000000"/>
            </w:rPr>
            <w:t xml:space="preserve"> </w:t>
          </w:r>
          <w:r w:rsidR="008144F5">
            <w:rPr>
              <w:rStyle w:val="Textoennegrita"/>
              <w:b w:val="0"/>
              <w:bCs w:val="0"/>
              <w:color w:val="000000"/>
            </w:rPr>
            <w:t>(</w:t>
          </w:r>
          <w:r w:rsidR="009A1775" w:rsidRPr="006177E4">
            <w:rPr>
              <w:rStyle w:val="Textoennegrita"/>
              <w:b w:val="0"/>
              <w:bCs w:val="0"/>
              <w:color w:val="000000"/>
            </w:rPr>
            <w:t>1989)</w:t>
          </w:r>
        </w:sdtContent>
      </w:sdt>
      <w:r w:rsidRPr="006177E4">
        <w:rPr>
          <w:rStyle w:val="Textoennegrita"/>
          <w:b w:val="0"/>
          <w:bCs w:val="0"/>
        </w:rPr>
        <w:t xml:space="preserve"> </w:t>
      </w:r>
      <w:r w:rsidRPr="006177E4">
        <w:t xml:space="preserve">lo que implica que carecen de efectos jurídicos sin necesidad de acto administrativo que así lo declare. </w:t>
      </w:r>
    </w:p>
    <w:p w14:paraId="6ACB09C2" w14:textId="77777777" w:rsidR="008144F5" w:rsidRDefault="00EB0661" w:rsidP="00674D57">
      <w:pPr>
        <w:pStyle w:val="PrrAPA"/>
      </w:pPr>
      <w:r w:rsidRPr="006177E4">
        <w:t xml:space="preserve">En efecto, la DIAN ha reiterado que dichas declaraciones, aunque ineficaces, constituyen una obligación clara, expresa y exigible, susceptible de ser utilizada como título ejecutivo dentro </w:t>
      </w:r>
      <w:r w:rsidRPr="006177E4">
        <w:lastRenderedPageBreak/>
        <w:t xml:space="preserve">de procesos de cobro coactivo. Esta dualidad genera variadas consecuencias legales, fiscales y operativas para los contribuyentes. </w:t>
      </w:r>
    </w:p>
    <w:p w14:paraId="37B5BC06" w14:textId="77777777" w:rsidR="008144F5" w:rsidRDefault="00EB0661" w:rsidP="00674D57">
      <w:pPr>
        <w:pStyle w:val="PrrAPA"/>
      </w:pPr>
      <w:r w:rsidRPr="006177E4">
        <w:t>En términos generales, los efectos legales se encuentran relacionados con el delito de omisión de agente retenedor y procesos ante el contencioso en caso de generarse sanciones, los fiscales relacionados con los intereses moratorios y la sanción por inexactitud, y por último en el plano operativo, se encuentra inmersa la administración tributaria DIAN, específicamente las áreas de fiscalización y cobranzas.</w:t>
      </w:r>
    </w:p>
    <w:p w14:paraId="63B8A819" w14:textId="2C223771" w:rsidR="00EB0661" w:rsidRPr="006177E4" w:rsidRDefault="00EB0661" w:rsidP="00674D57">
      <w:pPr>
        <w:pStyle w:val="PrrAPA"/>
      </w:pPr>
      <w:r w:rsidRPr="006177E4">
        <w:t xml:space="preserve">En el mismo contexto en el marco del análisis de las consecuencias derivadas </w:t>
      </w:r>
    </w:p>
    <w:p w14:paraId="3E15B288" w14:textId="77777777" w:rsidR="00EB0661" w:rsidRDefault="00EB0661" w:rsidP="00674D57">
      <w:pPr>
        <w:pStyle w:val="PrrAPA"/>
      </w:pPr>
      <w:r w:rsidRPr="006177E4">
        <w:t xml:space="preserve">de la ineficacia de las declaraciones de retención en la fuente en renta, resulta necesario articular los postulados de la teoría de la Hacienda Pública con los fundamentos de la teoría de la obligación tributaria, en tanto, ambas permiten aterrizar la transcendencia e impacto económico de la ineficacia. </w:t>
      </w:r>
    </w:p>
    <w:p w14:paraId="2565405F" w14:textId="77777777" w:rsidR="008144F5" w:rsidRPr="006177E4" w:rsidRDefault="008144F5" w:rsidP="00263B16">
      <w:pPr>
        <w:spacing w:line="480" w:lineRule="auto"/>
        <w:jc w:val="left"/>
        <w:rPr>
          <w:rFonts w:cs="Times New Roman"/>
          <w:szCs w:val="24"/>
        </w:rPr>
      </w:pPr>
    </w:p>
    <w:p w14:paraId="616ED103" w14:textId="5F43F037" w:rsidR="00EB0661" w:rsidRPr="008144F5" w:rsidRDefault="00EB0661" w:rsidP="00263B16">
      <w:pPr>
        <w:pStyle w:val="Ttulo3"/>
      </w:pPr>
      <w:bookmarkStart w:id="144" w:name="_Toc228250806"/>
      <w:bookmarkStart w:id="145" w:name="_Toc229077672"/>
      <w:r w:rsidRPr="008144F5">
        <w:t>Atributos teóricos que explican las consecuencias legales, fiscales y operativas de la ineficacia de las declaraciones de retención en la fuente en renta</w:t>
      </w:r>
      <w:bookmarkEnd w:id="144"/>
      <w:bookmarkEnd w:id="145"/>
    </w:p>
    <w:p w14:paraId="73555679" w14:textId="01593F87" w:rsidR="00EB0661" w:rsidRPr="006177E4" w:rsidRDefault="00EB0661" w:rsidP="00674D57">
      <w:pPr>
        <w:pStyle w:val="PrrAPA"/>
      </w:pPr>
      <w:r w:rsidRPr="006177E4">
        <w:t xml:space="preserve">Desde la perspectiva de la teoría de hacienda pública, para </w:t>
      </w:r>
      <w:r w:rsidRPr="006177E4">
        <w:rPr>
          <w:color w:val="000000"/>
        </w:rPr>
        <w:t xml:space="preserve"> </w:t>
      </w:r>
      <w:sdt>
        <w:sdtPr>
          <w:rPr>
            <w:color w:val="000000"/>
          </w:rPr>
          <w:tag w:val="MENDELEY_CITATION_v3_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"/>
          <w:id w:val="-90856400"/>
          <w:placeholder>
            <w:docPart w:val="6B1A2D590737407489C391A7D16DA5C9"/>
          </w:placeholder>
        </w:sdtPr>
        <w:sdtEndPr/>
        <w:sdtContent>
          <w:r w:rsidR="009A1775" w:rsidRPr="006177E4">
            <w:rPr>
              <w:color w:val="000000"/>
            </w:rPr>
            <w:t>Restrepo (2015)</w:t>
          </w:r>
        </w:sdtContent>
      </w:sdt>
      <w:r w:rsidRPr="006177E4">
        <w:rPr>
          <w:color w:val="000000"/>
        </w:rPr>
        <w:t xml:space="preserve">, </w:t>
      </w:r>
      <w:r w:rsidRPr="006177E4">
        <w:t xml:space="preserve">la retención en la fuente constituye instrumento esencial de recaudo anticipado que garantiza la eficiencia, oportunidad y estabilidad de los ingresos del Estado, facilitando el cumplimiento de sus fines redistributivos y de provisión de bienes públicos; por ello, su ineficacia no solo compromete el flujo financiero estatal, sino que introduce distorsiones en la equidad y en la capacidad de planificación fiscal. </w:t>
      </w:r>
    </w:p>
    <w:p w14:paraId="2BE35FDC" w14:textId="12C8948A" w:rsidR="00EB0661" w:rsidRPr="006177E4" w:rsidRDefault="00EB0661" w:rsidP="00674D57">
      <w:pPr>
        <w:pStyle w:val="PrrAPA"/>
      </w:pPr>
      <w:r w:rsidRPr="006177E4">
        <w:t>Desde la perspectiva clásica de la Hacienda Pública, el sistema tributario cumple una función esencial: garantizar la financiación oportuna y eficiente del gasto público. En este sentido, autores como</w:t>
      </w:r>
      <w:r w:rsidR="0005049E" w:rsidRPr="006177E4">
        <w:t xml:space="preserve"> </w:t>
      </w:r>
      <w:sdt>
        <w:sdtPr>
          <w:rPr>
            <w:color w:val="000000"/>
          </w:rPr>
          <w:tag w:val="MENDELEY_CITATION_v3_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"/>
          <w:id w:val="1930005617"/>
          <w:placeholder>
            <w:docPart w:val="DefaultPlaceholder_-1854013440"/>
          </w:placeholder>
        </w:sdtPr>
        <w:sdtEndPr/>
        <w:sdtContent>
          <w:r w:rsidR="009A1775" w:rsidRPr="006177E4">
            <w:rPr>
              <w:color w:val="000000"/>
            </w:rPr>
            <w:t xml:space="preserve">Musgrave </w:t>
          </w:r>
          <w:r w:rsidR="001A6A4D">
            <w:rPr>
              <w:color w:val="000000"/>
            </w:rPr>
            <w:t>(</w:t>
          </w:r>
          <w:r w:rsidR="009A1775" w:rsidRPr="006177E4">
            <w:rPr>
              <w:color w:val="000000"/>
            </w:rPr>
            <w:t>1959)</w:t>
          </w:r>
        </w:sdtContent>
      </w:sdt>
      <w:r w:rsidRPr="006177E4">
        <w:t xml:space="preserve"> sostienen que la eficiencia del sistema fiscal no se limita a la capacidad de generar ingresos, sino que implica la minimización de costos administrativos y la reducción de distorsiones económicas derivadas de su aplicación.</w:t>
      </w:r>
    </w:p>
    <w:p w14:paraId="4CE15728" w14:textId="77777777" w:rsidR="00EB0661" w:rsidRPr="006177E4" w:rsidRDefault="00EB0661" w:rsidP="00674D57">
      <w:pPr>
        <w:pStyle w:val="PrrAPA"/>
      </w:pPr>
      <w:r w:rsidRPr="006177E4">
        <w:t xml:space="preserve">A su vez, desde la teoría de la obligación tributaria, precisa que la ineficacia de la </w:t>
      </w:r>
    </w:p>
    <w:p w14:paraId="7BD98A5F" w14:textId="491D6701" w:rsidR="00EB0661" w:rsidRPr="006177E4" w:rsidRDefault="00EB0661" w:rsidP="00674D57">
      <w:pPr>
        <w:pStyle w:val="PrrAPA"/>
      </w:pPr>
      <w:r w:rsidRPr="006177E4">
        <w:t xml:space="preserve">declaración implica una ruptura en la materialización formal del deber sustancial, según </w:t>
      </w:r>
      <w:sdt>
        <w:sdtPr>
          <w:rPr>
            <w:color w:val="000000"/>
          </w:rPr>
          <w:tag w:val="MENDELEY_CITATION_v3_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"/>
          <w:id w:val="-835147201"/>
          <w:placeholder>
            <w:docPart w:val="D3EBD1877D8C4E889FEA8554804752ED"/>
          </w:placeholder>
        </w:sdtPr>
        <w:sdtEndPr/>
        <w:sdtContent>
          <w:r w:rsidR="009A1775" w:rsidRPr="006177E4">
            <w:rPr>
              <w:color w:val="000000"/>
            </w:rPr>
            <w:t>Saldarriaga (2024)</w:t>
          </w:r>
        </w:sdtContent>
      </w:sdt>
      <w:r w:rsidRPr="006177E4">
        <w:t xml:space="preserve">  en la medida en que, pese a la existencia del hecho generador y la obligación de declarar y pagar, el incumplimiento de requisitos legales como la presentación sin pago total, </w:t>
      </w:r>
      <w:r w:rsidRPr="006177E4">
        <w:lastRenderedPageBreak/>
        <w:t xml:space="preserve">impide el reconocimiento jurídico de la declaración, dando lugar a consecuencias como la exigibilidad coactiva, la imposición de sanciones y la afectación de la seguridad jurídica del contribuyente. </w:t>
      </w:r>
    </w:p>
    <w:p w14:paraId="639E4D7B" w14:textId="2D473181" w:rsidR="00EB0661" w:rsidRPr="006177E4" w:rsidRDefault="00EB0661" w:rsidP="00674D57">
      <w:pPr>
        <w:pStyle w:val="PrrAPA"/>
      </w:pPr>
      <w:r w:rsidRPr="006177E4">
        <w:t>Para el caso de la investigación, la figura de la retención se presenta como la solución a una de las dificultades del sistema tributario, la diferencia temporal entre el momento que constituye el hecho generador de los impuestos y el momento en el que efectivamente se pagan</w:t>
      </w:r>
      <w:r w:rsidR="00025273" w:rsidRPr="006177E4">
        <w:t xml:space="preserve"> </w:t>
      </w:r>
      <w:sdt>
        <w:sdtPr>
          <w:rPr>
            <w:color w:val="000000"/>
          </w:rPr>
          <w:tag w:val="MENDELEY_CITATION_v3_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"/>
          <w:id w:val="-800684125"/>
          <w:placeholder>
            <w:docPart w:val="DefaultPlaceholder_-1854013440"/>
          </w:placeholder>
        </w:sdtPr>
        <w:sdtEndPr/>
        <w:sdtContent>
          <w:r w:rsidR="009A1775" w:rsidRPr="006177E4">
            <w:rPr>
              <w:color w:val="000000"/>
            </w:rPr>
            <w:t>Restrepo</w:t>
          </w:r>
          <w:r w:rsidR="001A6A4D">
            <w:rPr>
              <w:color w:val="000000"/>
            </w:rPr>
            <w:t xml:space="preserve"> (</w:t>
          </w:r>
        </w:sdtContent>
      </w:sdt>
      <w:r w:rsidRPr="006177E4">
        <w:t>2024). Conforme lo anterior, entendiéndose la figura de la retención como el anticipo al impuesto de renta y la ineficacia como la consecuencia del no pago de dicha retención, se infiere que este mecanismo estás alineado con el propósito y el objeto central de la hacienda pública, en donde el estado actúa como recaudador y a su vez inversor de los recursos públicos.</w:t>
      </w:r>
    </w:p>
    <w:p w14:paraId="1D9B54E5" w14:textId="77777777" w:rsidR="001A6A4D" w:rsidRDefault="00EB0661" w:rsidP="00674D57">
      <w:pPr>
        <w:pStyle w:val="PrrAPA"/>
      </w:pPr>
      <w:r w:rsidRPr="006177E4">
        <w:t xml:space="preserve">El no pago de la retención desnaturaliza su función recaudatoria inmediata como mecanismo de ingreso anticipado, el cual permite financiar el gasto público de diversos sectores y la provisión de bienes para la sociedad. El configurar la ineficacia puede considerarse como una medida que propende por financiar al estado, pero a su vez, una carga a la administración para efectuar acciones de cobro, fiscalización y sanción, dilatando aún </w:t>
      </w:r>
      <w:r w:rsidR="00025273" w:rsidRPr="006177E4">
        <w:t>más</w:t>
      </w:r>
      <w:r w:rsidRPr="006177E4">
        <w:t xml:space="preserve"> el ingreso de los recursos</w:t>
      </w:r>
      <w:r w:rsidR="001A6A4D">
        <w:t xml:space="preserve">. </w:t>
      </w:r>
    </w:p>
    <w:p w14:paraId="0684DA60" w14:textId="77777777" w:rsidR="00EA67C4" w:rsidRDefault="00EB0661" w:rsidP="00674D57">
      <w:pPr>
        <w:pStyle w:val="PrrAPA"/>
      </w:pPr>
      <w:r w:rsidRPr="006177E4">
        <w:t xml:space="preserve">De este modo, la ineficacia de la retención en la fuente tiene consecuencias para el agente retenedor que exceden el simple incumplimiento del pago, lo que conlleva a la nueva presentación de la declaración, pago de intereses moratorios, eventual imposición de sanciones y procesos de cobro. La relación </w:t>
      </w:r>
      <w:r w:rsidR="00EA67C4" w:rsidRPr="006177E4">
        <w:t>jurídico-tributaria</w:t>
      </w:r>
      <w:r w:rsidRPr="006177E4">
        <w:t xml:space="preserve"> del estado y le agente retenedor produce un impacto jurídico, fiscal y operativo, tanto para la administración como para el contribuyente. Por ello, en el desarrollo del capítulo 2, la ineficacia se entiende no solo como una consecuencia normativa prevista en el artículo 580-1 del </w:t>
      </w:r>
      <w:sdt>
        <w:sdtPr>
          <w:rPr>
            <w:color w:val="000000"/>
          </w:rPr>
          <w:tag w:val="MENDELEY_CITATION_v3_eyJjaXRhdGlvbklEIjoiTUVOREVMRVlfQ0lUQVRJT05fYzQxMjljZmYtNmE0My00NjkzLTg3ZDItOTg2ZmYwNDQzMDU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22245710"/>
          <w:placeholder>
            <w:docPart w:val="DefaultPlaceholder_-1854013440"/>
          </w:placeholder>
        </w:sdtPr>
        <w:sdtEndPr/>
        <w:sdtContent>
          <w:r w:rsidR="00EA67C4">
            <w:rPr>
              <w:color w:val="000000"/>
            </w:rPr>
            <w:t>Decreto 624 (</w:t>
          </w:r>
          <w:r w:rsidR="009A1775" w:rsidRPr="006177E4">
            <w:rPr>
              <w:color w:val="000000"/>
            </w:rPr>
            <w:t>1989)</w:t>
          </w:r>
        </w:sdtContent>
      </w:sdt>
      <w:r w:rsidRPr="006177E4">
        <w:t>, sino como una serie de contrastes entre el recaudo oportuno, la capacidad fiscalizadora del estado, la eficacia y eficiencia del sistema tributario.</w:t>
      </w:r>
    </w:p>
    <w:p w14:paraId="1ECF686E" w14:textId="40EE06BA" w:rsidR="00EB0661" w:rsidRDefault="00EB0661" w:rsidP="00674D57">
      <w:pPr>
        <w:pStyle w:val="PrrAPA"/>
        <w:rPr>
          <w:bCs/>
          <w:u w:color="000000"/>
        </w:rPr>
      </w:pPr>
      <w:r w:rsidRPr="006177E4">
        <w:t xml:space="preserve">En consecuencia y articulado al marco teórico, la pregunta rectora que orientó el desarrollo del presente objetivo fue: </w:t>
      </w:r>
      <w:r w:rsidRPr="006177E4">
        <w:rPr>
          <w:bCs/>
          <w:u w:color="000000"/>
        </w:rPr>
        <w:t>¿Desde el análisis documental y los resultados del trabajo de campo cuáles son las consecuencias legales, fiscales y operativas de la ineficacia de las declaraciones de retención en la fuente en renta?</w:t>
      </w:r>
    </w:p>
    <w:p w14:paraId="15E61470" w14:textId="2FCB8CC6" w:rsidR="00EB0661" w:rsidRPr="00EA67C4" w:rsidRDefault="00EB0661" w:rsidP="00263B16">
      <w:pPr>
        <w:pStyle w:val="Ttulo3"/>
      </w:pPr>
      <w:bookmarkStart w:id="146" w:name="_Toc228250807"/>
      <w:bookmarkStart w:id="147" w:name="_Toc229077673"/>
      <w:r w:rsidRPr="00EA67C4">
        <w:lastRenderedPageBreak/>
        <w:t>Consecuencias legales, fiscales operativas y de proceso de cobro de la ineficacia de las declaraciones de retención en la fuente en renta</w:t>
      </w:r>
      <w:bookmarkEnd w:id="146"/>
      <w:bookmarkEnd w:id="147"/>
    </w:p>
    <w:p w14:paraId="36AAC350" w14:textId="6AF1DDAF" w:rsidR="00EB0661" w:rsidRDefault="00EB0661" w:rsidP="00674D57">
      <w:pPr>
        <w:pStyle w:val="PrrAPA"/>
        <w:rPr>
          <w:bCs/>
          <w:u w:color="000000"/>
        </w:rPr>
      </w:pPr>
      <w:r w:rsidRPr="006177E4">
        <w:t>En línea con el contexto anterior, se describen las consecuencias legales, fiscales operativas, las cuales no solo impactan a los agentes de retención, sino que configuran un problema estructural que compromete la eficiencia del sistema tributario.</w:t>
      </w:r>
      <w:r w:rsidRPr="006177E4">
        <w:rPr>
          <w:bCs/>
          <w:u w:color="000000"/>
        </w:rPr>
        <w:t xml:space="preserve"> A continuación, se desarrollan cada una de ellas</w:t>
      </w:r>
      <w:r w:rsidR="00EA67C4">
        <w:rPr>
          <w:bCs/>
          <w:u w:color="000000"/>
        </w:rPr>
        <w:t>.</w:t>
      </w:r>
    </w:p>
    <w:p w14:paraId="5C87AA14" w14:textId="77777777" w:rsidR="00F31EDC" w:rsidRPr="006177E4" w:rsidRDefault="00F31EDC" w:rsidP="00263B16">
      <w:pPr>
        <w:spacing w:line="480" w:lineRule="auto"/>
        <w:ind w:firstLine="720"/>
        <w:jc w:val="left"/>
        <w:rPr>
          <w:rFonts w:cs="Times New Roman"/>
          <w:bCs/>
          <w:szCs w:val="24"/>
          <w:u w:color="000000"/>
        </w:rPr>
      </w:pPr>
    </w:p>
    <w:p w14:paraId="5013977F" w14:textId="47562F99" w:rsidR="00EB0661" w:rsidRPr="00EA67C4" w:rsidRDefault="00EB0661" w:rsidP="00263B16">
      <w:pPr>
        <w:pStyle w:val="Ttulo4"/>
      </w:pPr>
      <w:r w:rsidRPr="00EA67C4">
        <w:t xml:space="preserve"> </w:t>
      </w:r>
      <w:bookmarkStart w:id="148" w:name="_Toc228250808"/>
      <w:bookmarkStart w:id="149" w:name="_Toc229077674"/>
      <w:r w:rsidRPr="00EA67C4">
        <w:t>Consecuencias legales</w:t>
      </w:r>
      <w:bookmarkEnd w:id="148"/>
      <w:bookmarkEnd w:id="149"/>
    </w:p>
    <w:p w14:paraId="30FD6968" w14:textId="77777777" w:rsidR="00EA67C4" w:rsidRDefault="00EB0661" w:rsidP="00674D57">
      <w:pPr>
        <w:pStyle w:val="PrrAPA"/>
      </w:pPr>
      <w:r w:rsidRPr="006177E4">
        <w:t xml:space="preserve">Desde una perspectiva jurídica, una declaración ineficaz no </w:t>
      </w:r>
      <w:r w:rsidR="00EA67C4" w:rsidRPr="006177E4">
        <w:t>solo</w:t>
      </w:r>
      <w:r w:rsidRPr="006177E4">
        <w:t xml:space="preserve"> no produce efectos legales, sino que, a su vez constituye título ejecutivo, lo que permite a la administración tributaria, ejercer la acción de cobro sin necesidad de acto administrativo previo.</w:t>
      </w:r>
    </w:p>
    <w:p w14:paraId="32C6F4F0" w14:textId="16B20444" w:rsidR="00EB0661" w:rsidRPr="006177E4" w:rsidRDefault="00EB0661" w:rsidP="00674D57">
      <w:pPr>
        <w:pStyle w:val="PrrAPA"/>
      </w:pPr>
      <w:r w:rsidRPr="006177E4">
        <w:t xml:space="preserve">Esta condición ha sido discutida ante la corte constitucional, </w:t>
      </w:r>
      <w:sdt>
        <w:sdtPr>
          <w:rPr>
            <w:color w:val="000000"/>
          </w:rPr>
          <w:tag w:val="MENDELEY_CITATION_v3_eyJjaXRhdGlvbklEIjoiTUVOREVMRVlfQ0lUQVRJT05fZGFiYjIwMWUtZGZlNi00ZjU1LWE2NjUtMmQ0ZTc0NDM1YmMy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1961071553"/>
          <w:placeholder>
            <w:docPart w:val="DefaultPlaceholder_-1854013440"/>
          </w:placeholder>
        </w:sdtPr>
        <w:sdtEndPr/>
        <w:sdtContent>
          <w:r w:rsidR="009A1775" w:rsidRPr="006177E4">
            <w:rPr>
              <w:rFonts w:eastAsia="Times New Roman"/>
              <w:color w:val="000000"/>
            </w:rPr>
            <w:t xml:space="preserve">Sentencia C-102 </w:t>
          </w:r>
          <w:r w:rsidR="00EA67C4">
            <w:rPr>
              <w:rFonts w:eastAsia="Times New Roman"/>
              <w:color w:val="000000"/>
            </w:rPr>
            <w:t>(</w:t>
          </w:r>
          <w:r w:rsidR="009A1775" w:rsidRPr="006177E4">
            <w:rPr>
              <w:rFonts w:eastAsia="Times New Roman"/>
              <w:color w:val="000000"/>
            </w:rPr>
            <w:t>2015)</w:t>
          </w:r>
        </w:sdtContent>
      </w:sdt>
      <w:r w:rsidRPr="006177E4">
        <w:t xml:space="preserve"> en donde se examina la interpretación de la norma y la seguridad jurídica del agente retenedor.</w:t>
      </w:r>
    </w:p>
    <w:p w14:paraId="5848713C" w14:textId="2BFAEEE5" w:rsidR="00EA67C4" w:rsidRDefault="00EB0661" w:rsidP="00674D57">
      <w:pPr>
        <w:pStyle w:val="PrrAPA"/>
      </w:pPr>
      <w:r w:rsidRPr="006177E4">
        <w:t xml:space="preserve">Aunado a la pérdida de efectos legales de la declaración, con la  </w:t>
      </w:r>
      <w:sdt>
        <w:sdtPr>
          <w:rPr>
            <w:color w:val="000000"/>
          </w:rPr>
          <w:tag w:val="MENDELEY_CITATION_v3_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E2NjMyMzAiLCJpc3N1ZWQiOnsiZGF0ZS1wYXJ0cyI6W1syMDAwXV19LCJsYW5ndWFnZSI6ImVzIiwiYWJzdHJhY3QiOiJUaXBpZmljYSBsYSBvbWlzacOzbiBkZWwgYWdlbnRlIHJldGVuZWRvciBvIHJlY2F1ZGFkb3IgcG9yIG5vIGNvbnNpZ25hciBzdW1hcyByZXRlbmlkYXMgbyByZWNhdWRhZGFzLiIsInB1Ymxpc2hlciI6IkNvbmdyZXNvIGRlIGxhIFJlcMO6YmxpY2EgZGUgQ29sb21iaWEifSwiaXNUZW1wb3JhcnkiOmZhbHNlfV19"/>
          <w:id w:val="1173677213"/>
          <w:placeholder>
            <w:docPart w:val="DefaultPlaceholder_-1854013440"/>
          </w:placeholder>
        </w:sdtPr>
        <w:sdtEndPr/>
        <w:sdtContent>
          <w:r w:rsidR="009A1775" w:rsidRPr="006177E4">
            <w:rPr>
              <w:color w:val="000000"/>
            </w:rPr>
            <w:t xml:space="preserve">Ley 599 </w:t>
          </w:r>
          <w:r w:rsidR="00EA67C4">
            <w:rPr>
              <w:color w:val="000000"/>
            </w:rPr>
            <w:t>(</w:t>
          </w:r>
          <w:r w:rsidR="009A1775" w:rsidRPr="006177E4">
            <w:rPr>
              <w:color w:val="000000"/>
            </w:rPr>
            <w:t>2000</w:t>
          </w:r>
          <w:r w:rsidR="00EA67C4">
            <w:rPr>
              <w:color w:val="000000"/>
            </w:rPr>
            <w:t>)</w:t>
          </w:r>
          <w:r w:rsidR="009A1775" w:rsidRPr="006177E4">
            <w:rPr>
              <w:color w:val="000000"/>
            </w:rPr>
            <w:t xml:space="preserve"> Código Penal</w:t>
          </w:r>
        </w:sdtContent>
      </w:sdt>
      <w:r w:rsidR="003D02F3" w:rsidRPr="006177E4">
        <w:rPr>
          <w:color w:val="000000"/>
        </w:rPr>
        <w:t xml:space="preserve"> </w:t>
      </w:r>
      <w:r w:rsidRPr="006177E4">
        <w:t>e incorporó en el artículo 402 el delito de omisión del agente retenedor o recaudador, la cual sancionó al agente retenedor o autorretenedor que no consignara oportunamente las sumas retenidas o autorretenidas por concepto de retención en la fuente, así como a quien estuviera encargado de recaudar tasas o contribuciones públicas y no las consignara dentro del término legal, figura que se estudia en la</w:t>
      </w:r>
      <w:r w:rsidR="003D02F3" w:rsidRPr="006177E4">
        <w:t xml:space="preserve"> </w:t>
      </w:r>
      <w:sdt>
        <w:sdtPr>
          <w:rPr>
            <w:color w:val="000000"/>
          </w:rPr>
          <w:tag w:val="MENDELEY_CITATION_v3_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"/>
          <w:id w:val="-1312633625"/>
          <w:placeholder>
            <w:docPart w:val="DefaultPlaceholder_-1854013440"/>
          </w:placeholder>
        </w:sdtPr>
        <w:sdtEndPr/>
        <w:sdtContent>
          <w:r w:rsidR="009A1775" w:rsidRPr="006177E4">
            <w:rPr>
              <w:rFonts w:eastAsia="Times New Roman"/>
              <w:color w:val="000000"/>
            </w:rPr>
            <w:t xml:space="preserve">Sentencia C-1144 de </w:t>
          </w:r>
          <w:r w:rsidR="00EA67C4">
            <w:rPr>
              <w:rFonts w:eastAsia="Times New Roman"/>
              <w:color w:val="000000"/>
            </w:rPr>
            <w:t>(</w:t>
          </w:r>
          <w:r w:rsidR="009A1775" w:rsidRPr="006177E4">
            <w:rPr>
              <w:rFonts w:eastAsia="Times New Roman"/>
              <w:color w:val="000000"/>
            </w:rPr>
            <w:t>2000)</w:t>
          </w:r>
        </w:sdtContent>
      </w:sdt>
      <w:r w:rsidRPr="006177E4">
        <w:t>.</w:t>
      </w:r>
    </w:p>
    <w:p w14:paraId="3DDB72D6" w14:textId="18538CAC" w:rsidR="00EB0661" w:rsidRPr="006177E4" w:rsidRDefault="00EB0661" w:rsidP="00674D57">
      <w:pPr>
        <w:pStyle w:val="PrrAPA"/>
      </w:pPr>
      <w:r w:rsidRPr="006177E4">
        <w:t>En la siguiente figura se resumen las principales consecuencias legales de la ineficacia de la retención en la fuente, las cuales son discutidas a lo largo del desarrollo del capítulo.</w:t>
      </w:r>
    </w:p>
    <w:p w14:paraId="53D9C043" w14:textId="77777777" w:rsidR="001E47CB" w:rsidRPr="006177E4" w:rsidRDefault="001E47CB" w:rsidP="00674D57">
      <w:pPr>
        <w:spacing w:line="480" w:lineRule="auto"/>
        <w:jc w:val="left"/>
        <w:rPr>
          <w:rFonts w:cs="Times New Roman"/>
          <w:szCs w:val="24"/>
        </w:rPr>
      </w:pPr>
    </w:p>
    <w:p w14:paraId="5B75848E" w14:textId="77777777" w:rsidR="00674D57" w:rsidRDefault="00674D57">
      <w:pPr>
        <w:spacing w:after="160" w:line="259" w:lineRule="auto"/>
        <w:jc w:val="left"/>
        <w:rPr>
          <w:b/>
          <w:bCs/>
          <w:szCs w:val="18"/>
        </w:rPr>
      </w:pPr>
      <w:bookmarkStart w:id="150" w:name="_Toc229077718"/>
      <w:r>
        <w:rPr>
          <w:b/>
          <w:bCs/>
          <w:i/>
          <w:iCs/>
        </w:rPr>
        <w:br w:type="page"/>
      </w:r>
    </w:p>
    <w:p w14:paraId="52A1B760" w14:textId="13165988" w:rsidR="00F31EDC" w:rsidRDefault="00EA67C4" w:rsidP="00263B16">
      <w:pPr>
        <w:pStyle w:val="Descripcin"/>
        <w:spacing w:after="0" w:line="480" w:lineRule="auto"/>
        <w:rPr>
          <w:b/>
          <w:bCs/>
          <w:i w:val="0"/>
          <w:iCs w:val="0"/>
        </w:rPr>
      </w:pPr>
      <w:r w:rsidRPr="00EA67C4">
        <w:rPr>
          <w:b/>
          <w:bCs/>
          <w:i w:val="0"/>
          <w:iCs w:val="0"/>
        </w:rPr>
        <w:lastRenderedPageBreak/>
        <w:t xml:space="preserve">Figura  </w:t>
      </w:r>
      <w:r w:rsidRPr="00EA67C4">
        <w:rPr>
          <w:b/>
          <w:bCs/>
          <w:i w:val="0"/>
          <w:iCs w:val="0"/>
        </w:rPr>
        <w:fldChar w:fldCharType="begin"/>
      </w:r>
      <w:r w:rsidRPr="00EA67C4">
        <w:rPr>
          <w:b/>
          <w:bCs/>
          <w:i w:val="0"/>
          <w:iCs w:val="0"/>
        </w:rPr>
        <w:instrText xml:space="preserve"> SEQ Figura_ \* ARABIC </w:instrText>
      </w:r>
      <w:r w:rsidRPr="00EA67C4">
        <w:rPr>
          <w:b/>
          <w:bCs/>
          <w:i w:val="0"/>
          <w:iCs w:val="0"/>
        </w:rPr>
        <w:fldChar w:fldCharType="separate"/>
      </w:r>
      <w:r w:rsidR="00F01079">
        <w:rPr>
          <w:b/>
          <w:bCs/>
          <w:i w:val="0"/>
          <w:iCs w:val="0"/>
          <w:noProof/>
        </w:rPr>
        <w:t>9</w:t>
      </w:r>
      <w:r w:rsidRPr="00EA67C4">
        <w:rPr>
          <w:b/>
          <w:bCs/>
          <w:i w:val="0"/>
          <w:iCs w:val="0"/>
        </w:rPr>
        <w:fldChar w:fldCharType="end"/>
      </w:r>
      <w:r>
        <w:rPr>
          <w:b/>
          <w:bCs/>
          <w:i w:val="0"/>
          <w:iCs w:val="0"/>
        </w:rPr>
        <w:t xml:space="preserve"> </w:t>
      </w:r>
    </w:p>
    <w:p w14:paraId="7BF6EEBE" w14:textId="54AB81DC" w:rsidR="00EB0661" w:rsidRDefault="00EB0661" w:rsidP="00263B16">
      <w:pPr>
        <w:pStyle w:val="Descripcin"/>
        <w:spacing w:after="0" w:line="480" w:lineRule="auto"/>
        <w:rPr>
          <w:rFonts w:cs="Times New Roman"/>
          <w:bCs/>
          <w:szCs w:val="24"/>
          <w:u w:color="000000"/>
        </w:rPr>
      </w:pPr>
      <w:r w:rsidRPr="006177E4">
        <w:rPr>
          <w:rFonts w:cs="Times New Roman"/>
          <w:bCs/>
          <w:szCs w:val="24"/>
          <w:u w:color="000000"/>
        </w:rPr>
        <w:t>Consecuencias legales</w:t>
      </w:r>
      <w:r w:rsidR="00BA3790">
        <w:rPr>
          <w:rFonts w:cs="Times New Roman"/>
          <w:bCs/>
          <w:szCs w:val="24"/>
          <w:u w:color="000000"/>
        </w:rPr>
        <w:t>.</w:t>
      </w:r>
      <w:bookmarkEnd w:id="150"/>
    </w:p>
    <w:p w14:paraId="0948280D" w14:textId="77777777" w:rsidR="00BA3790" w:rsidRPr="00BA3790" w:rsidRDefault="00BA3790" w:rsidP="00263B16">
      <w:pPr>
        <w:spacing w:line="480" w:lineRule="auto"/>
      </w:pPr>
    </w:p>
    <w:p w14:paraId="4B31F0E0" w14:textId="77777777" w:rsidR="00EB0661" w:rsidRPr="006177E4" w:rsidRDefault="00EB0661" w:rsidP="00263B16">
      <w:pPr>
        <w:pStyle w:val="Prrafodelista"/>
        <w:spacing w:line="480" w:lineRule="auto"/>
        <w:ind w:left="360"/>
        <w:jc w:val="center"/>
        <w:rPr>
          <w:rFonts w:cs="Times New Roman"/>
          <w:bCs/>
          <w:szCs w:val="24"/>
          <w:highlight w:val="magenta"/>
        </w:rPr>
      </w:pPr>
      <w:r w:rsidRPr="006177E4">
        <w:rPr>
          <w:rFonts w:cs="Times New Roman"/>
          <w:bCs/>
          <w:noProof/>
          <w:szCs w:val="24"/>
          <w:lang w:eastAsia="es-CO"/>
        </w:rPr>
        <w:drawing>
          <wp:inline distT="0" distB="0" distL="0" distR="0" wp14:anchorId="5B5E8642" wp14:editId="78603EC1">
            <wp:extent cx="5609481" cy="1597688"/>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BEBA8EAE-BF5A-486C-A8C5-ECC9F3942E4B}">
                          <a14:imgProps xmlns:a14="http://schemas.microsoft.com/office/drawing/2010/main">
                            <a14:imgLayer r:embed="rId35">
                              <a14:imgEffect>
                                <a14:saturation sat="0"/>
                              </a14:imgEffect>
                            </a14:imgLayer>
                          </a14:imgProps>
                        </a:ext>
                      </a:extLst>
                    </a:blip>
                    <a:srcRect t="17245" b="11216"/>
                    <a:stretch/>
                  </pic:blipFill>
                  <pic:spPr bwMode="auto">
                    <a:xfrm>
                      <a:off x="0" y="0"/>
                      <a:ext cx="5615844" cy="1599500"/>
                    </a:xfrm>
                    <a:prstGeom prst="rect">
                      <a:avLst/>
                    </a:prstGeom>
                    <a:ln>
                      <a:noFill/>
                    </a:ln>
                    <a:extLst>
                      <a:ext uri="{53640926-AAD7-44D8-BBD7-CCE9431645EC}">
                        <a14:shadowObscured xmlns:a14="http://schemas.microsoft.com/office/drawing/2010/main"/>
                      </a:ext>
                    </a:extLst>
                  </pic:spPr>
                </pic:pic>
              </a:graphicData>
            </a:graphic>
          </wp:inline>
        </w:drawing>
      </w:r>
    </w:p>
    <w:p w14:paraId="48EEAC9A" w14:textId="29560F09" w:rsidR="00272E99" w:rsidRPr="006177E4" w:rsidRDefault="00EA67C4" w:rsidP="00263B16">
      <w:pPr>
        <w:spacing w:line="480" w:lineRule="auto"/>
        <w:rPr>
          <w:rFonts w:eastAsia="Times New Roman" w:cs="Times New Roman"/>
          <w:szCs w:val="24"/>
        </w:rPr>
      </w:pPr>
      <w:r>
        <w:rPr>
          <w:rFonts w:eastAsia="Times New Roman" w:cs="Times New Roman"/>
          <w:szCs w:val="24"/>
        </w:rPr>
        <w:t xml:space="preserve">Nota. </w:t>
      </w:r>
      <w:r w:rsidRPr="00E27C5F">
        <w:rPr>
          <w:rFonts w:eastAsia="Times New Roman" w:cs="Times New Roman"/>
          <w:szCs w:val="24"/>
        </w:rPr>
        <w:t>E</w:t>
      </w:r>
      <w:r w:rsidR="00272E99" w:rsidRPr="00E27C5F">
        <w:rPr>
          <w:rFonts w:eastAsia="Times New Roman" w:cs="Times New Roman"/>
          <w:szCs w:val="24"/>
        </w:rPr>
        <w:t>lab</w:t>
      </w:r>
      <w:r w:rsidR="00272E99" w:rsidRPr="006177E4">
        <w:rPr>
          <w:rFonts w:eastAsia="Times New Roman" w:cs="Times New Roman"/>
          <w:szCs w:val="24"/>
        </w:rPr>
        <w:t>oración propia</w:t>
      </w:r>
      <w:r w:rsidR="00F31EDC">
        <w:rPr>
          <w:rFonts w:eastAsia="Times New Roman" w:cs="Times New Roman"/>
          <w:szCs w:val="24"/>
        </w:rPr>
        <w:t>.</w:t>
      </w:r>
      <w:r w:rsidR="00272E99" w:rsidRPr="006177E4">
        <w:rPr>
          <w:rFonts w:eastAsia="Times New Roman" w:cs="Times New Roman"/>
          <w:szCs w:val="24"/>
        </w:rPr>
        <w:t xml:space="preserve"> (Acero y López, 2026) apoyo IA</w:t>
      </w:r>
    </w:p>
    <w:p w14:paraId="55F292F9" w14:textId="620084AC" w:rsidR="00EB0661" w:rsidRPr="006177E4" w:rsidRDefault="00EB0661" w:rsidP="00263B16">
      <w:pPr>
        <w:pStyle w:val="Prrafodelista"/>
        <w:spacing w:line="480" w:lineRule="auto"/>
        <w:ind w:left="360"/>
        <w:jc w:val="left"/>
        <w:rPr>
          <w:rFonts w:cs="Times New Roman"/>
          <w:bCs/>
          <w:szCs w:val="24"/>
          <w:u w:color="000000"/>
        </w:rPr>
      </w:pPr>
    </w:p>
    <w:p w14:paraId="55FD2CE1" w14:textId="50EB4C68" w:rsidR="00EB0661" w:rsidRPr="00EA67C4" w:rsidRDefault="00EB0661" w:rsidP="00263B16">
      <w:pPr>
        <w:pStyle w:val="Ttulo5"/>
      </w:pPr>
      <w:r w:rsidRPr="00EA67C4">
        <w:t xml:space="preserve"> </w:t>
      </w:r>
      <w:bookmarkStart w:id="151" w:name="_Toc228250809"/>
      <w:bookmarkStart w:id="152" w:name="_Toc229077675"/>
      <w:r w:rsidRPr="00EA67C4">
        <w:t>Análisis documental</w:t>
      </w:r>
      <w:bookmarkEnd w:id="151"/>
      <w:bookmarkEnd w:id="152"/>
      <w:r w:rsidR="00F31EDC">
        <w:t>.</w:t>
      </w:r>
    </w:p>
    <w:p w14:paraId="471AC917" w14:textId="77777777" w:rsidR="00EA67C4" w:rsidRDefault="00EB0661" w:rsidP="00674D57">
      <w:pPr>
        <w:pStyle w:val="PrrAPA"/>
      </w:pPr>
      <w:r w:rsidRPr="006177E4">
        <w:t>La normatividad base o el punto de partida se enfoca en el artículo 580-1 del Estatuto Tributario, estudiado en los conceptos DIAN 008678 de 2024 y el Oficio 16224 de 2025, en los que se reitera que la declaración presentada sin pago total, por regla general, no produce efecto legal alguno, salvo las hipótesis exceptivas previstas por la ley.</w:t>
      </w:r>
    </w:p>
    <w:p w14:paraId="68418F6E" w14:textId="77F888B0" w:rsidR="00EA67C4" w:rsidRDefault="00EB0661" w:rsidP="00674D57">
      <w:pPr>
        <w:pStyle w:val="PrrAPA"/>
      </w:pPr>
      <w:r w:rsidRPr="006177E4">
        <w:t>Dentro de las salvedades en la ineficacia, la</w:t>
      </w:r>
      <w:r w:rsidR="00EE5377" w:rsidRPr="006177E4">
        <w:t xml:space="preserve"> </w:t>
      </w:r>
      <w:sdt>
        <w:sdtPr>
          <w:rPr>
            <w:color w:val="000000"/>
          </w:rPr>
          <w:tag w:val="MENDELEY_CITATION_v3_eyJjaXRhdGlvbklEIjoiTUVOREVMRVlfQ0lUQVRJT05fNzZhMjkzMTEtYTE2ZS00YWQ1LWE4MGUtM2Q1MmQ3MmIyNWFi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
          <w:id w:val="-1047989945"/>
          <w:placeholder>
            <w:docPart w:val="DefaultPlaceholder_-1854013440"/>
          </w:placeholder>
        </w:sdtPr>
        <w:sdtEndPr/>
        <w:sdtContent>
          <w:r w:rsidR="009A1775" w:rsidRPr="006177E4">
            <w:rPr>
              <w:color w:val="000000"/>
            </w:rPr>
            <w:t xml:space="preserve">Ley 2010 </w:t>
          </w:r>
          <w:r w:rsidR="00EA67C4">
            <w:rPr>
              <w:color w:val="000000"/>
            </w:rPr>
            <w:t>(</w:t>
          </w:r>
          <w:r w:rsidR="009A1775" w:rsidRPr="006177E4">
            <w:rPr>
              <w:color w:val="000000"/>
            </w:rPr>
            <w:t>2019)</w:t>
          </w:r>
        </w:sdtContent>
      </w:sdt>
      <w:r w:rsidRPr="006177E4">
        <w:t xml:space="preserve"> determinó que, si la declaración fue presentada oportunamente, solo conservará efectos jurídicos si el pago total, con intereses moratorios, se realiza dentro de los dos meses siguientes al vencimiento; de no ocurrir ello, sobreviene la ineficacia. </w:t>
      </w:r>
    </w:p>
    <w:p w14:paraId="223BB53A" w14:textId="18CE9947" w:rsidR="00EA67C4" w:rsidRDefault="00EB0661" w:rsidP="00674D57">
      <w:pPr>
        <w:pStyle w:val="PrrAPA"/>
      </w:pPr>
      <w:r w:rsidRPr="006177E4">
        <w:t xml:space="preserve">A su vez, las modificaciones normativas, los conceptos DIAN y la doctrina, indican que, aunque la declaración sea ineficaz para efectos tributarios sustanciales y procedimentales, la declaración inicial puede servir como documento que contiene una obligación clara, expresa y exigible para fines de cobro coactivo, conforme a la modificación introducida por la </w:t>
      </w:r>
      <w:r w:rsidR="00EE5377" w:rsidRPr="006177E4">
        <w:t xml:space="preserve"> </w:t>
      </w:r>
      <w:sdt>
        <w:sdtPr>
          <w:rPr>
            <w:color w:val="000000"/>
          </w:rPr>
          <w:tag w:val="MENDELEY_CITATION_v3_eyJjaXRhdGlvbklEIjoiTUVOREVMRVlfQ0lUQVRJT05fZmYxNGQwNmUtNTgzYy00MjRlLWE2M2QtODFlZTkzY2UxOTNl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
          <w:id w:val="-2023542518"/>
          <w:placeholder>
            <w:docPart w:val="4856146539684334BA669B077612AEF9"/>
          </w:placeholder>
        </w:sdtPr>
        <w:sdtEndPr/>
        <w:sdtContent>
          <w:r w:rsidR="009A1775" w:rsidRPr="006177E4">
            <w:rPr>
              <w:color w:val="000000"/>
            </w:rPr>
            <w:t xml:space="preserve">Ley 2010 </w:t>
          </w:r>
          <w:r w:rsidR="00517313">
            <w:rPr>
              <w:color w:val="000000"/>
            </w:rPr>
            <w:t>(</w:t>
          </w:r>
          <w:r w:rsidR="009A1775" w:rsidRPr="006177E4">
            <w:rPr>
              <w:color w:val="000000"/>
            </w:rPr>
            <w:t>2019)</w:t>
          </w:r>
        </w:sdtContent>
      </w:sdt>
      <w:r w:rsidR="00EE5377" w:rsidRPr="006177E4">
        <w:rPr>
          <w:color w:val="000000"/>
        </w:rPr>
        <w:t xml:space="preserve"> </w:t>
      </w:r>
      <w:r w:rsidRPr="006177E4">
        <w:t>y desarrollada en el Oficio DIAN 910619 de 2020.</w:t>
      </w:r>
    </w:p>
    <w:p w14:paraId="630D9ADC" w14:textId="42DC8DE0" w:rsidR="00EB0661" w:rsidRPr="006177E4" w:rsidRDefault="00EB0661" w:rsidP="00674D57">
      <w:pPr>
        <w:pStyle w:val="PrrAPA"/>
      </w:pPr>
      <w:r w:rsidRPr="006177E4">
        <w:t>Como primera consecuencia y como eje central, se encuentra que la retención en la fuente ineficaz no produce efecto legal, es decir se entiende como no presentada, en este sentido ubica al contribuyente en una situación equivalente a no haber declarado. De allí se deriva el deber de</w:t>
      </w:r>
      <w:r w:rsidR="00EE5377" w:rsidRPr="006177E4">
        <w:t xml:space="preserve"> </w:t>
      </w:r>
      <w:r w:rsidR="00EE5377" w:rsidRPr="006177E4">
        <w:lastRenderedPageBreak/>
        <w:t>presentar nuevamente la declaración</w:t>
      </w:r>
      <w:r w:rsidRPr="006177E4">
        <w:rPr>
          <w:b/>
          <w:bCs/>
        </w:rPr>
        <w:t xml:space="preserve">, </w:t>
      </w:r>
      <w:r w:rsidRPr="006177E4">
        <w:t xml:space="preserve">con el pago de la retención, los intereses moratorios y, en principio, la </w:t>
      </w:r>
      <w:r w:rsidRPr="006177E4">
        <w:rPr>
          <w:rStyle w:val="Textoennegrita"/>
          <w:b w:val="0"/>
          <w:bCs w:val="0"/>
        </w:rPr>
        <w:t>sanción por extemporaneidad</w:t>
      </w:r>
      <w:r w:rsidRPr="006177E4">
        <w:rPr>
          <w:b/>
          <w:bCs/>
        </w:rPr>
        <w:t>.</w:t>
      </w:r>
    </w:p>
    <w:p w14:paraId="1BFAD9F1" w14:textId="15429ACC" w:rsidR="00EB0661" w:rsidRPr="006177E4" w:rsidRDefault="00EB0661" w:rsidP="00674D57">
      <w:pPr>
        <w:pStyle w:val="PrrAPA"/>
        <w:rPr>
          <w:b/>
          <w:bCs/>
        </w:rPr>
      </w:pPr>
      <w:r w:rsidRPr="006177E4">
        <w:t xml:space="preserve">En paralelo, si el agente retenedor no subsana la ineficacia, la administración tributaria puede activar el procedimiento de omisión: </w:t>
      </w:r>
      <w:r w:rsidRPr="006177E4">
        <w:rPr>
          <w:rStyle w:val="Textoennegrita"/>
          <w:b w:val="0"/>
          <w:bCs w:val="0"/>
        </w:rPr>
        <w:t>emplazamiento para declarar, sanción por no</w:t>
      </w:r>
      <w:r w:rsidRPr="006177E4">
        <w:rPr>
          <w:rStyle w:val="Textoennegrita"/>
        </w:rPr>
        <w:t xml:space="preserve"> </w:t>
      </w:r>
      <w:r w:rsidRPr="006177E4">
        <w:rPr>
          <w:rStyle w:val="Textoennegrita"/>
          <w:b w:val="0"/>
          <w:bCs w:val="0"/>
        </w:rPr>
        <w:t>declarar y liquidación oficial de aforo</w:t>
      </w:r>
      <w:r w:rsidRPr="006177E4">
        <w:rPr>
          <w:b/>
          <w:bCs/>
        </w:rPr>
        <w:t>,</w:t>
      </w:r>
      <w:r w:rsidRPr="006177E4">
        <w:t xml:space="preserve"> conforme a los artículos 715 a 717 del</w:t>
      </w:r>
      <w:r w:rsidR="00EE5377" w:rsidRPr="006177E4">
        <w:t xml:space="preserve"> </w:t>
      </w:r>
      <w:sdt>
        <w:sdtPr>
          <w:rPr>
            <w:color w:val="000000"/>
          </w:rPr>
          <w:tag w:val="MENDELEY_CITATION_v3_eyJjaXRhdGlvbklEIjoiTUVOREVMRVlfQ0lUQVRJT05fMmEyMzg0MzgtM2Y0MC00NTFkLTg5M2UtNzAzYWZjNDEwYTMx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945125484"/>
          <w:placeholder>
            <w:docPart w:val="DefaultPlaceholder_-1854013440"/>
          </w:placeholder>
        </w:sdtPr>
        <w:sdtEndPr/>
        <w:sdtContent>
          <w:r w:rsidR="00517313">
            <w:rPr>
              <w:color w:val="000000"/>
            </w:rPr>
            <w:t xml:space="preserve">Decreto </w:t>
          </w:r>
          <w:r w:rsidR="00F31EDC">
            <w:rPr>
              <w:color w:val="000000"/>
            </w:rPr>
            <w:t xml:space="preserve">624 </w:t>
          </w:r>
          <w:r w:rsidR="00517313">
            <w:rPr>
              <w:color w:val="000000"/>
            </w:rPr>
            <w:t>(</w:t>
          </w:r>
          <w:r w:rsidR="009A1775" w:rsidRPr="006177E4">
            <w:rPr>
              <w:color w:val="000000"/>
            </w:rPr>
            <w:t>1989)</w:t>
          </w:r>
        </w:sdtContent>
      </w:sdt>
      <w:r w:rsidRPr="006177E4">
        <w:t>. En este sentido, la ineficacia no es tratada como una mora en el pago sino como el incumplimiento</w:t>
      </w:r>
      <w:r w:rsidRPr="006177E4">
        <w:rPr>
          <w:rStyle w:val="Textoennegrita"/>
        </w:rPr>
        <w:t xml:space="preserve"> </w:t>
      </w:r>
      <w:r w:rsidRPr="006177E4">
        <w:rPr>
          <w:rStyle w:val="Textoennegrita"/>
          <w:b w:val="0"/>
          <w:bCs w:val="0"/>
        </w:rPr>
        <w:t>formal y material en la presentación de la declaración</w:t>
      </w:r>
      <w:r w:rsidRPr="006177E4">
        <w:rPr>
          <w:rStyle w:val="Textoennegrita"/>
        </w:rPr>
        <w:t>.</w:t>
      </w:r>
    </w:p>
    <w:p w14:paraId="0187BB3C" w14:textId="5C69ECBA" w:rsidR="00EB0661" w:rsidRPr="006177E4" w:rsidRDefault="00EB0661" w:rsidP="00674D57">
      <w:pPr>
        <w:pStyle w:val="PrrAPA"/>
      </w:pPr>
      <w:r w:rsidRPr="006177E4">
        <w:t xml:space="preserve">Esta condición fue discutida ante la corte constitucional, </w:t>
      </w:r>
      <w:sdt>
        <w:sdtPr>
          <w:rPr>
            <w:color w:val="000000"/>
          </w:rPr>
          <w:tag w:val="MENDELEY_CITATION_v3_eyJjaXRhdGlvbklEIjoiTUVOREVMRVlfQ0lUQVRJT05fOWMxZmI3OTgtNTY5Ni00NDcyLTlmOTktYzYyZDc4MGUzOTI2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216212898"/>
          <w:placeholder>
            <w:docPart w:val="DefaultPlaceholder_-1854013440"/>
          </w:placeholder>
        </w:sdtPr>
        <w:sdtEndPr/>
        <w:sdtContent>
          <w:r w:rsidR="009A1775" w:rsidRPr="006177E4">
            <w:rPr>
              <w:rFonts w:eastAsia="Times New Roman"/>
              <w:color w:val="000000"/>
            </w:rPr>
            <w:t xml:space="preserve">Sentencia C-102 </w:t>
          </w:r>
          <w:r w:rsidR="00517313">
            <w:rPr>
              <w:rFonts w:eastAsia="Times New Roman"/>
              <w:color w:val="000000"/>
            </w:rPr>
            <w:t>(</w:t>
          </w:r>
          <w:r w:rsidR="009A1775" w:rsidRPr="006177E4">
            <w:rPr>
              <w:rFonts w:eastAsia="Times New Roman"/>
              <w:color w:val="000000"/>
            </w:rPr>
            <w:t>2015)</w:t>
          </w:r>
        </w:sdtContent>
      </w:sdt>
      <w:r w:rsidRPr="006177E4">
        <w:t>, en donde reiteró que no debía generarse un acto administrativo que así lo determinara y precisó que esta consecuencia no constituye una sanción, sino una condición jurídica.</w:t>
      </w:r>
      <w:r w:rsidRPr="006177E4">
        <w:tab/>
      </w:r>
    </w:p>
    <w:p w14:paraId="4F26A79D" w14:textId="2F620036" w:rsidR="00EB0661" w:rsidRPr="006177E4" w:rsidRDefault="00EB0661" w:rsidP="00674D57">
      <w:pPr>
        <w:pStyle w:val="PrrAPA"/>
      </w:pPr>
      <w:r w:rsidRPr="006177E4">
        <w:t xml:space="preserve">Desde esta perspectiva, en la </w:t>
      </w:r>
      <w:sdt>
        <w:sdtPr>
          <w:rPr>
            <w:color w:val="000000"/>
          </w:rPr>
          <w:tag w:val="MENDELEY_CITATION_v3_eyJjaXRhdGlvbklEIjoiTUVOREVMRVlfQ0lUQVRJT05fODU1YzdlNWEtOTliYS00MTVkLTliOGEtZjI2YzY1NzRhMDY4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
          <w:id w:val="218565553"/>
          <w:placeholder>
            <w:docPart w:val="2E4161D9FAEB462C8E16D47AD9984A70"/>
          </w:placeholder>
        </w:sdtPr>
        <w:sdtEndPr/>
        <w:sdtContent>
          <w:r w:rsidR="009A1775" w:rsidRPr="006177E4">
            <w:rPr>
              <w:rFonts w:eastAsia="Times New Roman"/>
              <w:color w:val="000000"/>
            </w:rPr>
            <w:t xml:space="preserve">Sentencia C-102 </w:t>
          </w:r>
          <w:r w:rsidR="00517313">
            <w:rPr>
              <w:rFonts w:eastAsia="Times New Roman"/>
              <w:color w:val="000000"/>
            </w:rPr>
            <w:t>(</w:t>
          </w:r>
          <w:r w:rsidR="009A1775" w:rsidRPr="006177E4">
            <w:rPr>
              <w:rFonts w:eastAsia="Times New Roman"/>
              <w:color w:val="000000"/>
            </w:rPr>
            <w:t>2015)</w:t>
          </w:r>
        </w:sdtContent>
      </w:sdt>
      <w:r w:rsidR="00EE1F21" w:rsidRPr="006177E4">
        <w:t xml:space="preserve"> </w:t>
      </w:r>
      <w:r w:rsidRPr="006177E4">
        <w:t>la declaración presentada sin pago total no produce efectos legales, no porque la administración la invalide en un proceso posterior, sino porque la propia ley condiciona su eficacia al cumplimiento integral del deber de pago. Esta interpretación fortalece la naturaleza automática de la ineficacia y permite comprender que, en materia de retención en la fuente, el pago no es un elemento accesorio, sino estructural para el reconocimiento jurídico de la declaración.</w:t>
      </w:r>
    </w:p>
    <w:p w14:paraId="18F9226E" w14:textId="77777777" w:rsidR="00EB0661" w:rsidRPr="006177E4" w:rsidRDefault="00EB0661" w:rsidP="00674D57">
      <w:pPr>
        <w:pStyle w:val="PrrAPA"/>
      </w:pPr>
      <w:r w:rsidRPr="006177E4">
        <w:t>Adicionalmente, la Corte reiteró la constitucionalidad de la norma, al considerar que tales valores no ingresan al patrimonio del agente retenedor, sino que pertenecen al estado desde el momento en que son recaudados. En consecuencia, la falta de pago total no solo compromete un deber formal, sino que afecta directamente la protección del ingreso público y la eficiencia del sistema tributario. En este sentido, la sentencia permite concluir que la ineficacia opera de pleno derecho, sin necesidad de acto administrativo previo, y que su severidad encuentra respaldo en la finalidad constitucional de asegurar el recaudo oportuno de recursos públicos. Aclarando que, aunque formalmente no sea una sanción, en la práctica sí genera consecuencias jurídicas para el retenedor.</w:t>
      </w:r>
    </w:p>
    <w:p w14:paraId="672749A9" w14:textId="397CD321" w:rsidR="00EB0661" w:rsidRPr="006177E4" w:rsidRDefault="00EB0661" w:rsidP="00674D57">
      <w:pPr>
        <w:pStyle w:val="PrrAPA"/>
      </w:pPr>
      <w:r w:rsidRPr="006177E4">
        <w:t xml:space="preserve">La segunda consecuencia, determina la facultad que tiene la administración para iniciar el proceso de cobro coactivo, partiendo de la modificación Ley 2010 de 2019. La jurisprudencia en este punto discute la interpretación </w:t>
      </w:r>
      <w:r w:rsidRPr="006177E4">
        <w:rPr>
          <w:rStyle w:val="Textoennegrita"/>
          <w:b w:val="0"/>
          <w:bCs w:val="0"/>
        </w:rPr>
        <w:t>normativa</w:t>
      </w:r>
      <w:r w:rsidRPr="006177E4">
        <w:t xml:space="preserve"> de la declaración ineficaz y en el concepto DIAN </w:t>
      </w:r>
      <w:r w:rsidRPr="006177E4">
        <w:rPr>
          <w:rStyle w:val="Textoennegrita"/>
        </w:rPr>
        <w:t xml:space="preserve"> </w:t>
      </w:r>
      <w:r w:rsidRPr="006177E4">
        <w:rPr>
          <w:rStyle w:val="Textoennegrita"/>
          <w:b w:val="0"/>
          <w:bCs w:val="0"/>
        </w:rPr>
        <w:t>910619 de 2020</w:t>
      </w:r>
      <w:r w:rsidRPr="006177E4">
        <w:t xml:space="preserve">, se reconoce que la declaración ineficaz puede ser usada en cobro coactivo, aun cuando en el sistema figure marcada como ineficaz, ello implica que la ineficacia no opera como </w:t>
      </w:r>
      <w:r w:rsidRPr="006177E4">
        <w:lastRenderedPageBreak/>
        <w:t xml:space="preserve">nulidad absoluta del acto de declarar, sino como una </w:t>
      </w:r>
      <w:r w:rsidRPr="006177E4">
        <w:rPr>
          <w:rStyle w:val="Textoennegrita"/>
          <w:b w:val="0"/>
          <w:bCs w:val="0"/>
        </w:rPr>
        <w:t>ineficacia</w:t>
      </w:r>
      <w:r w:rsidRPr="006177E4">
        <w:t xml:space="preserve"> </w:t>
      </w:r>
      <w:r w:rsidR="008F201B" w:rsidRPr="006177E4">
        <w:t>no es válida</w:t>
      </w:r>
      <w:r w:rsidRPr="006177E4">
        <w:t xml:space="preserve"> para efectos de cumplimiento formal, pero como reconocimiento de deuda para el Estado.</w:t>
      </w:r>
    </w:p>
    <w:p w14:paraId="6941D5BF" w14:textId="54E95802" w:rsidR="00EB0661" w:rsidRPr="006177E4" w:rsidRDefault="00EB0661" w:rsidP="00674D57">
      <w:pPr>
        <w:pStyle w:val="PrrAPA"/>
      </w:pPr>
      <w:r w:rsidRPr="006177E4">
        <w:t xml:space="preserve">La tercera consecuencia, se enmarca en el plano penal, puntualmente con el delito de omisión de agente retenedor o recaudador reglamentado por el artículo 402 del Código Penal. El concepto DIAN No. 16224 de 2025 </w:t>
      </w:r>
      <w:sdt>
        <w:sdtPr>
          <w:rPr>
            <w:color w:val="000000"/>
          </w:rPr>
          <w:tag w:val="MENDELEY_CITATION_v3_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xNjIyNF8yMDI1Lmh0bSIsImlzc3VlZCI6eyJkYXRlLXBhcnRzIjpbWzIwMjVdXX0sImxhbmd1YWdlIjoiZXMiLCJhYnN0cmFjdCI6IlJlaXRlcmEgZWwgYWxjYW5jZSBkZWwgaW5jaXNvIHF1aW50byBkZWwgYXJ0w61jdWxvIDU4MC0xIEVUIHNvYnJlIGVsIHBhZ28gdG90YWwgZGVudHJvIGRlIGxvcyBkb3MgbWVzZXMgc2lndWllbnRlcyBhbCB2ZW5jaW1pZW50byBkZWwgcGxhem8gcGFyYSBkZWNsYXJhci4iLCJwdWJsaXNoZXIiOiJESUFOIn0sImlzVGVtcG9yYXJ5IjpmYWxzZX1dfQ=="/>
          <w:id w:val="2132974613"/>
          <w:placeholder>
            <w:docPart w:val="DefaultPlaceholder_-1854013440"/>
          </w:placeholder>
        </w:sdtPr>
        <w:sdtEndPr/>
        <w:sdtContent>
          <w:r w:rsidR="009A1775" w:rsidRPr="006177E4">
            <w:rPr>
              <w:color w:val="000000"/>
            </w:rPr>
            <w:t>DIAN</w:t>
          </w:r>
          <w:r w:rsidR="00517313">
            <w:rPr>
              <w:color w:val="000000"/>
            </w:rPr>
            <w:t xml:space="preserve"> (</w:t>
          </w:r>
          <w:r w:rsidR="009A1775" w:rsidRPr="006177E4">
            <w:rPr>
              <w:color w:val="000000"/>
            </w:rPr>
            <w:t>2025)</w:t>
          </w:r>
        </w:sdtContent>
      </w:sdt>
      <w:r w:rsidR="008F201B" w:rsidRPr="006177E4">
        <w:rPr>
          <w:color w:val="000000"/>
        </w:rPr>
        <w:t xml:space="preserve"> </w:t>
      </w:r>
      <w:r w:rsidRPr="006177E4">
        <w:t xml:space="preserve">señala que, si la declaración oportuna no se paga dentro de los dos meses siguientes, además de perder eficacia en materia tributaria, la conducta puede enmarcarse en el tipo penal. </w:t>
      </w:r>
    </w:p>
    <w:p w14:paraId="4B2C0486" w14:textId="77777777" w:rsidR="00517313" w:rsidRDefault="00EB0661" w:rsidP="00674D57">
      <w:pPr>
        <w:pStyle w:val="PrrAPA"/>
        <w:rPr>
          <w:rFonts w:eastAsia="Times New Roman"/>
        </w:rPr>
      </w:pPr>
      <w:r w:rsidRPr="006177E4">
        <w:t xml:space="preserve">En la </w:t>
      </w:r>
      <w:sdt>
        <w:sdtPr>
          <w:rPr>
            <w:color w:val="000000"/>
          </w:rPr>
          <w:tag w:val="MENDELEY_CITATION_v3_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"/>
          <w:id w:val="-1021543322"/>
          <w:placeholder>
            <w:docPart w:val="DefaultPlaceholder_-1854013440"/>
          </w:placeholder>
        </w:sdtPr>
        <w:sdtEndPr/>
        <w:sdtContent>
          <w:r w:rsidR="009A1775" w:rsidRPr="006177E4">
            <w:rPr>
              <w:rFonts w:eastAsia="Times New Roman"/>
              <w:color w:val="000000"/>
            </w:rPr>
            <w:t xml:space="preserve">Sentencia C-1144 </w:t>
          </w:r>
          <w:r w:rsidR="00517313">
            <w:rPr>
              <w:rFonts w:eastAsia="Times New Roman"/>
              <w:color w:val="000000"/>
            </w:rPr>
            <w:t>(</w:t>
          </w:r>
          <w:r w:rsidR="009A1775" w:rsidRPr="006177E4">
            <w:rPr>
              <w:rFonts w:eastAsia="Times New Roman"/>
              <w:color w:val="000000"/>
            </w:rPr>
            <w:t>2000)</w:t>
          </w:r>
        </w:sdtContent>
      </w:sdt>
      <w:r w:rsidR="008F201B" w:rsidRPr="006177E4">
        <w:rPr>
          <w:color w:val="000000"/>
        </w:rPr>
        <w:t xml:space="preserve"> </w:t>
      </w:r>
      <w:r w:rsidRPr="006177E4">
        <w:rPr>
          <w:rFonts w:eastAsia="Times New Roman"/>
        </w:rPr>
        <w:t>la Corte Constitucional avaló la penalización del agente retenedor que no consigna oportunamente las sumas retenidas, al considerar que no se trata de prisión por deudas, sino de una conducta que compromete recursos fiscales recaudados por cuenta del Estado. La Corte precisó que el agente retenedor no actúa como contribuyente respecto de esos valores, sino como recaudador legalmente obligado a transferir dineros que no ingresan legítimamente a su patrimonio, razón por la cual la omisión de consignarlos adquiere una gravedad jurídica superior a la del simple incumplimiento tributario.</w:t>
      </w:r>
    </w:p>
    <w:p w14:paraId="15315FED" w14:textId="77777777" w:rsidR="00B968EA" w:rsidRDefault="00EB0661" w:rsidP="00674D57">
      <w:pPr>
        <w:pStyle w:val="PrrAPA"/>
      </w:pPr>
      <w:r w:rsidRPr="006177E4">
        <w:rPr>
          <w:rFonts w:eastAsia="Times New Roman"/>
        </w:rPr>
        <w:t xml:space="preserve">La </w:t>
      </w:r>
      <w:r w:rsidRPr="006177E4">
        <w:t>sentencia permite concluir que la falta de pago de la declaración de retención en la fuente no solo produce efectos en el ámbito tributario formal, sino que puede proyectarse al ámbito penal cuando la omisión recae sobre valores efectivamente retenidos y no consignados.</w:t>
      </w:r>
    </w:p>
    <w:p w14:paraId="5023DA28" w14:textId="7A652460" w:rsidR="00EB0661" w:rsidRDefault="00EB0661" w:rsidP="00674D57">
      <w:pPr>
        <w:pStyle w:val="PrrAPA"/>
      </w:pPr>
      <w:r w:rsidRPr="006177E4">
        <w:t xml:space="preserve">De esta manera, la ineficacia se constituye una responsabilidad penal como un mecanismo de la protección constitucional del patrimonio público y de la necesidad de asegurar el recaudo oportuno de recursos estatales. </w:t>
      </w:r>
    </w:p>
    <w:p w14:paraId="59C05C0E" w14:textId="77777777" w:rsidR="00517313" w:rsidRPr="00517313" w:rsidRDefault="00517313" w:rsidP="00263B16">
      <w:pPr>
        <w:spacing w:line="480" w:lineRule="auto"/>
        <w:ind w:firstLine="708"/>
        <w:jc w:val="left"/>
        <w:rPr>
          <w:rFonts w:eastAsia="Times New Roman" w:cs="Times New Roman"/>
          <w:szCs w:val="24"/>
        </w:rPr>
      </w:pPr>
    </w:p>
    <w:p w14:paraId="775A7DF3" w14:textId="3739327E" w:rsidR="00EB0661" w:rsidRPr="00517313" w:rsidRDefault="00EB0661" w:rsidP="00263B16">
      <w:pPr>
        <w:pStyle w:val="Ttulo5"/>
      </w:pPr>
      <w:bookmarkStart w:id="153" w:name="_Toc228250810"/>
      <w:bookmarkStart w:id="154" w:name="_Toc229077676"/>
      <w:r w:rsidRPr="00517313">
        <w:t>Análisis Trabajo de Campo</w:t>
      </w:r>
      <w:bookmarkEnd w:id="153"/>
      <w:bookmarkEnd w:id="154"/>
      <w:r w:rsidR="00F31EDC">
        <w:t>.</w:t>
      </w:r>
    </w:p>
    <w:p w14:paraId="595AF5DC" w14:textId="77777777" w:rsidR="00B968EA" w:rsidRDefault="00EB0661" w:rsidP="00674D57">
      <w:pPr>
        <w:pStyle w:val="PrrAPA"/>
      </w:pPr>
      <w:r w:rsidRPr="006177E4">
        <w:t xml:space="preserve">Para el experto jurídico </w:t>
      </w:r>
      <w:r w:rsidR="008041C0" w:rsidRPr="006177E4">
        <w:t>DIAN,</w:t>
      </w:r>
      <w:r w:rsidRPr="006177E4">
        <w:t xml:space="preserve"> la finalidad de la ineficacia responde a la necesidad de presionar al agente retenedor para garantizar el pago oportuno de los recursos en atención a su naturaleza de dineros públicos, en la práctica genera consecuencias jurídicas, al considerar que una declaración no produce efectos legales y, al mismo tiempo, la reconoce como título ejecutivo para efectos de cobro. </w:t>
      </w:r>
    </w:p>
    <w:p w14:paraId="19D8FF5C" w14:textId="0D3F8842" w:rsidR="00EB0661" w:rsidRPr="006177E4" w:rsidRDefault="00EB0661" w:rsidP="00674D57">
      <w:pPr>
        <w:pStyle w:val="PrrAPA"/>
      </w:pPr>
      <w:r w:rsidRPr="006177E4">
        <w:t xml:space="preserve">Adicionalmente, el experto resalta las consecuencias derivadas de esta figura </w:t>
      </w:r>
    </w:p>
    <w:p w14:paraId="0A6978BB" w14:textId="77777777" w:rsidR="00B968EA" w:rsidRDefault="00EB0661" w:rsidP="00674D57">
      <w:pPr>
        <w:pStyle w:val="PrrAPA"/>
      </w:pPr>
      <w:r w:rsidRPr="006177E4">
        <w:t xml:space="preserve">como la obligación de presentar nuevamente la declaración, la imposición de sanciones y el inicio de procesos de aforo. En la misma línea, indicó que el delito de omisión de agente </w:t>
      </w:r>
      <w:r w:rsidRPr="006177E4">
        <w:lastRenderedPageBreak/>
        <w:t xml:space="preserve">retenedor </w:t>
      </w:r>
      <w:r w:rsidRPr="006177E4">
        <w:rPr>
          <w:rStyle w:val="Textoennegrita"/>
        </w:rPr>
        <w:t xml:space="preserve">sí </w:t>
      </w:r>
      <w:r w:rsidRPr="006177E4">
        <w:rPr>
          <w:rStyle w:val="Textoennegrita"/>
          <w:b w:val="0"/>
          <w:bCs w:val="0"/>
        </w:rPr>
        <w:t>opera en la práctica como mecanismo de presión para el pago</w:t>
      </w:r>
      <w:r w:rsidRPr="006177E4">
        <w:t>, pues el retenedor paga oportunamente para evitar la denuncia penal y las consecuencias del artículo 402 del Código Penal. Esta respuesta coincide con la idea documental de que la ineficacia enmarcada en el delito de omisión de agente retenedor busca asegurar el recaudo de recursos ya descontados a terceros.</w:t>
      </w:r>
    </w:p>
    <w:p w14:paraId="7FB084CF" w14:textId="77777777" w:rsidR="00B968EA" w:rsidRDefault="00EB0661" w:rsidP="00674D57">
      <w:pPr>
        <w:pStyle w:val="PrrAPA"/>
      </w:pPr>
      <w:r w:rsidRPr="006177E4">
        <w:t xml:space="preserve">También se advierte, desde la academia con </w:t>
      </w:r>
      <w:r w:rsidR="00B968EA" w:rsidRPr="006177E4">
        <w:t>los</w:t>
      </w:r>
      <w:r w:rsidRPr="006177E4">
        <w:t xml:space="preserve"> docentes expertos que la ineficacia tiene un efecto sancionatorio material, aunque formalmente no siempre se la presente como sanción autónoma. Se señala que su consecuencia práctica es obligar a presentar una nueva declaración con sanción por extemporaneidad o, en su defecto, exponer al contribuyente a la sanción por no declarar. </w:t>
      </w:r>
    </w:p>
    <w:p w14:paraId="3547FF3E" w14:textId="77777777" w:rsidR="00B968EA" w:rsidRDefault="00EB0661" w:rsidP="00674D57">
      <w:pPr>
        <w:pStyle w:val="PrrAPA"/>
      </w:pPr>
      <w:r w:rsidRPr="006177E4">
        <w:t xml:space="preserve">De esta forma, la entrevista corrobora que la ineficacia funciona como un precepto normativo que desencadena consecuencias sancionatorias posteriores; confirman y profundizan los efectos legales identificados en el análisis documental. </w:t>
      </w:r>
    </w:p>
    <w:p w14:paraId="6BBA37B8" w14:textId="5EC7E278" w:rsidR="00EB0661" w:rsidRDefault="00EB0661" w:rsidP="00674D57">
      <w:pPr>
        <w:pStyle w:val="PrrAPA"/>
      </w:pPr>
      <w:r w:rsidRPr="006177E4">
        <w:t>Como conclusión, tanto el análisis documental como el juicio de expertos, se identifican las consecuencias legales como una posición jurídica en donde el agente retenedor debe volver a declarar, asumir intereses, exponerse a sanciones, accione de cobro y, eventualmente, a actuaciones penales.</w:t>
      </w:r>
    </w:p>
    <w:p w14:paraId="2295F012" w14:textId="77777777" w:rsidR="00B968EA" w:rsidRPr="006177E4" w:rsidRDefault="00B968EA" w:rsidP="00263B16">
      <w:pPr>
        <w:spacing w:line="480" w:lineRule="auto"/>
        <w:ind w:firstLine="720"/>
        <w:jc w:val="left"/>
        <w:rPr>
          <w:rFonts w:cs="Times New Roman"/>
          <w:szCs w:val="24"/>
        </w:rPr>
      </w:pPr>
    </w:p>
    <w:p w14:paraId="61F86ECD" w14:textId="30354248" w:rsidR="00EB0661" w:rsidRPr="00B968EA" w:rsidRDefault="00EB0661" w:rsidP="00263B16">
      <w:pPr>
        <w:pStyle w:val="Ttulo5"/>
      </w:pPr>
      <w:bookmarkStart w:id="155" w:name="_Toc228250811"/>
      <w:bookmarkStart w:id="156" w:name="_Toc229077677"/>
      <w:r w:rsidRPr="00B968EA">
        <w:t>Conclusiones sobre las consecuencias legales</w:t>
      </w:r>
      <w:bookmarkEnd w:id="155"/>
      <w:r w:rsidR="00BA3790">
        <w:t>.</w:t>
      </w:r>
      <w:bookmarkEnd w:id="156"/>
    </w:p>
    <w:p w14:paraId="12BF8A1D" w14:textId="77777777" w:rsidR="00EB0661" w:rsidRDefault="00EB0661" w:rsidP="00674D57">
      <w:pPr>
        <w:pStyle w:val="PrrAPA"/>
      </w:pPr>
      <w:r w:rsidRPr="006177E4">
        <w:t xml:space="preserve">La ineficacia de la declaración de retención en la fuente genera consecuencias legales, la ineficacia no es solo una regla sobre validez de la declaración, sino un mecanismo que articula cobro, sanción y acción penal. </w:t>
      </w:r>
    </w:p>
    <w:p w14:paraId="527B04F8" w14:textId="77777777" w:rsidR="00B968EA" w:rsidRPr="006177E4" w:rsidRDefault="00B968EA" w:rsidP="00263B16">
      <w:pPr>
        <w:pStyle w:val="NormalWeb"/>
        <w:spacing w:before="0" w:beforeAutospacing="0" w:after="0" w:afterAutospacing="0" w:line="480" w:lineRule="auto"/>
        <w:ind w:firstLine="720"/>
      </w:pPr>
    </w:p>
    <w:p w14:paraId="592233A1" w14:textId="3F3BF0F0" w:rsidR="00EB0661" w:rsidRPr="006177E4" w:rsidRDefault="00EB0661" w:rsidP="00263B16">
      <w:pPr>
        <w:pStyle w:val="Ttulo5"/>
      </w:pPr>
      <w:bookmarkStart w:id="157" w:name="_Toc228250812"/>
      <w:bookmarkStart w:id="158" w:name="_Toc229077678"/>
      <w:r w:rsidRPr="006177E4">
        <w:t>Consecuencias fiscales</w:t>
      </w:r>
      <w:bookmarkEnd w:id="157"/>
      <w:r w:rsidR="00BA3790">
        <w:t>.</w:t>
      </w:r>
      <w:bookmarkEnd w:id="158"/>
    </w:p>
    <w:p w14:paraId="10239111" w14:textId="77777777" w:rsidR="00EB0661" w:rsidRPr="006177E4" w:rsidRDefault="00EB0661" w:rsidP="00674D57">
      <w:pPr>
        <w:pStyle w:val="PrrAPA"/>
      </w:pPr>
      <w:r w:rsidRPr="006177E4">
        <w:t xml:space="preserve">Desde la perspectiva fiscal, la ineficacia de las declaraciones de retención en la fuente en renta conlleva una carga económica para los agentes de retención, por el pago de intereses moratorios desde la fecha de vencimiento de la obligación, los cuales se acumulan de manera continua hasta su pago efectivo. </w:t>
      </w:r>
    </w:p>
    <w:p w14:paraId="3F80EA08" w14:textId="77777777" w:rsidR="00EB0661" w:rsidRPr="006177E4" w:rsidRDefault="00EB0661" w:rsidP="00674D57">
      <w:pPr>
        <w:pStyle w:val="PrrAPA"/>
      </w:pPr>
      <w:r w:rsidRPr="006177E4">
        <w:t xml:space="preserve">A ello se suma la imposición de sanciones tributarias derivadas del incumplimiento, </w:t>
      </w:r>
    </w:p>
    <w:p w14:paraId="3957B0DB" w14:textId="77777777" w:rsidR="00B968EA" w:rsidRDefault="00EB0661" w:rsidP="00674D57">
      <w:pPr>
        <w:pStyle w:val="PrrAPA"/>
        <w:rPr>
          <w:b/>
          <w:bCs/>
        </w:rPr>
      </w:pPr>
      <w:r w:rsidRPr="006177E4">
        <w:t xml:space="preserve">que no solo incrementan el monto adeudado, sino que reflejan el carácter coercitivo del sistema fiscal. De acuerdo con  </w:t>
      </w:r>
      <w:sdt>
        <w:sdtPr>
          <w:rPr>
            <w:color w:val="000000"/>
          </w:rPr>
          <w:tag w:val="MENDELEY_CITATION_v3_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i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
          <w:id w:val="-1457403684"/>
          <w:placeholder>
            <w:docPart w:val="1F1824ACD25048AB84522310D7A683A5"/>
          </w:placeholder>
        </w:sdtPr>
        <w:sdtEndPr/>
        <w:sdtContent>
          <w:r w:rsidR="009A1775" w:rsidRPr="006177E4">
            <w:rPr>
              <w:color w:val="000000"/>
            </w:rPr>
            <w:t>Espinosa y Rodríguez (2022)</w:t>
          </w:r>
        </w:sdtContent>
      </w:sdt>
      <w:r w:rsidRPr="006177E4">
        <w:t xml:space="preserve">, en conjunto, estos elementos </w:t>
      </w:r>
      <w:r w:rsidRPr="006177E4">
        <w:lastRenderedPageBreak/>
        <w:t xml:space="preserve">producen un incremento progresivo de la deuda tributaria, configurando un escenario de presión financiera que puede afectar la sostenibilidad económica del contribuyente y dificultar su capacidad de regularización frente a la administración tributaria. </w:t>
      </w:r>
    </w:p>
    <w:p w14:paraId="20BE2CD3" w14:textId="2D232BE5" w:rsidR="00EB0661" w:rsidRPr="00B968EA" w:rsidRDefault="00EB0661" w:rsidP="00674D57">
      <w:pPr>
        <w:pStyle w:val="PrrAPA"/>
        <w:rPr>
          <w:b/>
          <w:bCs/>
        </w:rPr>
      </w:pPr>
      <w:r w:rsidRPr="006177E4">
        <w:t>En la siguiente figura se resumen las principales consecuencias fiscales de la ineficacia de la retención en la fuente, las cuales son discutidas a lo largo del desarrollo del capítulo.</w:t>
      </w:r>
    </w:p>
    <w:p w14:paraId="7E6D4449" w14:textId="77777777" w:rsidR="00B968EA" w:rsidRDefault="00B968EA" w:rsidP="00263B16">
      <w:pPr>
        <w:pStyle w:val="Descripcin"/>
        <w:spacing w:after="0" w:line="480" w:lineRule="auto"/>
        <w:rPr>
          <w:rFonts w:cs="Times New Roman"/>
          <w:b/>
          <w:bCs/>
          <w:i w:val="0"/>
          <w:iCs w:val="0"/>
          <w:szCs w:val="24"/>
        </w:rPr>
      </w:pPr>
      <w:bookmarkStart w:id="159" w:name="_Toc227978320"/>
    </w:p>
    <w:p w14:paraId="0C00CF16" w14:textId="77777777" w:rsidR="00F31EDC" w:rsidRDefault="00B968EA" w:rsidP="00263B16">
      <w:pPr>
        <w:pStyle w:val="PrrAPA"/>
        <w:rPr>
          <w:b/>
        </w:rPr>
      </w:pPr>
      <w:bookmarkStart w:id="160" w:name="_Toc229077719"/>
      <w:bookmarkEnd w:id="159"/>
      <w:r w:rsidRPr="00B968EA">
        <w:rPr>
          <w:b/>
        </w:rPr>
        <w:t xml:space="preserve">Figura  </w:t>
      </w:r>
      <w:r w:rsidRPr="00B968EA">
        <w:rPr>
          <w:b/>
        </w:rPr>
        <w:fldChar w:fldCharType="begin"/>
      </w:r>
      <w:r w:rsidRPr="00B968EA">
        <w:rPr>
          <w:b/>
        </w:rPr>
        <w:instrText xml:space="preserve"> SEQ Figura_ \* ARABIC </w:instrText>
      </w:r>
      <w:r w:rsidRPr="00B968EA">
        <w:rPr>
          <w:b/>
        </w:rPr>
        <w:fldChar w:fldCharType="separate"/>
      </w:r>
      <w:r w:rsidR="00F01079">
        <w:rPr>
          <w:b/>
          <w:noProof/>
        </w:rPr>
        <w:t>10</w:t>
      </w:r>
      <w:r w:rsidRPr="00B968EA">
        <w:rPr>
          <w:b/>
        </w:rPr>
        <w:fldChar w:fldCharType="end"/>
      </w:r>
      <w:r>
        <w:rPr>
          <w:b/>
        </w:rPr>
        <w:t xml:space="preserve"> </w:t>
      </w:r>
    </w:p>
    <w:p w14:paraId="300889E3" w14:textId="2852CFF6" w:rsidR="00EB0661" w:rsidRPr="00B968EA" w:rsidRDefault="00EB0661" w:rsidP="00263B16">
      <w:pPr>
        <w:pStyle w:val="PrrAPA"/>
        <w:rPr>
          <w:b/>
          <w:u w:color="000000"/>
        </w:rPr>
      </w:pPr>
      <w:r w:rsidRPr="00BA3790">
        <w:rPr>
          <w:i/>
          <w:iCs/>
          <w:u w:color="000000"/>
        </w:rPr>
        <w:t>Consecuencias Fiscales</w:t>
      </w:r>
      <w:r w:rsidR="00BA3790">
        <w:rPr>
          <w:u w:color="000000"/>
        </w:rPr>
        <w:t>.</w:t>
      </w:r>
      <w:r w:rsidRPr="006177E4">
        <w:rPr>
          <w:u w:color="000000"/>
        </w:rPr>
        <w:t xml:space="preserve"> </w:t>
      </w:r>
      <w:r w:rsidR="00C65004" w:rsidRPr="006177E4">
        <w:rPr>
          <w:noProof/>
          <w:u w:color="000000"/>
          <w:lang w:eastAsia="es-CO"/>
        </w:rPr>
        <w:drawing>
          <wp:inline distT="0" distB="0" distL="0" distR="0" wp14:anchorId="08B9C699" wp14:editId="1F547012">
            <wp:extent cx="5971540" cy="13258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BEBA8EAE-BF5A-486C-A8C5-ECC9F3942E4B}">
                          <a14:imgProps xmlns:a14="http://schemas.microsoft.com/office/drawing/2010/main">
                            <a14:imgLayer r:embed="rId37">
                              <a14:imgEffect>
                                <a14:saturation sat="0"/>
                              </a14:imgEffect>
                            </a14:imgLayer>
                          </a14:imgProps>
                        </a:ext>
                      </a:extLst>
                    </a:blip>
                    <a:srcRect t="18088"/>
                    <a:stretch/>
                  </pic:blipFill>
                  <pic:spPr bwMode="auto">
                    <a:xfrm>
                      <a:off x="0" y="0"/>
                      <a:ext cx="5971540" cy="1325880"/>
                    </a:xfrm>
                    <a:prstGeom prst="rect">
                      <a:avLst/>
                    </a:prstGeom>
                    <a:ln>
                      <a:noFill/>
                    </a:ln>
                    <a:extLst>
                      <a:ext uri="{53640926-AAD7-44D8-BBD7-CCE9431645EC}">
                        <a14:shadowObscured xmlns:a14="http://schemas.microsoft.com/office/drawing/2010/main"/>
                      </a:ext>
                    </a:extLst>
                  </pic:spPr>
                </pic:pic>
              </a:graphicData>
            </a:graphic>
          </wp:inline>
        </w:drawing>
      </w:r>
      <w:bookmarkEnd w:id="160"/>
    </w:p>
    <w:p w14:paraId="27E68A2F" w14:textId="76021DF4" w:rsidR="00EB0661" w:rsidRPr="006177E4" w:rsidRDefault="00B968EA" w:rsidP="00263B16">
      <w:pPr>
        <w:spacing w:line="480" w:lineRule="auto"/>
        <w:jc w:val="left"/>
        <w:rPr>
          <w:rFonts w:cs="Times New Roman"/>
          <w:szCs w:val="24"/>
        </w:rPr>
      </w:pPr>
      <w:r w:rsidRPr="00B968EA">
        <w:rPr>
          <w:rFonts w:cs="Times New Roman"/>
          <w:bCs/>
          <w:i/>
          <w:iCs/>
          <w:szCs w:val="24"/>
        </w:rPr>
        <w:t>Nota</w:t>
      </w:r>
      <w:r>
        <w:rPr>
          <w:rFonts w:cs="Times New Roman"/>
          <w:bCs/>
          <w:szCs w:val="24"/>
        </w:rPr>
        <w:t xml:space="preserve">. </w:t>
      </w:r>
      <w:r w:rsidR="00E27C5F">
        <w:rPr>
          <w:rFonts w:cs="Times New Roman"/>
          <w:bCs/>
          <w:szCs w:val="24"/>
        </w:rPr>
        <w:t>E</w:t>
      </w:r>
      <w:r w:rsidR="008041C0" w:rsidRPr="006177E4">
        <w:rPr>
          <w:rFonts w:cs="Times New Roman"/>
          <w:bCs/>
          <w:szCs w:val="24"/>
        </w:rPr>
        <w:t>laboración propia</w:t>
      </w:r>
      <w:r w:rsidR="00F31EDC">
        <w:rPr>
          <w:rFonts w:cs="Times New Roman"/>
          <w:bCs/>
          <w:szCs w:val="24"/>
        </w:rPr>
        <w:t>.</w:t>
      </w:r>
      <w:r w:rsidR="008041C0" w:rsidRPr="006177E4">
        <w:rPr>
          <w:rFonts w:cs="Times New Roman"/>
          <w:bCs/>
          <w:szCs w:val="24"/>
        </w:rPr>
        <w:t xml:space="preserve"> (Acero y López, 2026) apoyo IA.</w:t>
      </w:r>
    </w:p>
    <w:p w14:paraId="61C48096" w14:textId="77777777" w:rsidR="00EB0661" w:rsidRPr="006177E4" w:rsidRDefault="00EB0661" w:rsidP="00263B16">
      <w:pPr>
        <w:spacing w:line="480" w:lineRule="auto"/>
        <w:jc w:val="left"/>
        <w:rPr>
          <w:rFonts w:cs="Times New Roman"/>
          <w:szCs w:val="24"/>
        </w:rPr>
      </w:pPr>
    </w:p>
    <w:p w14:paraId="4A85DC0C" w14:textId="466ED511" w:rsidR="00EB0661" w:rsidRPr="00B968EA" w:rsidRDefault="00EB0661" w:rsidP="00263B16">
      <w:pPr>
        <w:pStyle w:val="Ttulo5"/>
      </w:pPr>
      <w:bookmarkStart w:id="161" w:name="_Toc228250813"/>
      <w:bookmarkStart w:id="162" w:name="_Toc229077679"/>
      <w:r w:rsidRPr="00B968EA">
        <w:t>Análisis documental</w:t>
      </w:r>
      <w:bookmarkEnd w:id="161"/>
      <w:bookmarkEnd w:id="162"/>
      <w:r w:rsidR="00F31EDC">
        <w:t>.</w:t>
      </w:r>
    </w:p>
    <w:p w14:paraId="07D707B7" w14:textId="77777777" w:rsidR="00B968EA" w:rsidRDefault="00EB0661" w:rsidP="00674D57">
      <w:pPr>
        <w:pStyle w:val="PrrAPA"/>
      </w:pPr>
      <w:r w:rsidRPr="006177E4">
        <w:t>Del análisis documental se pueden establecer consecuencias fiscales tanto para el agente de retención como para la administración tributaria, específicamente con el recaudo.</w:t>
      </w:r>
    </w:p>
    <w:p w14:paraId="3150B0CA" w14:textId="77777777" w:rsidR="00B968EA" w:rsidRDefault="00EB0661" w:rsidP="00674D57">
      <w:pPr>
        <w:pStyle w:val="PrrAPA"/>
      </w:pPr>
      <w:r w:rsidRPr="006177E4">
        <w:t xml:space="preserve">En relación con las consecuencias para el agente de retención, la ineficacia no solo obliga al pago del valor retenido, sino que produce </w:t>
      </w:r>
      <w:r w:rsidRPr="006177E4">
        <w:rPr>
          <w:rStyle w:val="Textoennegrita"/>
          <w:b w:val="0"/>
          <w:bCs w:val="0"/>
        </w:rPr>
        <w:t>intereses moratorios</w:t>
      </w:r>
      <w:r w:rsidRPr="006177E4">
        <w:rPr>
          <w:b/>
          <w:bCs/>
        </w:rPr>
        <w:t xml:space="preserve"> y </w:t>
      </w:r>
      <w:r w:rsidRPr="006177E4">
        <w:rPr>
          <w:rStyle w:val="Textoennegrita"/>
          <w:b w:val="0"/>
          <w:bCs w:val="0"/>
        </w:rPr>
        <w:t>sanción por extemporaneidad</w:t>
      </w:r>
      <w:r w:rsidRPr="006177E4">
        <w:t xml:space="preserve">, salvo en aquellos eventos transitorios de saneamiento previstos por reformas específicas. El </w:t>
      </w:r>
      <w:r w:rsidRPr="006177E4">
        <w:rPr>
          <w:rStyle w:val="Textoennegrita"/>
          <w:b w:val="0"/>
          <w:bCs w:val="0"/>
        </w:rPr>
        <w:t>Concepto DIAN 008678</w:t>
      </w:r>
      <w:r w:rsidRPr="006177E4">
        <w:t xml:space="preserve"> </w:t>
      </w:r>
      <w:sdt>
        <w:sdtPr>
          <w:rPr>
            <w:color w:val="000000"/>
          </w:rPr>
          <w:tag w:val="MENDELEY_CITATION_v3_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"/>
          <w:id w:val="2009023860"/>
          <w:placeholder>
            <w:docPart w:val="DefaultPlaceholder_-1854013440"/>
          </w:placeholder>
        </w:sdtPr>
        <w:sdtEndPr/>
        <w:sdtContent>
          <w:r w:rsidR="00B968EA">
            <w:rPr>
              <w:color w:val="000000"/>
            </w:rPr>
            <w:t>(</w:t>
          </w:r>
          <w:r w:rsidR="009A1775" w:rsidRPr="006177E4">
            <w:rPr>
              <w:color w:val="000000"/>
            </w:rPr>
            <w:t>2024)</w:t>
          </w:r>
        </w:sdtContent>
      </w:sdt>
      <w:r w:rsidR="00221A52" w:rsidRPr="006177E4">
        <w:rPr>
          <w:color w:val="000000"/>
        </w:rPr>
        <w:t xml:space="preserve"> </w:t>
      </w:r>
      <w:r w:rsidRPr="006177E4">
        <w:t xml:space="preserve">reafirma que, una vez configurada la ineficacia, cualquier regularización exige la presentación de una nueva declaración con sanción e intereses. </w:t>
      </w:r>
    </w:p>
    <w:p w14:paraId="12A03011" w14:textId="77777777" w:rsidR="00B968EA" w:rsidRDefault="00EB0661" w:rsidP="00674D57">
      <w:pPr>
        <w:pStyle w:val="PrrAPA"/>
      </w:pPr>
      <w:r w:rsidRPr="006177E4">
        <w:t xml:space="preserve">En este sentido, en contraste con la normatividad que obliga el pago de intereses y sanción para subsanar la ineficacia, el estado configura amnistías o alivios tributarios transitorios, los cuales muestran que el legislador creó en distintos momentos </w:t>
      </w:r>
      <w:r w:rsidRPr="006177E4">
        <w:rPr>
          <w:rStyle w:val="Textoennegrita"/>
          <w:b w:val="0"/>
          <w:bCs w:val="0"/>
        </w:rPr>
        <w:t>regímenes extraordinarios de alivio</w:t>
      </w:r>
      <w:r w:rsidRPr="006177E4">
        <w:t xml:space="preserve"> justamente porque el costo económico acumulado de la ineficacia puede resultar gravoso para el contribuyente, tales como la Ley 1819 de 2016, artículo 272, Ley 2010 de 2019, artículo 101, Ley 2155 de 2021, artículo 45,  y Ley 2277 de 2022, artículo 78.</w:t>
      </w:r>
    </w:p>
    <w:p w14:paraId="239809C2" w14:textId="24F0CD3C" w:rsidR="00B968EA" w:rsidRDefault="00EB0661" w:rsidP="00674D57">
      <w:pPr>
        <w:pStyle w:val="PrrAPA"/>
      </w:pPr>
      <w:r w:rsidRPr="006177E4">
        <w:lastRenderedPageBreak/>
        <w:t xml:space="preserve">En materia de intereses moratorios, la consecuencia fiscal de la ineficacia se encuentra directamente vinculada con los artículos 634 y 635 del </w:t>
      </w:r>
      <w:sdt>
        <w:sdtPr>
          <w:rPr>
            <w:color w:val="000000"/>
          </w:rPr>
          <w:tag w:val="MENDELEY_CITATION_v3_eyJjaXRhdGlvbklEIjoiTUVOREVMRVlfQ0lUQVRJT05fYWJlOGY1ZTItYTg3OC00ZDk5LTlmM2QtMjZjNDE3NjkxZmJh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
          <w:id w:val="-1367755780"/>
          <w:placeholder>
            <w:docPart w:val="DefaultPlaceholder_-1854013440"/>
          </w:placeholder>
        </w:sdtPr>
        <w:sdtEndPr/>
        <w:sdtContent>
          <w:r w:rsidR="00B968EA">
            <w:rPr>
              <w:color w:val="000000"/>
            </w:rPr>
            <w:t>Decreto 624 (</w:t>
          </w:r>
          <w:r w:rsidR="009A1775" w:rsidRPr="006177E4">
            <w:rPr>
              <w:color w:val="000000"/>
            </w:rPr>
            <w:t>1989)</w:t>
          </w:r>
        </w:sdtContent>
      </w:sdt>
      <w:r w:rsidRPr="006177E4">
        <w:t xml:space="preserve"> el artículo 634 establece que los agentes retenedores que no cancelen oportunamente los impuestos, anticipos y retenciones a su cargo deben liquidar y pagar intereses moratorios por cada día calendario de retardo, y el artículo 635 señala que esa tasa se liquida diariamente con base en la tasa de usura vigente menos dos puntos.</w:t>
      </w:r>
    </w:p>
    <w:p w14:paraId="40133744" w14:textId="44FE4B64" w:rsidR="00B968EA" w:rsidRDefault="00EB0661" w:rsidP="00674D57">
      <w:pPr>
        <w:pStyle w:val="PrrAPA"/>
      </w:pPr>
      <w:r w:rsidRPr="006177E4">
        <w:t>En cuanto a la sanción por extemporaneidad, su fundamento normativo se encuentra en el artículo 641</w:t>
      </w:r>
      <w:r w:rsidR="00533EC8" w:rsidRPr="006177E4">
        <w:t>del</w:t>
      </w:r>
      <w:r w:rsidRPr="006177E4">
        <w:t xml:space="preserve"> </w:t>
      </w:r>
      <w:sdt>
        <w:sdtPr>
          <w:rPr>
            <w:color w:val="000000"/>
          </w:rPr>
          <w:tag w:val="MENDELEY_CITATION_v3_eyJjaXRhdGlvbklEIjoiTUVOREVMRVlfQ0lUQVRJT05fNGQ1NjJiZjktMzYyMS00MmQ5LTk4ZDUtNmYyZGU2NjQyZDF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244379846"/>
          <w:placeholder>
            <w:docPart w:val="DefaultPlaceholder_-1854013440"/>
          </w:placeholder>
        </w:sdtPr>
        <w:sdtEndPr/>
        <w:sdtContent>
          <w:r w:rsidR="00B968EA">
            <w:rPr>
              <w:color w:val="000000"/>
            </w:rPr>
            <w:t>Decreto 624 (</w:t>
          </w:r>
          <w:r w:rsidR="009A1775" w:rsidRPr="006177E4">
            <w:rPr>
              <w:color w:val="000000"/>
            </w:rPr>
            <w:t>1989)</w:t>
          </w:r>
        </w:sdtContent>
      </w:sdt>
      <w:r w:rsidRPr="006177E4">
        <w:t xml:space="preserve"> según el cual las personas o entidades obligadas a declarar que presenten sus declaraciones en forma extemporánea deben liquidar y pagar una sanción por cada mes o fracción de mes calendario de retardo equivalente al 5% del total del impuesto a cargo o de la retención objeto de la declaración, sin exceder del 100% del impuesto o retención, y ello “sin perjuicio de los intereses” que origine el incumplimiento en el pago. </w:t>
      </w:r>
    </w:p>
    <w:p w14:paraId="254B00D8" w14:textId="77777777" w:rsidR="00AA1299" w:rsidRDefault="00B968EA" w:rsidP="00674D57">
      <w:pPr>
        <w:pStyle w:val="PrrAPA"/>
      </w:pPr>
      <w:r>
        <w:t>Con</w:t>
      </w:r>
      <w:r w:rsidR="00EB0661" w:rsidRPr="006177E4">
        <w:t xml:space="preserve"> relación </w:t>
      </w:r>
      <w:r>
        <w:t>a</w:t>
      </w:r>
      <w:r w:rsidR="00EB0661" w:rsidRPr="006177E4">
        <w:t xml:space="preserve"> la sanción por no declarar, el agente de retención queda expuesto al tratamiento procedimental previsto para los omisos. En ese sentido, el Estatuto Tributario faculta a la administración para proferir emplazamiento para declarar cuando quien estaba obligado no ha cumplido eficazmente con dicho deber, otorgándole un plazo de un mes para presentar la declaración correspondiente; si persiste la omisión, procede la sanción por no declarar del artículo 643</w:t>
      </w:r>
      <w:r w:rsidR="00BB768B" w:rsidRPr="006177E4">
        <w:t xml:space="preserve"> </w:t>
      </w:r>
      <w:sdt>
        <w:sdtPr>
          <w:rPr>
            <w:color w:val="000000"/>
          </w:rPr>
          <w:tag w:val="MENDELEY_CITATION_v3_eyJjaXRhdGlvbklEIjoiTUVOREVMRVlfQ0lUQVRJT05fMGE1ODk4MTktNmNlZi00OGY2LTk5NzEtNDQ2NWI1NzcyYzBh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1939565693"/>
          <w:placeholder>
            <w:docPart w:val="DefaultPlaceholder_-1854013440"/>
          </w:placeholder>
        </w:sdtPr>
        <w:sdtEndPr/>
        <w:sdtContent>
          <w:r>
            <w:rPr>
              <w:color w:val="000000"/>
            </w:rPr>
            <w:t>Decreto 624 (</w:t>
          </w:r>
          <w:r w:rsidR="009A1775" w:rsidRPr="006177E4">
            <w:rPr>
              <w:color w:val="000000"/>
            </w:rPr>
            <w:t>1989)</w:t>
          </w:r>
        </w:sdtContent>
      </w:sdt>
      <w:r w:rsidR="00371F1E" w:rsidRPr="006177E4">
        <w:t xml:space="preserve"> </w:t>
      </w:r>
      <w:r w:rsidR="00EB0661" w:rsidRPr="006177E4">
        <w:t>y que posteriormente puede dar lugar a la liquidación de aforo en los términos del artículo 717 del</w:t>
      </w:r>
      <w:r w:rsidR="00A93E62" w:rsidRPr="006177E4">
        <w:t xml:space="preserve"> </w:t>
      </w:r>
      <w:sdt>
        <w:sdtPr>
          <w:rPr>
            <w:color w:val="000000"/>
          </w:rPr>
          <w:tag w:val="MENDELEY_CITATION_v3_eyJjaXRhdGlvbklEIjoiTUVOREVMRVlfQ0lUQVRJT05fOTY1MTlhZjUtNzM1MC00MTQ4LTg0MjctYjE0NzEwNzMyZTJ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929496371"/>
          <w:placeholder>
            <w:docPart w:val="DefaultPlaceholder_-1854013440"/>
          </w:placeholder>
        </w:sdtPr>
        <w:sdtEndPr/>
        <w:sdtContent>
          <w:r w:rsidR="00AA1299">
            <w:rPr>
              <w:color w:val="000000"/>
            </w:rPr>
            <w:t>Decreto 624</w:t>
          </w:r>
          <w:r w:rsidR="009A1775" w:rsidRPr="006177E4">
            <w:rPr>
              <w:color w:val="000000"/>
            </w:rPr>
            <w:t xml:space="preserve"> </w:t>
          </w:r>
          <w:r w:rsidR="00AA1299">
            <w:rPr>
              <w:color w:val="000000"/>
            </w:rPr>
            <w:t>(</w:t>
          </w:r>
          <w:r w:rsidR="009A1775" w:rsidRPr="006177E4">
            <w:rPr>
              <w:color w:val="000000"/>
            </w:rPr>
            <w:t>1989)</w:t>
          </w:r>
        </w:sdtContent>
      </w:sdt>
      <w:r w:rsidR="00AA1299">
        <w:t xml:space="preserve"> d</w:t>
      </w:r>
      <w:r w:rsidR="00EB0661" w:rsidRPr="006177E4">
        <w:t xml:space="preserve">e esta manera, la ineficacia no se agota en la pérdida de efectos de la declaración inicial ni en la </w:t>
      </w:r>
      <w:r w:rsidR="00AA1299" w:rsidRPr="006177E4">
        <w:t>acusación</w:t>
      </w:r>
      <w:r w:rsidR="00EB0661" w:rsidRPr="006177E4">
        <w:t xml:space="preserve"> de intereses moratorios o sanción por </w:t>
      </w:r>
      <w:r w:rsidR="00BB768B" w:rsidRPr="006177E4">
        <w:t>e</w:t>
      </w:r>
      <w:r w:rsidR="00EB0661" w:rsidRPr="006177E4">
        <w:t xml:space="preserve">xtemporaneidad, sino que puede escalar a una respuesta fiscal más severa, propia de quien jurídicamente es tratado como no declarante, lo que incrementa de forma sustancial el costo del incumplimiento tributario. </w:t>
      </w:r>
    </w:p>
    <w:p w14:paraId="464D255F" w14:textId="3D0C8B5B" w:rsidR="004950D5" w:rsidRDefault="004950D5" w:rsidP="00674D57">
      <w:pPr>
        <w:pStyle w:val="PrrAPA"/>
      </w:pPr>
      <w:r w:rsidRPr="006177E4">
        <w:t xml:space="preserve">Otro aspecto, relacionado con las declaraciones ineficaces </w:t>
      </w:r>
      <w:r w:rsidR="00171B80" w:rsidRPr="006177E4">
        <w:t>es la</w:t>
      </w:r>
      <w:r w:rsidRPr="006177E4">
        <w:t xml:space="preserve"> </w:t>
      </w:r>
      <w:r w:rsidR="00171B80" w:rsidRPr="006177E4">
        <w:t xml:space="preserve">imposibilidad de deducir los valores cancelados por concepto de intereses y sanciones en </w:t>
      </w:r>
      <w:r w:rsidRPr="006177E4">
        <w:t>las declaraciones de renta presentadas</w:t>
      </w:r>
      <w:r w:rsidR="00171B80" w:rsidRPr="006177E4">
        <w:t>, lo cual significa un mayor valor a pagar sin posibilidad de descuento.</w:t>
      </w:r>
    </w:p>
    <w:p w14:paraId="566E6F3E" w14:textId="77777777" w:rsidR="00AA1299" w:rsidRPr="00AA1299" w:rsidRDefault="00AA1299" w:rsidP="00263B16">
      <w:pPr>
        <w:spacing w:line="480" w:lineRule="auto"/>
        <w:ind w:firstLine="720"/>
        <w:jc w:val="left"/>
        <w:rPr>
          <w:rFonts w:cs="Times New Roman"/>
          <w:szCs w:val="24"/>
        </w:rPr>
      </w:pPr>
    </w:p>
    <w:p w14:paraId="6C25BC4E" w14:textId="716B0A98" w:rsidR="00EB0661" w:rsidRPr="00AA1299" w:rsidRDefault="00EB0661" w:rsidP="00263B16">
      <w:pPr>
        <w:pStyle w:val="Ttulo5"/>
      </w:pPr>
      <w:bookmarkStart w:id="163" w:name="_Toc228250814"/>
      <w:bookmarkStart w:id="164" w:name="_Toc229077680"/>
      <w:r w:rsidRPr="00AA1299">
        <w:t>Análisis Trabajo de Campo</w:t>
      </w:r>
      <w:r w:rsidR="00533EC8" w:rsidRPr="00AA1299">
        <w:t>, entrevistas a expertos</w:t>
      </w:r>
      <w:bookmarkEnd w:id="163"/>
      <w:r w:rsidR="00BA3790">
        <w:t>.</w:t>
      </w:r>
      <w:bookmarkEnd w:id="164"/>
    </w:p>
    <w:p w14:paraId="7B00F21F" w14:textId="77777777" w:rsidR="00AA1299" w:rsidRDefault="00EB0661" w:rsidP="00674D57">
      <w:pPr>
        <w:pStyle w:val="PrrAPA"/>
      </w:pPr>
      <w:r w:rsidRPr="006177E4">
        <w:t xml:space="preserve">Las entrevistas, contrastadas con el análisis documental, refuerzan la idea de que la principal consecuencia fiscal para el contribuyente consiste en la </w:t>
      </w:r>
      <w:r w:rsidRPr="006177E4">
        <w:rPr>
          <w:rStyle w:val="Textoennegrita"/>
          <w:b w:val="0"/>
          <w:bCs w:val="0"/>
        </w:rPr>
        <w:t xml:space="preserve">sobrecarga económica derivada </w:t>
      </w:r>
      <w:r w:rsidRPr="006177E4">
        <w:rPr>
          <w:rStyle w:val="Textoennegrita"/>
          <w:b w:val="0"/>
          <w:bCs w:val="0"/>
        </w:rPr>
        <w:lastRenderedPageBreak/>
        <w:t>del incumplimiento</w:t>
      </w:r>
      <w:r w:rsidRPr="006177E4">
        <w:rPr>
          <w:b/>
          <w:bCs/>
        </w:rPr>
        <w:t>.</w:t>
      </w:r>
      <w:r w:rsidRPr="006177E4">
        <w:t xml:space="preserve"> Los contadores entrevistados indicaron que la ineficacia genera intereses moratorios y sanciones que afectan negativamente los presupuestos y el flujo de efectivo, y añadieron que muchos contribuyentes desconocen que esos valores no son deducibles en el impuesto sobre la renta, lo que puede derivar en nuevas inconsistencias tributarias. </w:t>
      </w:r>
    </w:p>
    <w:p w14:paraId="25AED701" w14:textId="55A812FB" w:rsidR="00EB0661" w:rsidRPr="006177E4" w:rsidRDefault="00EB0661" w:rsidP="00674D57">
      <w:pPr>
        <w:pStyle w:val="PrrAPA"/>
      </w:pPr>
      <w:r w:rsidRPr="006177E4">
        <w:t>Desde la academia, los docentes universitarios señalaron que la figura no se limita a la administración y recaudo del tributo, sino que implica presentar una nueva declaración con sanción por extemporaneidad o exponerse a la sanción por no declarar, previstas en los artículos 641 y 643 del</w:t>
      </w:r>
      <w:r w:rsidR="00995CA7" w:rsidRPr="006177E4">
        <w:t xml:space="preserve"> </w:t>
      </w:r>
      <w:sdt>
        <w:sdtPr>
          <w:rPr>
            <w:color w:val="000000"/>
          </w:rPr>
          <w:tag w:val="MENDELEY_CITATION_v3_eyJjaXRhdGlvbklEIjoiTUVOREVMRVlfQ0lUQVRJT05fNGJiNTQzYjgtNTU4MS00NmI4LWFjZWUtN2U1ZTQ4NDg2NjRh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1640918251"/>
          <w:placeholder>
            <w:docPart w:val="DefaultPlaceholder_-1854013440"/>
          </w:placeholder>
        </w:sdtPr>
        <w:sdtEndPr/>
        <w:sdtContent>
          <w:r w:rsidR="00AA1299">
            <w:rPr>
              <w:color w:val="000000"/>
            </w:rPr>
            <w:t>Decreto 624 (</w:t>
          </w:r>
          <w:r w:rsidR="009A1775" w:rsidRPr="006177E4">
            <w:rPr>
              <w:color w:val="000000"/>
            </w:rPr>
            <w:t>1989)</w:t>
          </w:r>
        </w:sdtContent>
      </w:sdt>
      <w:r w:rsidRPr="006177E4">
        <w:t>. Este concepto complementa el análisis anterior porque muestra que, en la percepción experta, la ineficacia no es solo una técnica de validez formal, sino un mecanismo que aumenta la carga fiscal total del obligado.</w:t>
      </w:r>
      <w:bookmarkStart w:id="165" w:name="_Hlk227540364"/>
    </w:p>
    <w:p w14:paraId="3F7B0493" w14:textId="35A2E0F2" w:rsidR="00EB0661" w:rsidRPr="006177E4" w:rsidRDefault="00EB0661" w:rsidP="00674D57">
      <w:pPr>
        <w:pStyle w:val="PrrAPA"/>
      </w:pPr>
      <w:r w:rsidRPr="006177E4">
        <w:t xml:space="preserve">Adicionalmente, sostuvieron que, a partir de la reforma introducida por la Ley 2277 de 2022, el agente retenedor puede extender los plazos para el pago, particularmente por la flexibilización normativa y la disminución de la amenaza penal como mecanismo de presión. </w:t>
      </w:r>
    </w:p>
    <w:p w14:paraId="1C4D155F" w14:textId="77777777" w:rsidR="00AA1299" w:rsidRDefault="00EB0661" w:rsidP="00674D57">
      <w:pPr>
        <w:pStyle w:val="PrrAPA"/>
      </w:pPr>
      <w:r w:rsidRPr="006177E4">
        <w:t>Un tema que no se identifica en el análisis documental, corresponde directamente al impacto en el recaudo de la administración tributaria, en este punto la funcionaria experta de cobranzas DIAN destacó que la modificación normativa de la ley 2010 2019 permitió adelantar cobro coactivo, practicar medidas cautelares y otorgar facilidades de pago sobre declaraciones ineficaces; sin embargo, también indicó que, en la práctica, las gestiones de cobro suelen postergarse por la espera del plazo de dos meses, lo que retrasa el recaudo efectivo. Esta observación es importante en la dimensión fiscal, porque revela que el fortalecimiento legal de la exigibilidad no siempre se traduce en recaudo inmediato, de modo que la consecuencia fiscal no es únicamente el aumento de la deuda del contribuyente, sino también la persistencia de un desfase temporal en la recuperación del ingreso público.</w:t>
      </w:r>
      <w:bookmarkEnd w:id="165"/>
    </w:p>
    <w:p w14:paraId="4B336FC0" w14:textId="3F0ACC51" w:rsidR="00171B80" w:rsidRPr="006177E4" w:rsidRDefault="00171B80" w:rsidP="00674D57">
      <w:pPr>
        <w:pStyle w:val="PrrAPA"/>
      </w:pPr>
      <w:r w:rsidRPr="006177E4">
        <w:t>En cuanto a los valores pagados que no son deducibles de renta, de acuerdo con los expertos contadores, la mayoría de los contribuyentes no tiene claridad sobre el hecho de que estos gastos no son deducibles en el impuesto sobre la renta, pues suelen asumir que, por tratarse de egresos de la empresa, pueden ser incluidos automáticamente en la declaración. Esta interpretación errónea puede dar lugar a inconsistencias en el cumplimiento de las obligaciones tributarias.</w:t>
      </w:r>
    </w:p>
    <w:p w14:paraId="494D61B9" w14:textId="32826706" w:rsidR="00EB0661" w:rsidRPr="006177E4" w:rsidRDefault="00EB0661" w:rsidP="00263B16">
      <w:pPr>
        <w:pStyle w:val="Ttulo5"/>
      </w:pPr>
      <w:bookmarkStart w:id="166" w:name="_Toc228250815"/>
      <w:bookmarkStart w:id="167" w:name="_Toc229077681"/>
      <w:r w:rsidRPr="00AA1299">
        <w:t>Conclusiones</w:t>
      </w:r>
      <w:r w:rsidRPr="006177E4">
        <w:t xml:space="preserve"> sobre las consecuencias Fiscales</w:t>
      </w:r>
      <w:bookmarkEnd w:id="166"/>
      <w:r w:rsidR="00BA3790">
        <w:t>.</w:t>
      </w:r>
      <w:bookmarkEnd w:id="167"/>
    </w:p>
    <w:p w14:paraId="1DE091EC" w14:textId="77777777" w:rsidR="00AA1299" w:rsidRDefault="00EB0661" w:rsidP="00674D57">
      <w:pPr>
        <w:pStyle w:val="PrrAPA"/>
      </w:pPr>
      <w:r w:rsidRPr="006177E4">
        <w:t xml:space="preserve">Las consecuencias fiscales de la ineficacia son sustanciales. Para el contribuyente, implican un incremento del costo tributario efectivo por vía de intereses y sanciones, con impacto negativo </w:t>
      </w:r>
      <w:r w:rsidRPr="006177E4">
        <w:lastRenderedPageBreak/>
        <w:t>en liquidez, flujo de caja y planeación financiera. Para la administración, aunque la figura pretende proteger el recaudo, no siempre asegura eficiencia, porque puede derivar en procesos largos y engorrosos antes de materializar el cobro.</w:t>
      </w:r>
    </w:p>
    <w:p w14:paraId="4EACADA9" w14:textId="77777777" w:rsidR="00AA1299" w:rsidRDefault="00EB0661" w:rsidP="00674D57">
      <w:pPr>
        <w:pStyle w:val="PrrAPA"/>
      </w:pPr>
      <w:r w:rsidRPr="006177E4">
        <w:t xml:space="preserve">La ineficacia de las declaraciones de retención en la fuente no solo incrementa el costo tributario del incumplimiento, </w:t>
      </w:r>
      <w:r w:rsidR="009860E1" w:rsidRPr="006177E4">
        <w:t xml:space="preserve">el </w:t>
      </w:r>
      <w:r w:rsidRPr="006177E4">
        <w:t xml:space="preserve">contribuyente </w:t>
      </w:r>
      <w:r w:rsidR="009860E1" w:rsidRPr="006177E4">
        <w:t>debe cancelar</w:t>
      </w:r>
      <w:r w:rsidRPr="006177E4">
        <w:t xml:space="preserve"> intereses moratorios</w:t>
      </w:r>
      <w:r w:rsidR="009860E1" w:rsidRPr="006177E4">
        <w:t xml:space="preserve"> y </w:t>
      </w:r>
      <w:r w:rsidRPr="006177E4">
        <w:t>sanciones. A su vez, la evolución normativa</w:t>
      </w:r>
      <w:r w:rsidR="009860E1" w:rsidRPr="006177E4">
        <w:t xml:space="preserve"> indica </w:t>
      </w:r>
      <w:r w:rsidR="00AA1299" w:rsidRPr="006177E4">
        <w:t>que,</w:t>
      </w:r>
      <w:r w:rsidR="009860E1" w:rsidRPr="006177E4">
        <w:t xml:space="preserve"> al momento de realizar las modificaciones normativas, estas se han orientado en dos líneas</w:t>
      </w:r>
      <w:r w:rsidRPr="006177E4">
        <w:t xml:space="preserve">: una de fortalecimiento recaudatorio, </w:t>
      </w:r>
      <w:r w:rsidR="009860E1" w:rsidRPr="006177E4">
        <w:t>con</w:t>
      </w:r>
      <w:r w:rsidRPr="006177E4">
        <w:t xml:space="preserve"> la </w:t>
      </w:r>
      <w:r w:rsidR="009860E1" w:rsidRPr="006177E4">
        <w:t>afirmación</w:t>
      </w:r>
      <w:r w:rsidRPr="006177E4">
        <w:t xml:space="preserve"> del mérito ejecutivo de la declaración inicial desde 2019, y otra de mitigación reflejada en las reducciones transitorias de sanciones e intereses y en la excepción para diferencias de hasta 10 UVT introducida en 2022</w:t>
      </w:r>
      <w:r w:rsidR="00AA1299">
        <w:t>.</w:t>
      </w:r>
    </w:p>
    <w:p w14:paraId="74914D43" w14:textId="7D8411D2" w:rsidR="00EB0661" w:rsidRDefault="00EB0661" w:rsidP="00674D57">
      <w:pPr>
        <w:pStyle w:val="PrrAPA"/>
      </w:pPr>
      <w:r w:rsidRPr="006177E4">
        <w:t xml:space="preserve">En el plano fiscal, las entrevistas sostienen que la ineficacia incrementa el costo de incumplimiento por sanciones e intereses y deteriora el flujo de caja. Ese hallazgo es consistente con el marco normativo. Si opera la ineficacia, la regularización exige nueva declaración extemporánea y pago de la retención más intereses; además, si el administrado no regulariza, la administración puede activar el procedimiento de omisos y la sanción por no declarar. </w:t>
      </w:r>
    </w:p>
    <w:p w14:paraId="764844F7" w14:textId="77777777" w:rsidR="00AA1299" w:rsidRPr="006177E4" w:rsidRDefault="00AA1299" w:rsidP="00263B16">
      <w:pPr>
        <w:spacing w:line="480" w:lineRule="auto"/>
        <w:ind w:firstLine="720"/>
        <w:jc w:val="left"/>
        <w:rPr>
          <w:rFonts w:cs="Times New Roman"/>
          <w:szCs w:val="24"/>
        </w:rPr>
      </w:pPr>
    </w:p>
    <w:p w14:paraId="196705CD" w14:textId="50FE50C3" w:rsidR="00EB0661" w:rsidRPr="00AA1299" w:rsidRDefault="00EB0661" w:rsidP="00263B16">
      <w:pPr>
        <w:pStyle w:val="Ttulo5"/>
      </w:pPr>
      <w:bookmarkStart w:id="168" w:name="_Toc228250816"/>
      <w:bookmarkStart w:id="169" w:name="_Toc229077682"/>
      <w:r w:rsidRPr="00AA1299">
        <w:t>Consecuencias operativas</w:t>
      </w:r>
      <w:bookmarkEnd w:id="168"/>
      <w:r w:rsidR="00023831">
        <w:t>.</w:t>
      </w:r>
      <w:bookmarkEnd w:id="169"/>
    </w:p>
    <w:p w14:paraId="149E4DDF" w14:textId="77777777" w:rsidR="00AA1299" w:rsidRDefault="00EB0661" w:rsidP="00674D57">
      <w:pPr>
        <w:pStyle w:val="PrrAPA"/>
      </w:pPr>
      <w:r w:rsidRPr="006177E4">
        <w:t xml:space="preserve">Con relación a las consecuencias operativas, es necesario precisar que, a nivel organizacional, la ineficacia genera impactos significativos que trascienden el ámbito tributario y afectan la estructura operativa de las </w:t>
      </w:r>
      <w:r w:rsidR="003C7F0C" w:rsidRPr="006177E4">
        <w:t>empresas</w:t>
      </w:r>
      <w:r w:rsidRPr="006177E4">
        <w:t xml:space="preserve">. En primer lugar, se evidencia un deterioro del flujo de caja, derivado de la acumulación de obligaciones exigibles junto con intereses y sanciones, lo que limita la disponibilidad de recursos para el funcionamiento ordinario. Asimismo, se incrementa la carga administrativa, en la medida en que las </w:t>
      </w:r>
      <w:r w:rsidR="00B446B9" w:rsidRPr="006177E4">
        <w:t>empresas</w:t>
      </w:r>
      <w:r w:rsidRPr="006177E4">
        <w:t xml:space="preserve"> deben destinar mayores esfuerzos a la gestión de requerimientos, procesos de fiscalización y eventuales actuaciones de cobro.</w:t>
      </w:r>
    </w:p>
    <w:p w14:paraId="2747A9A2" w14:textId="583F6F51" w:rsidR="00EB0661" w:rsidRPr="006177E4" w:rsidRDefault="00EB0661" w:rsidP="00674D57">
      <w:pPr>
        <w:pStyle w:val="PrrAPA"/>
      </w:pPr>
      <w:r w:rsidRPr="006177E4">
        <w:t xml:space="preserve">Para el caso de la administración tributaria, las consecuencias operativas se centran en las áreas de fiscalización y cobranzas, por un lado, con el tema sancionatorio y por el otro con el cobro efectivo de las declaraciones, propendiendo por el cumplimiento de las metas. </w:t>
      </w:r>
    </w:p>
    <w:p w14:paraId="42F6E64A" w14:textId="555289C3" w:rsidR="00EB0661" w:rsidRPr="006177E4" w:rsidRDefault="00EB0661" w:rsidP="00674D57">
      <w:pPr>
        <w:pStyle w:val="PrrAPA"/>
      </w:pPr>
      <w:r w:rsidRPr="006177E4">
        <w:t xml:space="preserve">Para el trabajo de investigación, se analizará al detalle las consecuencias operativas para la Seccional de Ibagué, en el contexto específico de los contribuyentes de la administración durante </w:t>
      </w:r>
      <w:r w:rsidRPr="006177E4">
        <w:lastRenderedPageBreak/>
        <w:t>el periodo 2014–2024, identificando patrones de comportamiento, impactos económicos y la eficacia de los mecanismos de control implementados por la DIAN.</w:t>
      </w:r>
      <w:r w:rsidR="00AA1299">
        <w:br/>
      </w:r>
      <w:r w:rsidRPr="006177E4">
        <w:t>En la siguiente figura se resumen las principales consecuencias operativas de la ineficacia de la retención en la fuente, las cuales son discutidas a lo largo del desarrollo del capítulo.</w:t>
      </w:r>
    </w:p>
    <w:p w14:paraId="18ACBB64" w14:textId="77777777" w:rsidR="00106230" w:rsidRDefault="00AA1299" w:rsidP="00263B16">
      <w:pPr>
        <w:pStyle w:val="PrrAPA"/>
        <w:rPr>
          <w:b/>
          <w:bCs/>
          <w:i/>
          <w:iCs/>
        </w:rPr>
      </w:pPr>
      <w:bookmarkStart w:id="170" w:name="_Toc229077720"/>
      <w:r w:rsidRPr="00132BD9">
        <w:rPr>
          <w:b/>
          <w:bCs/>
        </w:rPr>
        <w:t xml:space="preserve">Figura  </w:t>
      </w:r>
      <w:r w:rsidRPr="00132BD9">
        <w:rPr>
          <w:b/>
          <w:bCs/>
        </w:rPr>
        <w:fldChar w:fldCharType="begin"/>
      </w:r>
      <w:r w:rsidRPr="00132BD9">
        <w:rPr>
          <w:b/>
          <w:bCs/>
        </w:rPr>
        <w:instrText xml:space="preserve"> SEQ Figura_ \* ARABIC </w:instrText>
      </w:r>
      <w:r w:rsidRPr="00132BD9">
        <w:rPr>
          <w:b/>
          <w:bCs/>
        </w:rPr>
        <w:fldChar w:fldCharType="separate"/>
      </w:r>
      <w:r w:rsidR="00F01079" w:rsidRPr="00132BD9">
        <w:rPr>
          <w:b/>
          <w:bCs/>
          <w:noProof/>
        </w:rPr>
        <w:t>11</w:t>
      </w:r>
      <w:r w:rsidRPr="00132BD9">
        <w:rPr>
          <w:b/>
          <w:bCs/>
        </w:rPr>
        <w:fldChar w:fldCharType="end"/>
      </w:r>
      <w:r>
        <w:rPr>
          <w:b/>
          <w:bCs/>
          <w:i/>
          <w:iCs/>
        </w:rPr>
        <w:t xml:space="preserve"> </w:t>
      </w:r>
    </w:p>
    <w:p w14:paraId="70F75EC5" w14:textId="099E4AEA" w:rsidR="00EB0661" w:rsidRPr="00AA1299" w:rsidRDefault="00EB0661" w:rsidP="00263B16">
      <w:pPr>
        <w:pStyle w:val="PrrAPA"/>
        <w:rPr>
          <w:b/>
          <w:bCs/>
          <w:u w:color="000000"/>
        </w:rPr>
      </w:pPr>
      <w:r w:rsidRPr="006177E4">
        <w:rPr>
          <w:bCs/>
          <w:i/>
          <w:iCs/>
          <w:u w:color="000000"/>
        </w:rPr>
        <w:t>Consecuencias procedimentales</w:t>
      </w:r>
      <w:r w:rsidR="00023831">
        <w:rPr>
          <w:bCs/>
          <w:u w:color="000000"/>
        </w:rPr>
        <w:t>.</w:t>
      </w:r>
      <w:r w:rsidR="005F03D0" w:rsidRPr="006177E4">
        <w:rPr>
          <w:noProof/>
          <w:lang w:eastAsia="es-CO"/>
        </w:rPr>
        <w:drawing>
          <wp:inline distT="0" distB="0" distL="0" distR="0" wp14:anchorId="401B926C" wp14:editId="055C230E">
            <wp:extent cx="5971540" cy="1099820"/>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BEBA8EAE-BF5A-486C-A8C5-ECC9F3942E4B}">
                          <a14:imgProps xmlns:a14="http://schemas.microsoft.com/office/drawing/2010/main">
                            <a14:imgLayer r:embed="rId39">
                              <a14:imgEffect>
                                <a14:saturation sat="0"/>
                              </a14:imgEffect>
                            </a14:imgLayer>
                          </a14:imgProps>
                        </a:ext>
                      </a:extLst>
                    </a:blip>
                    <a:srcRect t="15759"/>
                    <a:stretch/>
                  </pic:blipFill>
                  <pic:spPr bwMode="auto">
                    <a:xfrm>
                      <a:off x="0" y="0"/>
                      <a:ext cx="5971540" cy="1099820"/>
                    </a:xfrm>
                    <a:prstGeom prst="rect">
                      <a:avLst/>
                    </a:prstGeom>
                    <a:ln>
                      <a:noFill/>
                    </a:ln>
                    <a:extLst>
                      <a:ext uri="{53640926-AAD7-44D8-BBD7-CCE9431645EC}">
                        <a14:shadowObscured xmlns:a14="http://schemas.microsoft.com/office/drawing/2010/main"/>
                      </a:ext>
                    </a:extLst>
                  </pic:spPr>
                </pic:pic>
              </a:graphicData>
            </a:graphic>
          </wp:inline>
        </w:drawing>
      </w:r>
      <w:bookmarkEnd w:id="170"/>
    </w:p>
    <w:p w14:paraId="5CFBA446" w14:textId="4D9B6520" w:rsidR="00EB0661" w:rsidRPr="006177E4" w:rsidRDefault="00AA1299" w:rsidP="00263B16">
      <w:pPr>
        <w:spacing w:line="480" w:lineRule="auto"/>
        <w:jc w:val="left"/>
        <w:rPr>
          <w:rFonts w:cs="Times New Roman"/>
          <w:bCs/>
          <w:szCs w:val="24"/>
        </w:rPr>
      </w:pPr>
      <w:r w:rsidRPr="00AA1299">
        <w:rPr>
          <w:rFonts w:cs="Times New Roman"/>
          <w:bCs/>
          <w:i/>
          <w:iCs/>
          <w:szCs w:val="24"/>
        </w:rPr>
        <w:t>Nota.</w:t>
      </w:r>
      <w:r w:rsidRPr="00E27C5F">
        <w:rPr>
          <w:rFonts w:cs="Times New Roman"/>
          <w:bCs/>
          <w:szCs w:val="24"/>
        </w:rPr>
        <w:t xml:space="preserve"> </w:t>
      </w:r>
      <w:r w:rsidRPr="00E27C5F">
        <w:rPr>
          <w:rFonts w:eastAsia="Times New Roman" w:cs="Times New Roman"/>
          <w:szCs w:val="24"/>
        </w:rPr>
        <w:t>E</w:t>
      </w:r>
      <w:r w:rsidR="00B55A14" w:rsidRPr="00E27C5F">
        <w:rPr>
          <w:rFonts w:cs="Times New Roman"/>
          <w:bCs/>
          <w:szCs w:val="24"/>
        </w:rPr>
        <w:t xml:space="preserve">laboración </w:t>
      </w:r>
      <w:r w:rsidR="00B55A14" w:rsidRPr="006177E4">
        <w:rPr>
          <w:rFonts w:cs="Times New Roman"/>
          <w:bCs/>
          <w:szCs w:val="24"/>
        </w:rPr>
        <w:t>propia</w:t>
      </w:r>
      <w:r w:rsidR="00106230">
        <w:rPr>
          <w:rFonts w:cs="Times New Roman"/>
          <w:bCs/>
          <w:szCs w:val="24"/>
        </w:rPr>
        <w:t>.</w:t>
      </w:r>
      <w:r w:rsidR="00B55A14" w:rsidRPr="006177E4">
        <w:rPr>
          <w:rFonts w:cs="Times New Roman"/>
          <w:bCs/>
          <w:szCs w:val="24"/>
        </w:rPr>
        <w:t xml:space="preserve"> (Acero y López, 2026) apoyo IA.</w:t>
      </w:r>
    </w:p>
    <w:p w14:paraId="3CDA033F" w14:textId="77777777" w:rsidR="00EB0661" w:rsidRPr="006177E4" w:rsidRDefault="00EB0661" w:rsidP="00263B16">
      <w:pPr>
        <w:spacing w:line="480" w:lineRule="auto"/>
        <w:jc w:val="left"/>
        <w:rPr>
          <w:rFonts w:cs="Times New Roman"/>
          <w:bCs/>
          <w:szCs w:val="24"/>
        </w:rPr>
      </w:pPr>
    </w:p>
    <w:p w14:paraId="12BB5E5B" w14:textId="4FB72A1E" w:rsidR="00EB0661" w:rsidRPr="00AA1299" w:rsidRDefault="00EB0661" w:rsidP="00263B16">
      <w:pPr>
        <w:pStyle w:val="Ttulo5"/>
      </w:pPr>
      <w:bookmarkStart w:id="171" w:name="_Toc228250817"/>
      <w:bookmarkStart w:id="172" w:name="_Toc229077683"/>
      <w:r w:rsidRPr="00AA1299">
        <w:t>Análisis documental</w:t>
      </w:r>
      <w:bookmarkEnd w:id="171"/>
      <w:r w:rsidR="00BA3790">
        <w:t>.</w:t>
      </w:r>
      <w:bookmarkEnd w:id="172"/>
    </w:p>
    <w:p w14:paraId="0DD025AC" w14:textId="77777777" w:rsidR="00AA1299" w:rsidRDefault="00EB0661" w:rsidP="00674D57">
      <w:pPr>
        <w:pStyle w:val="PrrAPA"/>
        <w:rPr>
          <w:u w:color="000000"/>
        </w:rPr>
      </w:pPr>
      <w:r w:rsidRPr="006177E4">
        <w:rPr>
          <w:u w:color="000000"/>
        </w:rPr>
        <w:t>A partir del análisis documental fundamentado en</w:t>
      </w:r>
      <w:r w:rsidRPr="006177E4">
        <w:rPr>
          <w:color w:val="000000"/>
        </w:rPr>
        <w:t xml:space="preserve"> </w:t>
      </w:r>
      <w:sdt>
        <w:sdtPr>
          <w:rPr>
            <w:color w:val="000000"/>
          </w:rPr>
          <w:tag w:val="MENDELEY_CITATION_v3_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"/>
          <w:id w:val="-1217665666"/>
          <w:placeholder>
            <w:docPart w:val="9FFBBD1CEBBE4934B6926A6EAFB8DAC4"/>
          </w:placeholder>
        </w:sdtPr>
        <w:sdtEndPr/>
        <w:sdtContent>
          <w:r w:rsidR="009A1775" w:rsidRPr="006177E4">
            <w:rPr>
              <w:rFonts w:eastAsia="Times New Roman"/>
              <w:color w:val="000000"/>
            </w:rPr>
            <w:t>Rincón (2018)</w:t>
          </w:r>
        </w:sdtContent>
      </w:sdt>
      <w:r w:rsidRPr="006177E4">
        <w:rPr>
          <w:u w:color="000000"/>
        </w:rPr>
        <w:t xml:space="preserve">  y </w:t>
      </w:r>
      <w:sdt>
        <w:sdtPr>
          <w:rPr>
            <w:color w:val="000000"/>
            <w:u w:color="000000"/>
          </w:rPr>
          <w:tag w:val="MENDELEY_CITATION_v3_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"/>
          <w:id w:val="-1349709576"/>
          <w:placeholder>
            <w:docPart w:val="40477488BE4C4F439E78C76D2593710E"/>
          </w:placeholder>
        </w:sdtPr>
        <w:sdtEndPr/>
        <w:sdtContent>
          <w:r w:rsidR="009A1775" w:rsidRPr="006177E4">
            <w:rPr>
              <w:color w:val="000000"/>
              <w:u w:color="000000"/>
            </w:rPr>
            <w:t xml:space="preserve">Saldarriaga </w:t>
          </w:r>
          <w:r w:rsidR="00AA1299">
            <w:rPr>
              <w:color w:val="000000"/>
              <w:u w:color="000000"/>
            </w:rPr>
            <w:t>(</w:t>
          </w:r>
          <w:r w:rsidR="009A1775" w:rsidRPr="006177E4">
            <w:rPr>
              <w:color w:val="000000"/>
              <w:u w:color="000000"/>
            </w:rPr>
            <w:t>2024)</w:t>
          </w:r>
        </w:sdtContent>
      </w:sdt>
      <w:r w:rsidRPr="006177E4">
        <w:rPr>
          <w:u w:color="000000"/>
        </w:rPr>
        <w:t xml:space="preserve">  las consecuencias operativas están asociadas al modo en que la figura de la ineficacia obliga a articular dos áreas de la administración tributaria: recaudo y cobranzas y fiscalización. La evolución normativa de la figura de la </w:t>
      </w:r>
      <w:r w:rsidR="00AA1299" w:rsidRPr="006177E4">
        <w:rPr>
          <w:u w:color="000000"/>
        </w:rPr>
        <w:t>ineficacia</w:t>
      </w:r>
      <w:r w:rsidRPr="006177E4">
        <w:rPr>
          <w:u w:color="000000"/>
        </w:rPr>
        <w:t xml:space="preserve"> muestra que las reformas han intentado resolver un problema operativo persistente en la ineficacia relacionada en cómo decretar las declaraciones presentadas sin pago que no producen efectos legales, pero son título ejecutivo de cobro</w:t>
      </w:r>
      <w:r w:rsidR="00AA1299">
        <w:rPr>
          <w:u w:color="000000"/>
        </w:rPr>
        <w:t>.</w:t>
      </w:r>
    </w:p>
    <w:p w14:paraId="3DDF8BD6" w14:textId="7D8E37BA" w:rsidR="00AA1299" w:rsidRDefault="00EB0661" w:rsidP="00674D57">
      <w:pPr>
        <w:pStyle w:val="PrrAPA"/>
        <w:rPr>
          <w:u w:color="000000"/>
        </w:rPr>
      </w:pPr>
      <w:r w:rsidRPr="006177E4">
        <w:rPr>
          <w:u w:color="000000"/>
        </w:rPr>
        <w:t xml:space="preserve">Antes de la </w:t>
      </w:r>
      <w:sdt>
        <w:sdtPr>
          <w:rPr>
            <w:color w:val="000000"/>
            <w:u w:color="000000"/>
          </w:rPr>
          <w:tag w:val="MENDELEY_CITATION_v3_eyJjaXRhdGlvbklEIjoiTUVOREVMRVlfQ0lUQVRJT05fMzI1OWE2MjktY2MwMy00ZmRlLWFmYWYtNDIzMDNiYzAzYWQ0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
          <w:id w:val="1485503857"/>
          <w:placeholder>
            <w:docPart w:val="DefaultPlaceholder_-1854013440"/>
          </w:placeholder>
        </w:sdtPr>
        <w:sdtEndPr/>
        <w:sdtContent>
          <w:r w:rsidR="009A1775" w:rsidRPr="006177E4">
            <w:rPr>
              <w:color w:val="000000"/>
              <w:u w:color="000000"/>
            </w:rPr>
            <w:t xml:space="preserve">Ley 2010 </w:t>
          </w:r>
          <w:r w:rsidR="00BA3790">
            <w:rPr>
              <w:color w:val="000000"/>
              <w:u w:color="000000"/>
            </w:rPr>
            <w:t>(</w:t>
          </w:r>
          <w:r w:rsidR="009A1775" w:rsidRPr="006177E4">
            <w:rPr>
              <w:color w:val="000000"/>
              <w:u w:color="000000"/>
            </w:rPr>
            <w:t>2019)</w:t>
          </w:r>
          <w:r w:rsidR="00BA3790">
            <w:rPr>
              <w:color w:val="000000"/>
              <w:u w:color="000000"/>
            </w:rPr>
            <w:t xml:space="preserve"> </w:t>
          </w:r>
        </w:sdtContent>
      </w:sdt>
      <w:r w:rsidRPr="006177E4">
        <w:rPr>
          <w:u w:color="000000"/>
        </w:rPr>
        <w:t xml:space="preserve">con la configuración del título ejecutivo, la ineficacia generaba una dificultad operativa debido a que la administración debía esperar el agotamiento del proceso de aforo para disponer de un título ejecutable. La </w:t>
      </w:r>
      <w:sdt>
        <w:sdtPr>
          <w:rPr>
            <w:color w:val="000000"/>
            <w:u w:color="000000"/>
          </w:rPr>
          <w:tag w:val="MENDELEY_CITATION_v3_eyJjaXRhdGlvbklEIjoiTUVOREVMRVlfQ0lUQVRJT05fYWZhNDJjYjctNTQ2ZS00MDAyLWFhMTItNDNkMmQ5YjkzMTZk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
          <w:id w:val="-1310089067"/>
          <w:placeholder>
            <w:docPart w:val="DefaultPlaceholder_-1854013440"/>
          </w:placeholder>
        </w:sdtPr>
        <w:sdtEndPr/>
        <w:sdtContent>
          <w:r w:rsidR="009A1775" w:rsidRPr="006177E4">
            <w:rPr>
              <w:color w:val="000000"/>
              <w:u w:color="000000"/>
            </w:rPr>
            <w:t xml:space="preserve">Ley 2010 </w:t>
          </w:r>
          <w:r w:rsidR="00AA1299">
            <w:rPr>
              <w:color w:val="000000"/>
              <w:u w:color="000000"/>
            </w:rPr>
            <w:t>(</w:t>
          </w:r>
          <w:r w:rsidR="009A1775" w:rsidRPr="006177E4">
            <w:rPr>
              <w:color w:val="000000"/>
              <w:u w:color="000000"/>
            </w:rPr>
            <w:t>2019)</w:t>
          </w:r>
          <w:r w:rsidR="00106230">
            <w:rPr>
              <w:color w:val="000000"/>
              <w:u w:color="000000"/>
            </w:rPr>
            <w:t xml:space="preserve"> </w:t>
          </w:r>
        </w:sdtContent>
      </w:sdt>
      <w:r w:rsidRPr="006177E4">
        <w:rPr>
          <w:u w:color="000000"/>
        </w:rPr>
        <w:t>determinó que la declaración inicial presentada sin pago es una obligación clara, expresa y exigible para cobro coactivo.</w:t>
      </w:r>
    </w:p>
    <w:p w14:paraId="72926E92" w14:textId="77777777" w:rsidR="00AA1299" w:rsidRDefault="00EB0661" w:rsidP="00674D57">
      <w:pPr>
        <w:pStyle w:val="PrrAPA"/>
        <w:rPr>
          <w:u w:color="000000"/>
        </w:rPr>
      </w:pPr>
      <w:r w:rsidRPr="006177E4">
        <w:rPr>
          <w:u w:color="000000"/>
        </w:rPr>
        <w:t xml:space="preserve">Sin embargo, la norma continúa manteniendo un alto grado de complejidad operativa. La coexistencia de una declaración ineficaz pero que se considera título exige la intervención oportuna de la administración tributaria y cohesión interna para la subsanación de la ineficacia y la recuperación de la cartera. En términos de administración tributaria, la figura obliga a decidir cuándo activar cobro persuasivo, cuándo iniciar medidas cautelares, cuándo otorgar facilidades de pago y cuándo escalar el asunto hacia fiscalización para emplazar, sancionar y aforar. Esa </w:t>
      </w:r>
      <w:r w:rsidRPr="006177E4">
        <w:rPr>
          <w:u w:color="000000"/>
        </w:rPr>
        <w:lastRenderedPageBreak/>
        <w:t>secuencia no es lineal ni automática; depende de interpretación normativa, criterio directivo y capacidad institucional.</w:t>
      </w:r>
    </w:p>
    <w:p w14:paraId="299B11F2" w14:textId="5D35E6E9" w:rsidR="00EB0661" w:rsidRDefault="00EB0661" w:rsidP="00674D57">
      <w:pPr>
        <w:pStyle w:val="PrrAPA"/>
        <w:rPr>
          <w:rFonts w:eastAsia="Times New Roman"/>
          <w:lang w:eastAsia="es-CO"/>
        </w:rPr>
      </w:pPr>
      <w:r w:rsidRPr="006177E4">
        <w:rPr>
          <w:rFonts w:eastAsia="Times New Roman"/>
          <w:lang w:eastAsia="es-CO"/>
        </w:rPr>
        <w:t xml:space="preserve">De acuerdo con lo anterior, el análisis documental permite concluir que la ineficacia de la declaración de retención en la fuente presentada sin pago total opera en Colombia como una figura de doble efecto: para el agente retenedor, la declaración no produce efectos legales; pero para la administración, mientras no se presente nuevamente la declaración con pago, ese mismo documento puede servir como título ejecutivo para cobro coactivo. Esa arquitectura está en el artículo 580-1 del </w:t>
      </w:r>
      <w:sdt>
        <w:sdtPr>
          <w:rPr>
            <w:rFonts w:eastAsia="Times New Roman"/>
            <w:color w:val="000000"/>
            <w:lang w:eastAsia="es-CO"/>
          </w:rPr>
          <w:tag w:val="MENDELEY_CITATION_v3_eyJjaXRhdGlvbklEIjoiTUVOREVMRVlfQ0lUQVRJT05fNjU2MDEwYWEtOWY2Yi00NDk5LTliMWEtMTI3NzY4NDVhNzJ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986060918"/>
          <w:placeholder>
            <w:docPart w:val="DefaultPlaceholder_-1854013440"/>
          </w:placeholder>
        </w:sdtPr>
        <w:sdtEndPr/>
        <w:sdtContent>
          <w:r w:rsidR="00AA1299">
            <w:rPr>
              <w:rFonts w:eastAsia="Times New Roman"/>
              <w:color w:val="000000"/>
              <w:lang w:eastAsia="es-CO"/>
            </w:rPr>
            <w:t>Decreto 624 (</w:t>
          </w:r>
          <w:r w:rsidR="009A1775" w:rsidRPr="006177E4">
            <w:rPr>
              <w:rFonts w:eastAsia="Times New Roman"/>
              <w:color w:val="000000"/>
              <w:lang w:eastAsia="es-CO"/>
            </w:rPr>
            <w:t>1989)</w:t>
          </w:r>
        </w:sdtContent>
      </w:sdt>
      <w:r w:rsidR="00CE027A" w:rsidRPr="006177E4">
        <w:rPr>
          <w:rFonts w:eastAsia="Times New Roman"/>
          <w:color w:val="000000"/>
          <w:lang w:eastAsia="es-CO"/>
        </w:rPr>
        <w:t xml:space="preserve"> </w:t>
      </w:r>
      <w:r w:rsidRPr="006177E4">
        <w:rPr>
          <w:rFonts w:eastAsia="Times New Roman"/>
          <w:lang w:eastAsia="es-CO"/>
        </w:rPr>
        <w:t>y ha sido reiterada por la doctrina DIAN reciente.</w:t>
      </w:r>
    </w:p>
    <w:p w14:paraId="2AA22354" w14:textId="77777777" w:rsidR="00AA1299" w:rsidRPr="00AA1299" w:rsidRDefault="00AA1299" w:rsidP="00263B16">
      <w:pPr>
        <w:spacing w:line="480" w:lineRule="auto"/>
        <w:ind w:firstLine="720"/>
        <w:jc w:val="left"/>
        <w:rPr>
          <w:rFonts w:cs="Times New Roman"/>
          <w:bCs/>
          <w:szCs w:val="24"/>
          <w:u w:color="000000"/>
        </w:rPr>
      </w:pPr>
    </w:p>
    <w:p w14:paraId="3D0C4369" w14:textId="2AB7550B" w:rsidR="00EB0661" w:rsidRPr="00AA1299" w:rsidRDefault="00EB0661" w:rsidP="00263B16">
      <w:pPr>
        <w:pStyle w:val="Ttulo5"/>
      </w:pPr>
      <w:bookmarkStart w:id="173" w:name="_Toc228250818"/>
      <w:bookmarkStart w:id="174" w:name="_Toc229077684"/>
      <w:r w:rsidRPr="00AA1299">
        <w:t>Análisis Trabajo de Campo</w:t>
      </w:r>
      <w:r w:rsidR="00757D2A" w:rsidRPr="00AA1299">
        <w:t>, entrevistas</w:t>
      </w:r>
      <w:bookmarkEnd w:id="173"/>
      <w:r w:rsidR="00BA3790">
        <w:t>.</w:t>
      </w:r>
      <w:bookmarkEnd w:id="174"/>
    </w:p>
    <w:p w14:paraId="316105FE" w14:textId="77777777" w:rsidR="00AA1299" w:rsidRDefault="00EB0661" w:rsidP="00674D57">
      <w:pPr>
        <w:pStyle w:val="PrrAPA"/>
      </w:pPr>
      <w:r w:rsidRPr="006177E4">
        <w:t xml:space="preserve">En materia de procesos de cobro, para </w:t>
      </w:r>
      <w:sdt>
        <w:sdtPr>
          <w:rPr>
            <w:color w:val="000000"/>
          </w:rPr>
          <w:tag w:val="MENDELEY_CITATION_v3_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"/>
          <w:id w:val="999005489"/>
          <w:placeholder>
            <w:docPart w:val="7B80CC2015444816AEA4BD9DC88634D3"/>
          </w:placeholder>
        </w:sdtPr>
        <w:sdtEndPr/>
        <w:sdtContent>
          <w:r w:rsidR="009A1775" w:rsidRPr="006177E4">
            <w:rPr>
              <w:rFonts w:eastAsia="Times New Roman"/>
              <w:color w:val="000000"/>
            </w:rPr>
            <w:t>Rincón (2018)</w:t>
          </w:r>
        </w:sdtContent>
      </w:sdt>
      <w:r w:rsidRPr="006177E4">
        <w:rPr>
          <w:color w:val="000000"/>
        </w:rPr>
        <w:t xml:space="preserve"> experta de la División de recaudo y Cobranzas de la </w:t>
      </w:r>
      <w:r w:rsidRPr="006177E4">
        <w:t xml:space="preserve">DIAN, la ineficacia de las declaraciones de retención en la fuente en </w:t>
      </w:r>
      <w:r w:rsidR="00AA1299" w:rsidRPr="006177E4">
        <w:t>renta</w:t>
      </w:r>
      <w:r w:rsidRPr="006177E4">
        <w:t xml:space="preserve"> activa una secuencia progresiva de actuaciones por parte de la administración tributaria que intensifican la exigibilidad de la obligación. Inicialmente, se surte la etapa de determinación, en la que se consolida la deuda a cargo del contribuyente, seguida del cobro persuasivo como mecanismo previo orientado a obtener el pago voluntario. Ante su incumplimiento, pueden celebrarse acuerdos de pago, los cuales no subsana la ineficacia, que buscan facilitar la normalización de la obligación; sin embargo, su incumplimiento da lugar al inicio del cobro coactivo, en el cual la administración ejerce facultades de ejecución forzada. En esta fase, se adoptan medidas como el embargo, el secuestro y, en última instancia, el remate de bienes, evidenciando un proceso administrativo con profundas implicaciones patrimoniales para el contribuyente.</w:t>
      </w:r>
    </w:p>
    <w:p w14:paraId="4E8159B9" w14:textId="77777777" w:rsidR="00AA1299" w:rsidRDefault="00EB0661" w:rsidP="00674D57">
      <w:pPr>
        <w:pStyle w:val="PrrAPA"/>
      </w:pPr>
      <w:r w:rsidRPr="006177E4">
        <w:t>Así mismo, permite reconstruir la trayectoria operativa de la figura bajo las reformas de 2010, 2016 y 2019. Según su experiencia, bajo la Ley 1430 de 2010 las declaraciones ineficaces no prestaban mérito ejecutivo, por lo que cobranzas no podía adelantar cobro, practicar medidas cautelares ni otorgar facilidades de pago; su actuación se reducía a oficios persuasivos y solicitud de aforo a fiscalización. Con la Ley 1819 de 2016 se entendió que durante los dos meses</w:t>
      </w:r>
      <w:r w:rsidR="00AA1299">
        <w:t xml:space="preserve"> </w:t>
      </w:r>
      <w:r w:rsidRPr="006177E4">
        <w:t>siguientes la declaración producía efectos legales, pero ese lapso resultó insuficiente para</w:t>
      </w:r>
      <w:r w:rsidR="00AA1299">
        <w:t xml:space="preserve"> </w:t>
      </w:r>
      <w:r w:rsidRPr="006177E4">
        <w:t xml:space="preserve">culminar procesos de cobro y riesgoso para practicar embargos, pues podía desaparecer el sustento ejecutivo si el contribuyente no pagaba dentro del plazo. Finalmente, con la Ley 2010 de 2019, la declaración inicialmente presentada pasó a prestar mérito ejecutivo una vez transcurridos los dos meses, lo que </w:t>
      </w:r>
      <w:r w:rsidRPr="006177E4">
        <w:lastRenderedPageBreak/>
        <w:t>permitió avanzar en cobro, medidas cautelares y facilidades de pago, aunque no sin resistencias institucionales y ajustes de criterio.</w:t>
      </w:r>
    </w:p>
    <w:p w14:paraId="3A51B1BF" w14:textId="77777777" w:rsidR="00AA1299" w:rsidRDefault="00AA1299" w:rsidP="00674D57">
      <w:pPr>
        <w:pStyle w:val="PrrAPA"/>
      </w:pPr>
      <w:r>
        <w:t>A</w:t>
      </w:r>
      <w:r w:rsidR="00EB0661" w:rsidRPr="006177E4">
        <w:t>sí mismo, resalta un problema operativo adicional, aunque existan mecanismos para cobrar antes de consolidarse la ineficacia, en la práctica las gestiones suelen empezar con llamadas o avisos, y el contribuyente alega que dispone del término de dos meses, lo cual posterga el recaudo. Por eso, muchos funcionarios esperan a que transcurra ese plazo para iniciar cobro fuerte, lo que retrasa la recuperación de cartera.</w:t>
      </w:r>
    </w:p>
    <w:p w14:paraId="64C152D6" w14:textId="77777777" w:rsidR="00AA1299" w:rsidRDefault="00EB0661" w:rsidP="00674D57">
      <w:pPr>
        <w:pStyle w:val="PrrAPA"/>
      </w:pPr>
      <w:r w:rsidRPr="006177E4">
        <w:t xml:space="preserve">Por otro lado, la experta funcionaria de fiscalización afirma que, operativamente la carga de trabajo en primera medida es para Cobranzas porque la declaración constituye título objeto de cobro. Posteriormente si no se logra el pago de la retención, el nivel directivo puede tomar la decisión de abrir investigación en Fiscalización para generar el emplazamiento para declarar, resolución sanción por no declarar y liquidación oficial de aforo, obteniendo así un nuevo título objeto de cobro que puede durar hasta 5 años en su formación, generando desgaste administrativo. </w:t>
      </w:r>
    </w:p>
    <w:p w14:paraId="63DD2A0A" w14:textId="4738AFE9" w:rsidR="00EB0661" w:rsidRDefault="00EB0661" w:rsidP="00674D57">
      <w:pPr>
        <w:pStyle w:val="PrrAPA"/>
      </w:pPr>
      <w:r w:rsidRPr="006177E4">
        <w:t>Por último, desde la academia los docentes universitarios agregan que la ocurrencia de declaraciones ineficaces se ve favorecida por la insuficiencia de capacidad operativa de las seccionales y por el hecho de que las áreas de cobranzas no siempre perciben este fenómeno como prioridad, confiando a veces en que la acción penal generará el recaudo. Esta apreciación es operativamente decisiva: muestra que la eficacia de la norma depende no solo de su texto, sino de la capacidad administrativa para detectarla, priorizarla y gestionarla tempranamente.</w:t>
      </w:r>
    </w:p>
    <w:p w14:paraId="2BAF2403" w14:textId="77777777" w:rsidR="00AA1299" w:rsidRPr="006177E4" w:rsidRDefault="00AA1299" w:rsidP="00263B16">
      <w:pPr>
        <w:spacing w:line="480" w:lineRule="auto"/>
        <w:ind w:firstLine="720"/>
        <w:jc w:val="left"/>
        <w:rPr>
          <w:rFonts w:cs="Times New Roman"/>
          <w:szCs w:val="24"/>
        </w:rPr>
      </w:pPr>
    </w:p>
    <w:p w14:paraId="38FDC2B8" w14:textId="511AD41A" w:rsidR="00700448" w:rsidRPr="006177E4" w:rsidRDefault="00EB0661" w:rsidP="00263B16">
      <w:pPr>
        <w:pStyle w:val="Ttulo5"/>
      </w:pPr>
      <w:bookmarkStart w:id="175" w:name="_Toc228250819"/>
      <w:bookmarkStart w:id="176" w:name="_Toc229077685"/>
      <w:r w:rsidRPr="006177E4">
        <w:t>Cifras DSIA Ibagué 2014 al 2024</w:t>
      </w:r>
      <w:bookmarkEnd w:id="175"/>
      <w:r w:rsidR="00023831">
        <w:t>.</w:t>
      </w:r>
      <w:bookmarkEnd w:id="176"/>
      <w:r w:rsidRPr="006177E4">
        <w:t xml:space="preserve"> </w:t>
      </w:r>
    </w:p>
    <w:p w14:paraId="430D872D" w14:textId="77777777" w:rsidR="00AA1299" w:rsidRDefault="00EB0661" w:rsidP="00674D57">
      <w:pPr>
        <w:pStyle w:val="PrrAPA"/>
      </w:pPr>
      <w:r w:rsidRPr="006177E4">
        <w:t>Como parte del trabajo de campo, se presentan las cifras solicitadas a la DSIA de Ibagué mediante PQRS 2025DP000329881 del 10 de noviembre del 2025.</w:t>
      </w:r>
    </w:p>
    <w:p w14:paraId="68AE3874" w14:textId="77777777" w:rsidR="00AA1299" w:rsidRDefault="00EB0661" w:rsidP="00674D57">
      <w:pPr>
        <w:pStyle w:val="PrrAPA"/>
      </w:pPr>
      <w:r w:rsidRPr="006177E4">
        <w:t>Frente a las cifras a analizar, corresponde a las declaraciones de retención en la fuente ineficaces que fueron denunciadas por omisión de agente retenedor Art 402 del CP, retenciones presentadas del 2014 al 2024.</w:t>
      </w:r>
    </w:p>
    <w:p w14:paraId="388BDC2C" w14:textId="77777777" w:rsidR="00AC06AF" w:rsidRDefault="00EB0661" w:rsidP="00674D57">
      <w:pPr>
        <w:pStyle w:val="PrrAPA"/>
      </w:pPr>
      <w:r w:rsidRPr="006177E4">
        <w:t>De acuerdo con la información de la administración tributaria, contaba con el dato de retenciones ineficaces únicamente para los años 2023 y 2024</w:t>
      </w:r>
      <w:r w:rsidR="000552A8" w:rsidRPr="006177E4">
        <w:t>:</w:t>
      </w:r>
    </w:p>
    <w:p w14:paraId="36DEAABC" w14:textId="77777777" w:rsidR="00AC06AF" w:rsidRDefault="00EB0661" w:rsidP="00674D57">
      <w:pPr>
        <w:pStyle w:val="PrrAPA"/>
      </w:pPr>
      <w:r w:rsidRPr="00AC06AF">
        <w:t xml:space="preserve">Cabe aclarar que la información está disponible para la CPCC completa para las variables solicitadas desde 2023, dicha información es resultado de la consulta realizada con actualización </w:t>
      </w:r>
      <w:r w:rsidRPr="00AC06AF">
        <w:lastRenderedPageBreak/>
        <w:t xml:space="preserve">del lunes 25 de noviembre y el número de retenciones corresponde a la cantidad de declaraciones, no de declarantes, que se hicieron por año, tomando las declaraciones VALIDAS/ACTIVAS para la seccional de Ibagué. </w:t>
      </w:r>
    </w:p>
    <w:p w14:paraId="25E9FF3E" w14:textId="30D526A2" w:rsidR="00AC06AF" w:rsidRDefault="00EB0661" w:rsidP="00674D57">
      <w:pPr>
        <w:pStyle w:val="PrrAPA"/>
      </w:pPr>
      <w:r w:rsidRPr="006177E4">
        <w:t>Por lo anterior y considerando que no se contaba con el dato total de las declaraciones ineficaces del periodo objeto de estudio, por medio de la PQRS2025DP000329881 del 10 de noviembre del 2025 trasladad a la DSIA de Ibagué se obtuvo la información de las denuncias penales derivadas de la ineficacia de las declaraciones de retención en la fuente (2014–2024), en el entendido que no comprenden el total de las declaraciones ineficaces, pero que son fuente de información y análisis</w:t>
      </w:r>
      <w:r w:rsidR="00F9340C">
        <w:t xml:space="preserve">, las cuales permiten describir el contexto de la ineficacia, </w:t>
      </w:r>
      <w:r w:rsidR="00CB2B30">
        <w:t>ilustrar su magnitud administrativa, como apoyo descriptivo.</w:t>
      </w:r>
    </w:p>
    <w:p w14:paraId="5EC5C04A" w14:textId="77777777" w:rsidR="00AC06AF" w:rsidRDefault="00EB0661" w:rsidP="00674D57">
      <w:pPr>
        <w:pStyle w:val="PrrAPA"/>
      </w:pPr>
      <w:r w:rsidRPr="006177E4">
        <w:t xml:space="preserve">Las cifras analizadas correspondientes a los años </w:t>
      </w:r>
      <w:r w:rsidRPr="006177E4">
        <w:rPr>
          <w:rStyle w:val="Textoennegrita"/>
          <w:b w:val="0"/>
          <w:bCs w:val="0"/>
        </w:rPr>
        <w:t>2014 a 2024</w:t>
      </w:r>
      <w:r w:rsidRPr="006177E4">
        <w:t xml:space="preserve"> se clasifican en cinco grupos de análisis; número de denuncias, proporción de denuncias frente al total de declaraciones presentadas valor asociado a retenciones denunciadas, recaudo de retenciones en Ibagué y participación de las retenciones en el recaudo total. Las cifras analizadas se enmarcan en tres cabios normativos para interpretar el comportamiento de las cifras:</w:t>
      </w:r>
    </w:p>
    <w:p w14:paraId="25099401" w14:textId="77777777" w:rsidR="00AC06AF" w:rsidRDefault="00EB0661" w:rsidP="00674D57">
      <w:pPr>
        <w:pStyle w:val="PrrAPA"/>
      </w:pPr>
      <w:r w:rsidRPr="006177E4">
        <w:rPr>
          <w:rStyle w:val="Textoennegrita"/>
          <w:b w:val="0"/>
          <w:bCs w:val="0"/>
        </w:rPr>
        <w:t>Año 2014</w:t>
      </w:r>
      <w:r w:rsidRPr="006177E4">
        <w:rPr>
          <w:rStyle w:val="Textoennegrita"/>
        </w:rPr>
        <w:t xml:space="preserve">, </w:t>
      </w:r>
      <w:r w:rsidRPr="006177E4">
        <w:t xml:space="preserve">artículo 580-1 del Estatuto Tributario introducido por la </w:t>
      </w:r>
      <w:r w:rsidRPr="006177E4">
        <w:rPr>
          <w:rStyle w:val="Textoennegrita"/>
          <w:b w:val="0"/>
          <w:bCs w:val="0"/>
        </w:rPr>
        <w:t>Ley 1430 de 2010</w:t>
      </w:r>
      <w:r w:rsidRPr="006177E4">
        <w:t>, bajo el cual la declaración de retención presentada sin pago total no produce efecto legal alguno.</w:t>
      </w:r>
      <w:r w:rsidRPr="006177E4">
        <w:rPr>
          <w:rStyle w:val="Textoennegrita"/>
        </w:rPr>
        <w:t xml:space="preserve"> </w:t>
      </w:r>
      <w:r w:rsidR="000552A8" w:rsidRPr="006177E4">
        <w:rPr>
          <w:rStyle w:val="Textoennegrita"/>
          <w:b w:val="0"/>
          <w:bCs w:val="0"/>
        </w:rPr>
        <w:t xml:space="preserve">Años </w:t>
      </w:r>
      <w:r w:rsidRPr="006177E4">
        <w:rPr>
          <w:rStyle w:val="Textoennegrita"/>
          <w:b w:val="0"/>
          <w:bCs w:val="0"/>
        </w:rPr>
        <w:t>2018–2019</w:t>
      </w:r>
      <w:r w:rsidRPr="006177E4">
        <w:t>, con la Ley 1943 de 2018 y, de manera consolidada, con la</w:t>
      </w:r>
      <w:r w:rsidRPr="006177E4">
        <w:rPr>
          <w:b/>
          <w:bCs/>
        </w:rPr>
        <w:t xml:space="preserve"> </w:t>
      </w:r>
      <w:r w:rsidRPr="006177E4">
        <w:rPr>
          <w:rStyle w:val="Textoennegrita"/>
          <w:b w:val="0"/>
          <w:bCs w:val="0"/>
        </w:rPr>
        <w:t>Ley 2010 de 2019</w:t>
      </w:r>
      <w:r w:rsidRPr="006177E4">
        <w:rPr>
          <w:b/>
          <w:bCs/>
        </w:rPr>
        <w:t>,</w:t>
      </w:r>
      <w:r w:rsidRPr="006177E4">
        <w:t xml:space="preserve"> que permitió entender la declaración inicial como documento que reconoce una obligación clara, expresa y exigible para cobro coactivo y fijó la regla de pago dentro de los dos meses siguientes al vencimiento para conservar efectos legales. </w:t>
      </w:r>
      <w:r w:rsidR="000552A8" w:rsidRPr="006177E4">
        <w:rPr>
          <w:rStyle w:val="Textoennegrita"/>
          <w:b w:val="0"/>
          <w:bCs w:val="0"/>
        </w:rPr>
        <w:t>Año</w:t>
      </w:r>
      <w:r w:rsidRPr="006177E4">
        <w:rPr>
          <w:rStyle w:val="Textoennegrita"/>
          <w:b w:val="0"/>
          <w:bCs w:val="0"/>
        </w:rPr>
        <w:t xml:space="preserve"> 2022</w:t>
      </w:r>
      <w:r w:rsidRPr="006177E4">
        <w:rPr>
          <w:b/>
          <w:bCs/>
        </w:rPr>
        <w:t xml:space="preserve">, </w:t>
      </w:r>
      <w:r w:rsidRPr="006177E4">
        <w:t>mediante la</w:t>
      </w:r>
      <w:r w:rsidRPr="006177E4">
        <w:rPr>
          <w:b/>
          <w:bCs/>
        </w:rPr>
        <w:t xml:space="preserve"> </w:t>
      </w:r>
      <w:r w:rsidRPr="006177E4">
        <w:rPr>
          <w:rStyle w:val="Textoennegrita"/>
          <w:b w:val="0"/>
          <w:bCs w:val="0"/>
        </w:rPr>
        <w:t>Ley 2277 de 2022</w:t>
      </w:r>
      <w:r w:rsidRPr="006177E4">
        <w:rPr>
          <w:b/>
          <w:bCs/>
        </w:rPr>
        <w:t>,</w:t>
      </w:r>
      <w:r w:rsidRPr="006177E4">
        <w:t xml:space="preserve"> que admitió efectos legales cuando el valor dejado de pagar no superara 10 UVT y fuera cancelado dentro del año siguiente.</w:t>
      </w:r>
    </w:p>
    <w:p w14:paraId="3FEBF27F" w14:textId="28677BEA" w:rsidR="00EB0661" w:rsidRDefault="00EB0661" w:rsidP="00674D57">
      <w:pPr>
        <w:pStyle w:val="PrrAPA"/>
      </w:pPr>
      <w:r w:rsidRPr="006177E4">
        <w:t>La base de datos analizada correspondiente a las declaraciones de retención en la fuente ineficaces con denuncia, ratifica un total de 6.229 casos ineficaces denunciados durante el periodo 2014-2024, lo que evidencia la recurrencia sostenida de este fenómeno en el tiempo, tal como se evidencia en la siguiente grafica.</w:t>
      </w:r>
    </w:p>
    <w:p w14:paraId="2BC7C469" w14:textId="77777777" w:rsidR="00674D57" w:rsidRDefault="00674D57">
      <w:pPr>
        <w:spacing w:after="160" w:line="259" w:lineRule="auto"/>
        <w:jc w:val="left"/>
        <w:rPr>
          <w:b/>
          <w:bCs/>
          <w:szCs w:val="18"/>
        </w:rPr>
      </w:pPr>
      <w:bookmarkStart w:id="177" w:name="_Toc229077721"/>
      <w:r>
        <w:rPr>
          <w:b/>
          <w:bCs/>
          <w:i/>
          <w:iCs/>
        </w:rPr>
        <w:br w:type="page"/>
      </w:r>
    </w:p>
    <w:p w14:paraId="492266F3" w14:textId="71F6FFFF" w:rsidR="00106230" w:rsidRDefault="00AC06AF" w:rsidP="00263B16">
      <w:pPr>
        <w:pStyle w:val="Descripcin"/>
        <w:spacing w:after="0" w:line="480" w:lineRule="auto"/>
      </w:pPr>
      <w:r w:rsidRPr="00AC06AF">
        <w:rPr>
          <w:b/>
          <w:bCs/>
          <w:i w:val="0"/>
          <w:iCs w:val="0"/>
        </w:rPr>
        <w:lastRenderedPageBreak/>
        <w:t xml:space="preserve">Figura  </w:t>
      </w:r>
      <w:r w:rsidRPr="00AC06AF">
        <w:rPr>
          <w:b/>
          <w:bCs/>
          <w:i w:val="0"/>
          <w:iCs w:val="0"/>
        </w:rPr>
        <w:fldChar w:fldCharType="begin"/>
      </w:r>
      <w:r w:rsidRPr="00AC06AF">
        <w:rPr>
          <w:b/>
          <w:bCs/>
          <w:i w:val="0"/>
          <w:iCs w:val="0"/>
        </w:rPr>
        <w:instrText xml:space="preserve"> SEQ Figura_ \* ARABIC </w:instrText>
      </w:r>
      <w:r w:rsidRPr="00AC06AF">
        <w:rPr>
          <w:b/>
          <w:bCs/>
          <w:i w:val="0"/>
          <w:iCs w:val="0"/>
        </w:rPr>
        <w:fldChar w:fldCharType="separate"/>
      </w:r>
      <w:r w:rsidR="00F01079">
        <w:rPr>
          <w:b/>
          <w:bCs/>
          <w:i w:val="0"/>
          <w:iCs w:val="0"/>
          <w:noProof/>
        </w:rPr>
        <w:t>12</w:t>
      </w:r>
      <w:r w:rsidRPr="00AC06AF">
        <w:rPr>
          <w:b/>
          <w:bCs/>
          <w:i w:val="0"/>
          <w:iCs w:val="0"/>
        </w:rPr>
        <w:fldChar w:fldCharType="end"/>
      </w:r>
      <w:r>
        <w:t xml:space="preserve"> </w:t>
      </w:r>
    </w:p>
    <w:p w14:paraId="753B10AF" w14:textId="682E0929" w:rsidR="00EB0661" w:rsidRPr="006177E4" w:rsidRDefault="00EB0661" w:rsidP="00263B16">
      <w:pPr>
        <w:pStyle w:val="Descripcin"/>
        <w:spacing w:after="0" w:line="480" w:lineRule="auto"/>
        <w:rPr>
          <w:rFonts w:cs="Times New Roman"/>
          <w:i w:val="0"/>
          <w:iCs w:val="0"/>
          <w:szCs w:val="24"/>
        </w:rPr>
      </w:pPr>
      <w:r w:rsidRPr="006177E4">
        <w:rPr>
          <w:rFonts w:cs="Times New Roman"/>
          <w:szCs w:val="24"/>
        </w:rPr>
        <w:t>Análisis descriptivo de la evolución temporal de las denuncias</w:t>
      </w:r>
      <w:r w:rsidR="00AC06AF">
        <w:rPr>
          <w:rFonts w:cs="Times New Roman"/>
          <w:szCs w:val="24"/>
        </w:rPr>
        <w:t>.</w:t>
      </w:r>
      <w:bookmarkEnd w:id="177"/>
    </w:p>
    <w:p w14:paraId="5F411DEF" w14:textId="77777777" w:rsidR="00EB0661" w:rsidRPr="006177E4" w:rsidRDefault="00EB0661" w:rsidP="00263B16">
      <w:pPr>
        <w:spacing w:line="480" w:lineRule="auto"/>
        <w:jc w:val="center"/>
        <w:rPr>
          <w:rFonts w:cs="Times New Roman"/>
          <w:szCs w:val="24"/>
        </w:rPr>
      </w:pPr>
      <w:r w:rsidRPr="006177E4">
        <w:rPr>
          <w:rFonts w:cs="Times New Roman"/>
          <w:noProof/>
          <w:szCs w:val="24"/>
          <w:lang w:eastAsia="es-CO"/>
          <w14:ligatures w14:val="standardContextual"/>
        </w:rPr>
        <w:drawing>
          <wp:inline distT="0" distB="0" distL="0" distR="0" wp14:anchorId="68FB0770" wp14:editId="01593C71">
            <wp:extent cx="4572000" cy="2743200"/>
            <wp:effectExtent l="0" t="0" r="0" b="0"/>
            <wp:docPr id="19" name="Gráfico 19">
              <a:extLst xmlns:a="http://schemas.openxmlformats.org/drawingml/2006/main">
                <a:ext uri="{FF2B5EF4-FFF2-40B4-BE49-F238E27FC236}">
                  <a16:creationId xmlns:a16="http://schemas.microsoft.com/office/drawing/2014/main" id="{930B4571-D48F-CAC2-3476-C0F7EA1E1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0264C8A" w14:textId="6DBC1CD4" w:rsidR="00EB0661" w:rsidRPr="006177E4" w:rsidRDefault="00AC06AF" w:rsidP="00263B16">
      <w:pPr>
        <w:spacing w:line="480" w:lineRule="auto"/>
        <w:jc w:val="left"/>
        <w:rPr>
          <w:rFonts w:cs="Times New Roman"/>
          <w:szCs w:val="24"/>
        </w:rPr>
      </w:pPr>
      <w:r w:rsidRPr="00AC06AF">
        <w:rPr>
          <w:rFonts w:cs="Times New Roman"/>
          <w:i/>
          <w:iCs/>
          <w:szCs w:val="24"/>
        </w:rPr>
        <w:t>Nota.</w:t>
      </w:r>
      <w:r>
        <w:rPr>
          <w:rFonts w:cs="Times New Roman"/>
          <w:szCs w:val="24"/>
        </w:rPr>
        <w:t xml:space="preserve"> </w:t>
      </w:r>
      <w:r w:rsidRPr="00E27C5F">
        <w:rPr>
          <w:rFonts w:eastAsia="Times New Roman" w:cs="Times New Roman"/>
          <w:szCs w:val="24"/>
        </w:rPr>
        <w:t>E</w:t>
      </w:r>
      <w:r w:rsidR="00EB0661" w:rsidRPr="00E27C5F">
        <w:rPr>
          <w:rFonts w:cs="Times New Roman"/>
          <w:szCs w:val="24"/>
        </w:rPr>
        <w:t>laborac</w:t>
      </w:r>
      <w:r w:rsidR="00EB0661" w:rsidRPr="006177E4">
        <w:rPr>
          <w:rFonts w:cs="Times New Roman"/>
          <w:szCs w:val="24"/>
        </w:rPr>
        <w:t>ión propia a partir de base de datos DSIA Ibagué</w:t>
      </w:r>
    </w:p>
    <w:p w14:paraId="2DC8FDAA" w14:textId="4813BDFF" w:rsidR="00AC06AF" w:rsidRDefault="00EB0661" w:rsidP="00674D57">
      <w:pPr>
        <w:pStyle w:val="PrrAPA"/>
      </w:pPr>
      <w:r w:rsidRPr="006177E4">
        <w:t xml:space="preserve">A partir de las cifras se analiza que las denuncias correspondientes al periodo 2014 al 2016 se mostraron en promedio en un promedio cercano a 398.  En ese período ya estaba vigente la regla estricta de ineficacia por falta de pago total, respaldada además por la Sentencia </w:t>
      </w:r>
      <w:sdt>
        <w:sdtPr>
          <w:rPr>
            <w:color w:val="000000"/>
          </w:rPr>
          <w:tag w:val="MENDELEY_CITATION_v3_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"/>
          <w:id w:val="1391156493"/>
          <w:placeholder>
            <w:docPart w:val="DefaultPlaceholder_-1854013440"/>
          </w:placeholder>
        </w:sdtPr>
        <w:sdtEndPr/>
        <w:sdtContent>
          <w:proofErr w:type="spellStart"/>
          <w:r w:rsidR="009A1775" w:rsidRPr="006177E4">
            <w:rPr>
              <w:rFonts w:eastAsia="Times New Roman"/>
              <w:color w:val="000000"/>
            </w:rPr>
            <w:t>Sentencia</w:t>
          </w:r>
          <w:proofErr w:type="spellEnd"/>
          <w:r w:rsidR="009A1775" w:rsidRPr="006177E4">
            <w:rPr>
              <w:rFonts w:eastAsia="Times New Roman"/>
              <w:color w:val="000000"/>
            </w:rPr>
            <w:t xml:space="preserve"> C-102 </w:t>
          </w:r>
          <w:r w:rsidR="00AC06AF">
            <w:rPr>
              <w:rFonts w:eastAsia="Times New Roman"/>
              <w:color w:val="000000"/>
            </w:rPr>
            <w:t>(</w:t>
          </w:r>
          <w:r w:rsidR="009A1775" w:rsidRPr="006177E4">
            <w:rPr>
              <w:rFonts w:eastAsia="Times New Roman"/>
              <w:color w:val="000000"/>
            </w:rPr>
            <w:t>2015)</w:t>
          </w:r>
        </w:sdtContent>
      </w:sdt>
      <w:r w:rsidRPr="006177E4">
        <w:t>, que avaló constitucionalmente la figura.</w:t>
      </w:r>
    </w:p>
    <w:p w14:paraId="7D66A2CC" w14:textId="48391B50" w:rsidR="00AC06AF" w:rsidRDefault="00EB0661" w:rsidP="00674D57">
      <w:pPr>
        <w:pStyle w:val="PrrAPA"/>
      </w:pPr>
      <w:r w:rsidRPr="006177E4">
        <w:t xml:space="preserve">Para los años 2017-2019, el promedio sube a 803 denuncias el máximo de toda la serie se presenta en 2018 con 957 denuncias, seguido de 2019 con 864. Este aumento coincide con la promulgación de la </w:t>
      </w:r>
      <w:sdt>
        <w:sdtPr>
          <w:rPr>
            <w:color w:val="000000"/>
          </w:rPr>
          <w:tag w:val="MENDELEY_CITATION_v3_eyJjaXRhdGlvbklEIjoiTUVOREVMRVlfQ0lUQVRJT05fOTM0NmRmMjAtZTc5YS00ODA3LWI2MzYtNTE1ODBjMmQwZjEw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
          <w:id w:val="-1302456330"/>
          <w:placeholder>
            <w:docPart w:val="DefaultPlaceholder_-1854013440"/>
          </w:placeholder>
        </w:sdtPr>
        <w:sdtEndPr>
          <w:rPr>
            <w:rStyle w:val="Textoennegrita"/>
            <w:b/>
            <w:bCs/>
          </w:rPr>
        </w:sdtEndPr>
        <w:sdtContent>
          <w:r w:rsidR="009A1775" w:rsidRPr="006177E4">
            <w:rPr>
              <w:rStyle w:val="Textoennegrita"/>
              <w:b w:val="0"/>
              <w:bCs w:val="0"/>
              <w:color w:val="000000"/>
            </w:rPr>
            <w:t xml:space="preserve">Ley 2010 </w:t>
          </w:r>
          <w:r w:rsidR="00AC06AF">
            <w:rPr>
              <w:rStyle w:val="Textoennegrita"/>
              <w:b w:val="0"/>
              <w:bCs w:val="0"/>
              <w:color w:val="000000"/>
            </w:rPr>
            <w:t>(</w:t>
          </w:r>
          <w:r w:rsidR="009A1775" w:rsidRPr="006177E4">
            <w:rPr>
              <w:rStyle w:val="Textoennegrita"/>
              <w:b w:val="0"/>
              <w:bCs w:val="0"/>
              <w:color w:val="000000"/>
            </w:rPr>
            <w:t>2019)</w:t>
          </w:r>
        </w:sdtContent>
      </w:sdt>
      <w:r w:rsidRPr="006177E4">
        <w:t>, en la cual ya se constituye como título ejecutivo de cobro. Para el periodo 2020 con un promedio es de 546 denuncias, y en 2022–2024 de 511.</w:t>
      </w:r>
    </w:p>
    <w:p w14:paraId="61923C34" w14:textId="77777777" w:rsidR="00AC06AF" w:rsidRDefault="00EB0661" w:rsidP="00674D57">
      <w:pPr>
        <w:pStyle w:val="PrrAPA"/>
      </w:pPr>
      <w:r w:rsidRPr="006177E4">
        <w:t>De acuerdo con las cifras, se evidencia que las modificaciones normativas no eliminaron la ocurrencia de la ineficacia, pero si permitió que la administración tributaria ejecutara el cobro. En efecto, la ley 2010 de 2019 fortaleció la competencia jurídica de la administración para el cobro de las obligaciones y, por lo tanto, aumentaron el número de denuncias.</w:t>
      </w:r>
    </w:p>
    <w:p w14:paraId="588CFB42" w14:textId="77777777" w:rsidR="00AC06AF" w:rsidRDefault="00EB0661" w:rsidP="00674D57">
      <w:pPr>
        <w:pStyle w:val="PrrAPA"/>
      </w:pPr>
      <w:r w:rsidRPr="006177E4">
        <w:t xml:space="preserve">En cuanto a la variación del 2023 al 2024, la ley 2277, artículo 78, adicionó el parágrafo 3 al artículo 580-1 ET y alivió de fondo la figura al disponer que la declaración de retención presentada sin pago total sí produce efectos legales cuando el valor dejado de pagar no supera 10 UVT y ese saldo se cancela dentro del año siguiente al vencimiento. Además, incorporó un </w:t>
      </w:r>
      <w:r w:rsidRPr="006177E4">
        <w:lastRenderedPageBreak/>
        <w:t>parágrafo transitorio 2 para subsanar ciertas ineficacias ya configuradas. En este sentido se puede interpretar como un factor que impactó la cifra.</w:t>
      </w:r>
    </w:p>
    <w:p w14:paraId="1F23CB17" w14:textId="77777777" w:rsidR="00AC06AF" w:rsidRDefault="00EB0661" w:rsidP="00674D57">
      <w:pPr>
        <w:pStyle w:val="PrrAPA"/>
      </w:pPr>
      <w:r w:rsidRPr="006177E4">
        <w:t xml:space="preserve">En cuanto a la relación de las cifras con las consecuencias operativas, se infiere que </w:t>
      </w:r>
      <w:r w:rsidRPr="006177E4">
        <w:rPr>
          <w:rFonts w:eastAsia="Times New Roman"/>
        </w:rPr>
        <w:t xml:space="preserve">este comportamiento no constituye un evento aislado, sino un fenómeno producto de los cambios normativos y de la necesidad de la intervención de la administración tributaria, </w:t>
      </w:r>
    </w:p>
    <w:p w14:paraId="224DAC99" w14:textId="35A1E6E6" w:rsidR="00EB0661" w:rsidRDefault="00EB0661" w:rsidP="00674D57">
      <w:pPr>
        <w:pStyle w:val="PrrAPA"/>
      </w:pPr>
      <w:r w:rsidRPr="006177E4">
        <w:t>Una vez analizado el número de denuncias por año, se analiza el porcentaje versus el número de declaraciones presentadas.</w:t>
      </w:r>
    </w:p>
    <w:p w14:paraId="3847F018" w14:textId="193E31DE" w:rsidR="00106230" w:rsidRDefault="00E100A7" w:rsidP="00263B16">
      <w:pPr>
        <w:pStyle w:val="Descripcin"/>
        <w:spacing w:after="0" w:line="480" w:lineRule="auto"/>
        <w:rPr>
          <w:b/>
          <w:bCs/>
          <w:i w:val="0"/>
          <w:iCs w:val="0"/>
        </w:rPr>
      </w:pPr>
      <w:bookmarkStart w:id="178" w:name="_Toc229077722"/>
      <w:r w:rsidRPr="00E100A7">
        <w:rPr>
          <w:b/>
          <w:bCs/>
          <w:i w:val="0"/>
          <w:iCs w:val="0"/>
        </w:rPr>
        <w:t xml:space="preserve">Figura  </w:t>
      </w:r>
      <w:r w:rsidRPr="00E100A7">
        <w:rPr>
          <w:b/>
          <w:bCs/>
          <w:i w:val="0"/>
          <w:iCs w:val="0"/>
        </w:rPr>
        <w:fldChar w:fldCharType="begin"/>
      </w:r>
      <w:r w:rsidRPr="00E100A7">
        <w:rPr>
          <w:b/>
          <w:bCs/>
          <w:i w:val="0"/>
          <w:iCs w:val="0"/>
        </w:rPr>
        <w:instrText xml:space="preserve"> SEQ Figura_ \* ARABIC </w:instrText>
      </w:r>
      <w:r w:rsidRPr="00E100A7">
        <w:rPr>
          <w:b/>
          <w:bCs/>
          <w:i w:val="0"/>
          <w:iCs w:val="0"/>
        </w:rPr>
        <w:fldChar w:fldCharType="separate"/>
      </w:r>
      <w:r w:rsidR="00F01079">
        <w:rPr>
          <w:b/>
          <w:bCs/>
          <w:i w:val="0"/>
          <w:iCs w:val="0"/>
          <w:noProof/>
        </w:rPr>
        <w:t>13</w:t>
      </w:r>
      <w:r w:rsidRPr="00E100A7">
        <w:rPr>
          <w:b/>
          <w:bCs/>
          <w:i w:val="0"/>
          <w:iCs w:val="0"/>
        </w:rPr>
        <w:fldChar w:fldCharType="end"/>
      </w:r>
      <w:r>
        <w:rPr>
          <w:b/>
          <w:bCs/>
          <w:i w:val="0"/>
          <w:iCs w:val="0"/>
        </w:rPr>
        <w:t xml:space="preserve"> </w:t>
      </w:r>
    </w:p>
    <w:p w14:paraId="7D25013B" w14:textId="47D4582F" w:rsidR="00EB0661" w:rsidRPr="00E100A7" w:rsidRDefault="00EB0661" w:rsidP="00263B16">
      <w:pPr>
        <w:pStyle w:val="Descripcin"/>
        <w:spacing w:after="0" w:line="480" w:lineRule="auto"/>
        <w:rPr>
          <w:rFonts w:cs="Times New Roman"/>
          <w:b/>
          <w:bCs/>
          <w:i w:val="0"/>
          <w:iCs w:val="0"/>
          <w:szCs w:val="24"/>
        </w:rPr>
      </w:pPr>
      <w:r w:rsidRPr="006177E4">
        <w:rPr>
          <w:rFonts w:cs="Times New Roman"/>
          <w:szCs w:val="24"/>
        </w:rPr>
        <w:t>Porcentaje de retenciones denunciadas versus total presentadas DIAN Ibagué</w:t>
      </w:r>
      <w:r w:rsidR="00E100A7">
        <w:rPr>
          <w:rFonts w:cs="Times New Roman"/>
          <w:szCs w:val="24"/>
        </w:rPr>
        <w:t>.</w:t>
      </w:r>
      <w:bookmarkEnd w:id="178"/>
    </w:p>
    <w:p w14:paraId="02AC6442" w14:textId="77777777" w:rsidR="00EB0661" w:rsidRPr="006177E4" w:rsidRDefault="00EB0661" w:rsidP="00263B16">
      <w:pPr>
        <w:spacing w:line="480" w:lineRule="auto"/>
        <w:ind w:firstLine="708"/>
        <w:jc w:val="left"/>
        <w:rPr>
          <w:rFonts w:cs="Times New Roman"/>
          <w:szCs w:val="24"/>
          <w:highlight w:val="cyan"/>
        </w:rPr>
      </w:pPr>
      <w:r w:rsidRPr="006177E4">
        <w:rPr>
          <w:rFonts w:cs="Times New Roman"/>
          <w:noProof/>
          <w:szCs w:val="24"/>
          <w:lang w:eastAsia="es-CO"/>
          <w14:ligatures w14:val="standardContextual"/>
        </w:rPr>
        <w:drawing>
          <wp:inline distT="0" distB="0" distL="0" distR="0" wp14:anchorId="57706BFA" wp14:editId="0EEB471E">
            <wp:extent cx="5305425" cy="2743200"/>
            <wp:effectExtent l="0" t="0" r="9525" b="0"/>
            <wp:docPr id="20" name="Gráfico 20">
              <a:extLst xmlns:a="http://schemas.openxmlformats.org/drawingml/2006/main">
                <a:ext uri="{FF2B5EF4-FFF2-40B4-BE49-F238E27FC236}">
                  <a16:creationId xmlns:a16="http://schemas.microsoft.com/office/drawing/2014/main" id="{77D42ECC-9D07-9F53-F237-9FC351E8C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A8EF4D2" w14:textId="7E679455" w:rsidR="00EB0661" w:rsidRPr="006177E4" w:rsidRDefault="00E100A7" w:rsidP="00263B16">
      <w:pPr>
        <w:spacing w:line="480" w:lineRule="auto"/>
        <w:jc w:val="left"/>
        <w:rPr>
          <w:rFonts w:cs="Times New Roman"/>
          <w:szCs w:val="24"/>
        </w:rPr>
      </w:pPr>
      <w:r w:rsidRPr="00E100A7">
        <w:rPr>
          <w:rFonts w:cs="Times New Roman"/>
          <w:i/>
          <w:iCs/>
          <w:szCs w:val="24"/>
        </w:rPr>
        <w:t>Nota</w:t>
      </w:r>
      <w:r>
        <w:rPr>
          <w:rFonts w:cs="Times New Roman"/>
          <w:szCs w:val="24"/>
        </w:rPr>
        <w:t xml:space="preserve">. </w:t>
      </w:r>
      <w:r w:rsidRPr="00E27C5F">
        <w:rPr>
          <w:rFonts w:eastAsia="Times New Roman" w:cs="Times New Roman"/>
          <w:szCs w:val="24"/>
        </w:rPr>
        <w:t>E</w:t>
      </w:r>
      <w:r w:rsidR="00EB0661" w:rsidRPr="00E27C5F">
        <w:rPr>
          <w:rFonts w:cs="Times New Roman"/>
          <w:szCs w:val="24"/>
        </w:rPr>
        <w:t>lab</w:t>
      </w:r>
      <w:r w:rsidR="00EB0661" w:rsidRPr="006177E4">
        <w:rPr>
          <w:rFonts w:cs="Times New Roman"/>
          <w:szCs w:val="24"/>
        </w:rPr>
        <w:t>oración propia a partir de base de datos DSIA Ibagué</w:t>
      </w:r>
      <w:r>
        <w:rPr>
          <w:rFonts w:cs="Times New Roman"/>
          <w:szCs w:val="24"/>
        </w:rPr>
        <w:t>.</w:t>
      </w:r>
    </w:p>
    <w:p w14:paraId="629CBBED" w14:textId="77777777" w:rsidR="00E100A7" w:rsidRDefault="00EB0661" w:rsidP="00674D57">
      <w:pPr>
        <w:pStyle w:val="PrrAPA"/>
      </w:pPr>
      <w:r w:rsidRPr="006177E4">
        <w:t>El total de declaraciones de retención presentadas aumenta de 42.575 en 2014 a 62.462 en 2024, mientras que el porcentaje de ineficaces denunciadas frente al total presentado oscila entre 0,39% y 1,99%.</w:t>
      </w:r>
    </w:p>
    <w:p w14:paraId="1C361D1E" w14:textId="77777777" w:rsidR="00E100A7" w:rsidRDefault="00EB0661" w:rsidP="00674D57">
      <w:pPr>
        <w:pStyle w:val="PrrAPA"/>
      </w:pPr>
      <w:r w:rsidRPr="006177E4">
        <w:t>La proporción más alta se presenta en 2018, con aproximadamente 1,99%, seguida de 2019, con 1,67%. En el resto de los años, el indicador se mueve alrededor de 1% o menos.</w:t>
      </w:r>
    </w:p>
    <w:p w14:paraId="34ACAC7C" w14:textId="77777777" w:rsidR="00E100A7" w:rsidRDefault="00EB0661" w:rsidP="00674D57">
      <w:pPr>
        <w:pStyle w:val="PrrAPA"/>
      </w:pPr>
      <w:r w:rsidRPr="006177E4">
        <w:t>Este resultado es importante porque permite distinguir entre dos fenómenos distintos, por un lado, la existencia de un número creciente de declaraciones presentadas, por otro, una proporción relativamente baja de casos que terminan denunciados por ineficacia.</w:t>
      </w:r>
    </w:p>
    <w:p w14:paraId="75B43D85" w14:textId="77777777" w:rsidR="00E100A7" w:rsidRDefault="00EB0661" w:rsidP="00674D57">
      <w:pPr>
        <w:pStyle w:val="PrrAPA"/>
      </w:pPr>
      <w:r w:rsidRPr="006177E4">
        <w:lastRenderedPageBreak/>
        <w:t xml:space="preserve">Desde el punto de vista de administración tributaria, esto sugiere que la denuncia penal no recae sobre </w:t>
      </w:r>
      <w:r w:rsidR="00913CC0" w:rsidRPr="006177E4">
        <w:t>el total de las declaraciones ineficaces</w:t>
      </w:r>
      <w:r w:rsidRPr="006177E4">
        <w:t>, sino sobre una fracción reducida del total presentado. En consecuencia, la figura debe analizarse más como un mecanismo de cobro penal que como un fenómeno estadísticamente generalizado en todas las declaraciones.</w:t>
      </w:r>
    </w:p>
    <w:p w14:paraId="27E25F7B" w14:textId="6497CD6B" w:rsidR="00EB0661" w:rsidRDefault="00EB0661" w:rsidP="00674D57">
      <w:pPr>
        <w:pStyle w:val="PrrAPA"/>
      </w:pPr>
      <w:r w:rsidRPr="006177E4">
        <w:t>Como parte del análisis realizado a las declaraciones presentadas, es necesario conocer el impacto en la cartera para la DSIA de Ibagué, cifras relacionadas en el siguiente gráfico.</w:t>
      </w:r>
    </w:p>
    <w:p w14:paraId="61E2F460" w14:textId="77777777" w:rsidR="00BA3790" w:rsidRDefault="00BA3790" w:rsidP="00263B16">
      <w:pPr>
        <w:spacing w:line="480" w:lineRule="auto"/>
        <w:ind w:firstLine="720"/>
        <w:jc w:val="left"/>
        <w:rPr>
          <w:rFonts w:cs="Times New Roman"/>
          <w:szCs w:val="24"/>
        </w:rPr>
      </w:pPr>
    </w:p>
    <w:p w14:paraId="6D599014" w14:textId="77777777" w:rsidR="00106230" w:rsidRDefault="00E100A7" w:rsidP="00263B16">
      <w:pPr>
        <w:pStyle w:val="Descripcin"/>
        <w:spacing w:after="0" w:line="480" w:lineRule="auto"/>
        <w:rPr>
          <w:rFonts w:cs="Times New Roman"/>
          <w:szCs w:val="24"/>
        </w:rPr>
      </w:pPr>
      <w:bookmarkStart w:id="179" w:name="_Toc229077723"/>
      <w:r w:rsidRPr="00E100A7">
        <w:rPr>
          <w:b/>
          <w:bCs/>
          <w:i w:val="0"/>
          <w:iCs w:val="0"/>
        </w:rPr>
        <w:t xml:space="preserve">Figura  </w:t>
      </w:r>
      <w:r w:rsidRPr="00E100A7">
        <w:rPr>
          <w:b/>
          <w:bCs/>
          <w:i w:val="0"/>
          <w:iCs w:val="0"/>
        </w:rPr>
        <w:fldChar w:fldCharType="begin"/>
      </w:r>
      <w:r w:rsidRPr="00E100A7">
        <w:rPr>
          <w:b/>
          <w:bCs/>
          <w:i w:val="0"/>
          <w:iCs w:val="0"/>
        </w:rPr>
        <w:instrText xml:space="preserve"> SEQ Figura_ \* ARABIC </w:instrText>
      </w:r>
      <w:r w:rsidRPr="00E100A7">
        <w:rPr>
          <w:b/>
          <w:bCs/>
          <w:i w:val="0"/>
          <w:iCs w:val="0"/>
        </w:rPr>
        <w:fldChar w:fldCharType="separate"/>
      </w:r>
      <w:r w:rsidR="00F01079">
        <w:rPr>
          <w:b/>
          <w:bCs/>
          <w:i w:val="0"/>
          <w:iCs w:val="0"/>
          <w:noProof/>
        </w:rPr>
        <w:t>14</w:t>
      </w:r>
      <w:r w:rsidRPr="00E100A7">
        <w:rPr>
          <w:b/>
          <w:bCs/>
          <w:i w:val="0"/>
          <w:iCs w:val="0"/>
        </w:rPr>
        <w:fldChar w:fldCharType="end"/>
      </w:r>
      <w:r>
        <w:rPr>
          <w:b/>
          <w:bCs/>
          <w:i w:val="0"/>
          <w:iCs w:val="0"/>
        </w:rPr>
        <w:t xml:space="preserve"> </w:t>
      </w:r>
    </w:p>
    <w:p w14:paraId="57814605" w14:textId="3F59A69C" w:rsidR="00EB0661" w:rsidRPr="00E100A7" w:rsidRDefault="00EB0661" w:rsidP="00263B16">
      <w:pPr>
        <w:pStyle w:val="Descripcin"/>
        <w:spacing w:after="0" w:line="480" w:lineRule="auto"/>
        <w:rPr>
          <w:rFonts w:cs="Times New Roman"/>
          <w:b/>
          <w:bCs/>
          <w:i w:val="0"/>
          <w:iCs w:val="0"/>
          <w:szCs w:val="24"/>
        </w:rPr>
      </w:pPr>
      <w:r w:rsidRPr="006177E4">
        <w:rPr>
          <w:rFonts w:cs="Times New Roman"/>
          <w:szCs w:val="24"/>
        </w:rPr>
        <w:t>Recaudo DIAN</w:t>
      </w:r>
      <w:r w:rsidR="00023831">
        <w:rPr>
          <w:rFonts w:cs="Times New Roman"/>
          <w:b/>
          <w:bCs/>
          <w:szCs w:val="24"/>
        </w:rPr>
        <w:t>.</w:t>
      </w:r>
      <w:bookmarkEnd w:id="179"/>
      <w:r w:rsidRPr="006177E4">
        <w:rPr>
          <w:rFonts w:cs="Times New Roman"/>
          <w:b/>
          <w:bCs/>
          <w:szCs w:val="24"/>
        </w:rPr>
        <w:t xml:space="preserve"> </w:t>
      </w:r>
    </w:p>
    <w:p w14:paraId="156821E2" w14:textId="77777777" w:rsidR="00EB0661" w:rsidRPr="006177E4" w:rsidRDefault="00EB0661" w:rsidP="00263B16">
      <w:pPr>
        <w:spacing w:line="480" w:lineRule="auto"/>
        <w:jc w:val="left"/>
        <w:rPr>
          <w:rFonts w:cs="Times New Roman"/>
          <w:szCs w:val="24"/>
        </w:rPr>
      </w:pPr>
      <w:r w:rsidRPr="006177E4">
        <w:rPr>
          <w:rFonts w:cs="Times New Roman"/>
          <w:noProof/>
          <w:szCs w:val="24"/>
          <w:lang w:eastAsia="es-CO"/>
          <w14:ligatures w14:val="standardContextual"/>
        </w:rPr>
        <w:drawing>
          <wp:inline distT="0" distB="0" distL="0" distR="0" wp14:anchorId="7313FB0C" wp14:editId="6093018E">
            <wp:extent cx="5791200" cy="2743200"/>
            <wp:effectExtent l="0" t="0" r="0" b="0"/>
            <wp:docPr id="21" name="Gráfico 21">
              <a:extLst xmlns:a="http://schemas.openxmlformats.org/drawingml/2006/main">
                <a:ext uri="{FF2B5EF4-FFF2-40B4-BE49-F238E27FC236}">
                  <a16:creationId xmlns:a16="http://schemas.microsoft.com/office/drawing/2014/main" id="{08C121AA-4020-6273-C6F2-3F3D58AF9C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6E89C70" w14:textId="00C59AD3" w:rsidR="00EB0661" w:rsidRPr="006177E4" w:rsidRDefault="00E100A7" w:rsidP="00263B16">
      <w:pPr>
        <w:spacing w:line="480" w:lineRule="auto"/>
        <w:jc w:val="left"/>
        <w:rPr>
          <w:rFonts w:cs="Times New Roman"/>
          <w:szCs w:val="24"/>
        </w:rPr>
      </w:pPr>
      <w:r w:rsidRPr="00E100A7">
        <w:rPr>
          <w:rFonts w:cs="Times New Roman"/>
          <w:i/>
          <w:iCs/>
          <w:szCs w:val="24"/>
        </w:rPr>
        <w:t>Nota.</w:t>
      </w:r>
      <w:r w:rsidRPr="00E27C5F">
        <w:rPr>
          <w:rFonts w:cs="Times New Roman"/>
          <w:b/>
          <w:bCs/>
          <w:szCs w:val="24"/>
        </w:rPr>
        <w:t xml:space="preserve"> </w:t>
      </w:r>
      <w:r w:rsidRPr="00E27C5F">
        <w:rPr>
          <w:rFonts w:eastAsia="Times New Roman" w:cs="Times New Roman"/>
          <w:szCs w:val="24"/>
        </w:rPr>
        <w:t>E</w:t>
      </w:r>
      <w:r w:rsidR="00E27C5F" w:rsidRPr="00E27C5F">
        <w:rPr>
          <w:rFonts w:eastAsia="Times New Roman" w:cs="Times New Roman"/>
          <w:szCs w:val="24"/>
        </w:rPr>
        <w:t>l</w:t>
      </w:r>
      <w:r w:rsidR="00EB0661" w:rsidRPr="00E27C5F">
        <w:rPr>
          <w:rFonts w:cs="Times New Roman"/>
          <w:szCs w:val="24"/>
        </w:rPr>
        <w:t>ab</w:t>
      </w:r>
      <w:r w:rsidR="00EB0661" w:rsidRPr="006177E4">
        <w:rPr>
          <w:rFonts w:cs="Times New Roman"/>
          <w:szCs w:val="24"/>
        </w:rPr>
        <w:t>oración propia a partir de base de datos DSIA Ibagué</w:t>
      </w:r>
      <w:r w:rsidR="00106230">
        <w:rPr>
          <w:rFonts w:cs="Times New Roman"/>
          <w:szCs w:val="24"/>
        </w:rPr>
        <w:t>.</w:t>
      </w:r>
    </w:p>
    <w:p w14:paraId="6A55A2CB" w14:textId="77777777" w:rsidR="00E100A7" w:rsidRDefault="00EB0661" w:rsidP="00674D57">
      <w:pPr>
        <w:pStyle w:val="PrrAPA"/>
      </w:pPr>
      <w:r w:rsidRPr="006177E4">
        <w:t>El valor asociado a retenciones denunciadas asciende, en todo el período, a aproximadamente $16.497.096.984, suma que evidencia una afectación fiscal relevante. El máximo absoluto se registra en 2019, con $2.528.496.410, seguido muy de cerca por 2018 y 2022.</w:t>
      </w:r>
    </w:p>
    <w:p w14:paraId="02DA4261" w14:textId="77777777" w:rsidR="00E100A7" w:rsidRDefault="00F95B53" w:rsidP="00674D57">
      <w:pPr>
        <w:pStyle w:val="PrrAPA"/>
      </w:pPr>
      <w:r w:rsidRPr="006177E4">
        <w:t xml:space="preserve">Los valores de las declaraciones permiten analizar los cambios normativos, con la </w:t>
      </w:r>
      <w:sdt>
        <w:sdtPr>
          <w:rPr>
            <w:color w:val="000000"/>
          </w:rPr>
          <w:tag w:val="MENDELEY_CITATION_v3_eyJjaXRhdGlvbklEIjoiTUVOREVMRVlfQ0lUQVRJT05fODg3OTU4OTMtZGI5ZC00N2Q2LTkwNzktN2JiNWRmMDRkZGVh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
          <w:id w:val="1264734149"/>
          <w:placeholder>
            <w:docPart w:val="DefaultPlaceholder_-1854013440"/>
          </w:placeholder>
        </w:sdtPr>
        <w:sdtEndPr/>
        <w:sdtContent>
          <w:r w:rsidR="009A1775" w:rsidRPr="006177E4">
            <w:rPr>
              <w:color w:val="000000"/>
            </w:rPr>
            <w:t xml:space="preserve">Ley 2010 </w:t>
          </w:r>
          <w:r w:rsidR="00E100A7">
            <w:rPr>
              <w:color w:val="000000"/>
            </w:rPr>
            <w:t>(</w:t>
          </w:r>
          <w:r w:rsidR="009A1775" w:rsidRPr="006177E4">
            <w:rPr>
              <w:color w:val="000000"/>
            </w:rPr>
            <w:t>2019)</w:t>
          </w:r>
        </w:sdtContent>
      </w:sdt>
      <w:r w:rsidRPr="006177E4">
        <w:rPr>
          <w:color w:val="000000"/>
        </w:rPr>
        <w:t xml:space="preserve"> la administración tributaria contaba con un título ejecutivo de cobro, por lo que el aumento corresponde al fortalecimiento del proceso de cobro que le permitió a la administración tener una </w:t>
      </w:r>
      <w:r w:rsidRPr="006177E4">
        <w:t>obligación clara, expresa y exigible para cobro coactivo.</w:t>
      </w:r>
    </w:p>
    <w:p w14:paraId="71D54194" w14:textId="77777777" w:rsidR="00E100A7" w:rsidRDefault="00EB0661" w:rsidP="00674D57">
      <w:pPr>
        <w:pStyle w:val="PrrAPA"/>
      </w:pPr>
      <w:r w:rsidRPr="006177E4">
        <w:t xml:space="preserve">En 2022 la </w:t>
      </w:r>
      <w:sdt>
        <w:sdtPr>
          <w:rPr>
            <w:color w:val="000000"/>
          </w:rPr>
          <w:tag w:val="MENDELEY_CITATION_v3_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jI3N18yMDIyLmh0bWwiLCJpc3N1ZWQiOnsiZGF0ZS1wYXJ0cyI6W1syMDIyXV19LCJjb250YWluZXItdGl0bGUtc2hvcnQiOiIifSwiaXNUZW1wb3JhcnkiOmZhbHNlfV19"/>
          <w:id w:val="-92480830"/>
          <w:placeholder>
            <w:docPart w:val="DefaultPlaceholder_-1854013440"/>
          </w:placeholder>
        </w:sdtPr>
        <w:sdtEndPr/>
        <w:sdtContent>
          <w:r w:rsidR="009A1775" w:rsidRPr="006177E4">
            <w:rPr>
              <w:color w:val="000000"/>
            </w:rPr>
            <w:t xml:space="preserve">Ley 2277 </w:t>
          </w:r>
          <w:r w:rsidR="00E100A7">
            <w:rPr>
              <w:color w:val="000000"/>
            </w:rPr>
            <w:t>(</w:t>
          </w:r>
          <w:r w:rsidR="009A1775" w:rsidRPr="006177E4">
            <w:rPr>
              <w:color w:val="000000"/>
            </w:rPr>
            <w:t>2022)</w:t>
          </w:r>
        </w:sdtContent>
      </w:sdt>
      <w:r w:rsidR="00F95B53" w:rsidRPr="006177E4">
        <w:rPr>
          <w:color w:val="000000"/>
        </w:rPr>
        <w:t xml:space="preserve"> </w:t>
      </w:r>
      <w:r w:rsidRPr="006177E4">
        <w:t>introdujo una flexibilización para diferencias no superiores a 10 UVT, el valor denunciado de ese año vuelve a subir a $2.382.484.</w:t>
      </w:r>
      <w:r w:rsidR="00F95B53" w:rsidRPr="006177E4">
        <w:t>262, e</w:t>
      </w:r>
      <w:r w:rsidRPr="006177E4">
        <w:t xml:space="preserve">sto sugiere que la </w:t>
      </w:r>
      <w:r w:rsidRPr="006177E4">
        <w:lastRenderedPageBreak/>
        <w:t xml:space="preserve">excepción </w:t>
      </w:r>
      <w:r w:rsidR="00F95B53" w:rsidRPr="006177E4">
        <w:t>no impactó de manera directa las obligaciones denunciadas por corresponder a montos menores.</w:t>
      </w:r>
    </w:p>
    <w:p w14:paraId="1720DFEA" w14:textId="77777777" w:rsidR="00E100A7" w:rsidRDefault="00EB0661" w:rsidP="00674D57">
      <w:pPr>
        <w:pStyle w:val="PrrAPA"/>
      </w:pPr>
      <w:r w:rsidRPr="006177E4">
        <w:t xml:space="preserve">La consecuencia fiscal que reflejan las cifras </w:t>
      </w:r>
      <w:r w:rsidR="00F95B53" w:rsidRPr="006177E4">
        <w:t>permite concluir que, p</w:t>
      </w:r>
      <w:r w:rsidRPr="006177E4">
        <w:t xml:space="preserve">or una </w:t>
      </w:r>
      <w:r w:rsidR="00F95B53" w:rsidRPr="006177E4">
        <w:t>parte,</w:t>
      </w:r>
      <w:r w:rsidRPr="006177E4">
        <w:t xml:space="preserve"> los montos denunciados son reducidos frente al total recaudado por retenciones en la seccional. Por otra, </w:t>
      </w:r>
      <w:r w:rsidR="00AA7496" w:rsidRPr="006177E4">
        <w:t>los</w:t>
      </w:r>
      <w:r w:rsidRPr="006177E4">
        <w:t xml:space="preserve"> valores</w:t>
      </w:r>
      <w:r w:rsidR="00AA7496" w:rsidRPr="006177E4">
        <w:t xml:space="preserve"> en pesos son </w:t>
      </w:r>
      <w:r w:rsidRPr="006177E4">
        <w:t>relevantes para la administración.</w:t>
      </w:r>
      <w:r w:rsidR="00AA7496" w:rsidRPr="006177E4">
        <w:t xml:space="preserve"> L</w:t>
      </w:r>
      <w:r w:rsidRPr="006177E4">
        <w:t xml:space="preserve">a ineficacia denunciada no </w:t>
      </w:r>
      <w:r w:rsidR="00AA7496" w:rsidRPr="006177E4">
        <w:t>afecta en mayor medida</w:t>
      </w:r>
      <w:r w:rsidRPr="006177E4">
        <w:t xml:space="preserve"> el recaudo global, pero sí </w:t>
      </w:r>
      <w:r w:rsidR="00AA7496" w:rsidRPr="006177E4">
        <w:t>corresponde a una cartera significativa</w:t>
      </w:r>
      <w:r w:rsidRPr="006177E4">
        <w:t>, de igual manera considerando que se está analizando el número de ineficacias denuncias sin considerar el global de aquellas que fueron efectivamente ineficaces.</w:t>
      </w:r>
    </w:p>
    <w:p w14:paraId="4DFA1F9C" w14:textId="77777777" w:rsidR="00E100A7" w:rsidRDefault="00EB0661" w:rsidP="00674D57">
      <w:pPr>
        <w:pStyle w:val="PrrAPA"/>
      </w:pPr>
      <w:r w:rsidRPr="006177E4">
        <w:t>En cuanto al valor acumulado asociado a las retenciones denunciadas, cercano a $16.497 millones, y los picos observados en 2018, 2019 y 2022, muestran que la ineficacia genera una afectación fiscal</w:t>
      </w:r>
      <w:r w:rsidR="00CA50CB" w:rsidRPr="006177E4">
        <w:t xml:space="preserve"> significativa</w:t>
      </w:r>
      <w:r w:rsidRPr="006177E4">
        <w:t>. Operativamente, este gráfico evidencia que la administración no enfrenta únicamente un problema de número de casos, sino también de cuantía, lo que obliga a decidir cómo segmentar, priorizar y escalar la gestión de cobro. Cuando los montos son elevados, la recuperación de cartera exige actuaciones más intensas, mayor seguimiento y, eventualmente, medidas cautelares, lo cual incrementa el desgaste administrativo.</w:t>
      </w:r>
    </w:p>
    <w:p w14:paraId="7B5A6230" w14:textId="6200A656" w:rsidR="00EB0661" w:rsidRDefault="00EB0661" w:rsidP="00674D57">
      <w:pPr>
        <w:pStyle w:val="PrrAPA"/>
      </w:pPr>
      <w:r w:rsidRPr="006177E4">
        <w:t xml:space="preserve">Además, el comportamiento del gráfico confirma que la modificación normativa que fortaleció el mérito ejecutivo de la declaración inicial no eliminó de inmediato la generación de cartera asociada a la ineficacia. Por ello, desde el punto de vista operativo, la consecuencia más visible no es solo la existencia del valor adeudado, sino la necesidad de </w:t>
      </w:r>
      <w:r w:rsidR="004147DE" w:rsidRPr="006177E4">
        <w:t>generar estrategias que permitan el recaudo efectivo</w:t>
      </w:r>
      <w:r w:rsidRPr="006177E4">
        <w:t xml:space="preserve">. El problema operativo no se limita </w:t>
      </w:r>
      <w:r w:rsidR="004147DE" w:rsidRPr="006177E4">
        <w:t>a la gestión</w:t>
      </w:r>
      <w:r w:rsidRPr="006177E4">
        <w:t xml:space="preserve"> </w:t>
      </w:r>
      <w:r w:rsidR="004147DE" w:rsidRPr="006177E4">
        <w:t>en el r</w:t>
      </w:r>
      <w:r w:rsidRPr="006177E4">
        <w:t>ecaudo, sino a la administración de una cartera que demanda intervención de cobranzas, seguimiento institucional y, en ciertos casos, apertura posterior de fiscalización para configurar un nuevo título de cobro.</w:t>
      </w:r>
    </w:p>
    <w:p w14:paraId="3DE7D72B" w14:textId="77777777" w:rsidR="00BA3790" w:rsidRPr="006177E4" w:rsidRDefault="00BA3790" w:rsidP="001E47CB">
      <w:pPr>
        <w:spacing w:line="480" w:lineRule="auto"/>
        <w:jc w:val="left"/>
        <w:rPr>
          <w:rFonts w:cs="Times New Roman"/>
          <w:szCs w:val="24"/>
        </w:rPr>
      </w:pPr>
    </w:p>
    <w:p w14:paraId="747B76F2" w14:textId="77777777" w:rsidR="00674D57" w:rsidRDefault="00674D57">
      <w:pPr>
        <w:spacing w:after="160" w:line="259" w:lineRule="auto"/>
        <w:jc w:val="left"/>
        <w:rPr>
          <w:b/>
          <w:bCs/>
          <w:szCs w:val="18"/>
        </w:rPr>
      </w:pPr>
      <w:bookmarkStart w:id="180" w:name="_Toc229077724"/>
      <w:r>
        <w:rPr>
          <w:b/>
          <w:bCs/>
          <w:i/>
          <w:iCs/>
        </w:rPr>
        <w:br w:type="page"/>
      </w:r>
    </w:p>
    <w:p w14:paraId="422D60D7" w14:textId="6DBC865C" w:rsidR="00106230" w:rsidRDefault="00E100A7" w:rsidP="00263B16">
      <w:pPr>
        <w:pStyle w:val="Descripcin"/>
        <w:spacing w:after="0" w:line="480" w:lineRule="auto"/>
        <w:rPr>
          <w:b/>
          <w:bCs/>
          <w:i w:val="0"/>
          <w:iCs w:val="0"/>
        </w:rPr>
      </w:pPr>
      <w:r w:rsidRPr="00E100A7">
        <w:rPr>
          <w:b/>
          <w:bCs/>
          <w:i w:val="0"/>
          <w:iCs w:val="0"/>
        </w:rPr>
        <w:lastRenderedPageBreak/>
        <w:t xml:space="preserve">Figura  </w:t>
      </w:r>
      <w:r w:rsidRPr="00E100A7">
        <w:rPr>
          <w:b/>
          <w:bCs/>
          <w:i w:val="0"/>
          <w:iCs w:val="0"/>
        </w:rPr>
        <w:fldChar w:fldCharType="begin"/>
      </w:r>
      <w:r w:rsidRPr="00E100A7">
        <w:rPr>
          <w:b/>
          <w:bCs/>
          <w:i w:val="0"/>
          <w:iCs w:val="0"/>
        </w:rPr>
        <w:instrText xml:space="preserve"> SEQ Figura_ \* ARABIC </w:instrText>
      </w:r>
      <w:r w:rsidRPr="00E100A7">
        <w:rPr>
          <w:b/>
          <w:bCs/>
          <w:i w:val="0"/>
          <w:iCs w:val="0"/>
        </w:rPr>
        <w:fldChar w:fldCharType="separate"/>
      </w:r>
      <w:r w:rsidR="00F01079">
        <w:rPr>
          <w:b/>
          <w:bCs/>
          <w:i w:val="0"/>
          <w:iCs w:val="0"/>
          <w:noProof/>
        </w:rPr>
        <w:t>15</w:t>
      </w:r>
      <w:r w:rsidRPr="00E100A7">
        <w:rPr>
          <w:b/>
          <w:bCs/>
          <w:i w:val="0"/>
          <w:iCs w:val="0"/>
        </w:rPr>
        <w:fldChar w:fldCharType="end"/>
      </w:r>
      <w:r>
        <w:rPr>
          <w:b/>
          <w:bCs/>
          <w:i w:val="0"/>
          <w:iCs w:val="0"/>
        </w:rPr>
        <w:t xml:space="preserve"> </w:t>
      </w:r>
    </w:p>
    <w:p w14:paraId="22D2E72C" w14:textId="01D4221D" w:rsidR="00EB0661" w:rsidRPr="00E100A7" w:rsidRDefault="00EB0661" w:rsidP="00263B16">
      <w:pPr>
        <w:pStyle w:val="Descripcin"/>
        <w:spacing w:after="0" w:line="480" w:lineRule="auto"/>
        <w:rPr>
          <w:rFonts w:cs="Times New Roman"/>
          <w:b/>
          <w:bCs/>
          <w:i w:val="0"/>
          <w:iCs w:val="0"/>
          <w:szCs w:val="24"/>
        </w:rPr>
      </w:pPr>
      <w:r w:rsidRPr="006177E4">
        <w:rPr>
          <w:rFonts w:cs="Times New Roman"/>
          <w:szCs w:val="24"/>
        </w:rPr>
        <w:t>Participación de las retenciones en el recaudo total de Ibagué</w:t>
      </w:r>
      <w:r w:rsidR="00E100A7">
        <w:rPr>
          <w:rFonts w:cs="Times New Roman"/>
          <w:szCs w:val="24"/>
        </w:rPr>
        <w:t>.</w:t>
      </w:r>
      <w:bookmarkEnd w:id="180"/>
    </w:p>
    <w:p w14:paraId="0FFB4AEB" w14:textId="77777777" w:rsidR="00EB0661" w:rsidRPr="00E27C5F" w:rsidRDefault="00EB0661" w:rsidP="00263B16">
      <w:pPr>
        <w:spacing w:line="480" w:lineRule="auto"/>
        <w:ind w:firstLine="708"/>
        <w:jc w:val="left"/>
        <w:rPr>
          <w:rFonts w:cs="Times New Roman"/>
          <w:szCs w:val="24"/>
        </w:rPr>
      </w:pPr>
      <w:r w:rsidRPr="00E27C5F">
        <w:rPr>
          <w:rFonts w:cs="Times New Roman"/>
          <w:noProof/>
          <w:szCs w:val="24"/>
          <w:lang w:eastAsia="es-CO"/>
          <w14:ligatures w14:val="standardContextual"/>
        </w:rPr>
        <w:drawing>
          <wp:inline distT="0" distB="0" distL="0" distR="0" wp14:anchorId="02AF8AB8" wp14:editId="23695810">
            <wp:extent cx="5600700" cy="2743200"/>
            <wp:effectExtent l="0" t="0" r="0" b="0"/>
            <wp:docPr id="22" name="Gráfico 22">
              <a:extLst xmlns:a="http://schemas.openxmlformats.org/drawingml/2006/main">
                <a:ext uri="{FF2B5EF4-FFF2-40B4-BE49-F238E27FC236}">
                  <a16:creationId xmlns:a16="http://schemas.microsoft.com/office/drawing/2014/main" id="{7B16A397-049D-55B5-85C0-CB77874453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675DB3C" w14:textId="26027A55" w:rsidR="00EB0661" w:rsidRPr="006177E4" w:rsidRDefault="00E100A7" w:rsidP="00263B16">
      <w:pPr>
        <w:spacing w:line="480" w:lineRule="auto"/>
        <w:jc w:val="left"/>
        <w:rPr>
          <w:rFonts w:cs="Times New Roman"/>
          <w:szCs w:val="24"/>
        </w:rPr>
      </w:pPr>
      <w:r w:rsidRPr="00E27C5F">
        <w:rPr>
          <w:rFonts w:cs="Times New Roman"/>
          <w:i/>
          <w:iCs/>
          <w:szCs w:val="24"/>
        </w:rPr>
        <w:t>Nota.</w:t>
      </w:r>
      <w:r w:rsidRPr="00E27C5F">
        <w:rPr>
          <w:rFonts w:cs="Times New Roman"/>
          <w:szCs w:val="24"/>
        </w:rPr>
        <w:t xml:space="preserve"> </w:t>
      </w:r>
      <w:r w:rsidRPr="00E27C5F">
        <w:rPr>
          <w:rFonts w:eastAsia="Times New Roman" w:cs="Times New Roman"/>
          <w:szCs w:val="24"/>
        </w:rPr>
        <w:t>E</w:t>
      </w:r>
      <w:r w:rsidR="00EB0661" w:rsidRPr="00E27C5F">
        <w:rPr>
          <w:rFonts w:cs="Times New Roman"/>
          <w:szCs w:val="24"/>
        </w:rPr>
        <w:t xml:space="preserve">laboración </w:t>
      </w:r>
      <w:r w:rsidR="00EB0661" w:rsidRPr="006177E4">
        <w:rPr>
          <w:rFonts w:cs="Times New Roman"/>
          <w:szCs w:val="24"/>
        </w:rPr>
        <w:t>propia a partir de base de datos DSIA Ibagué</w:t>
      </w:r>
      <w:r w:rsidR="00106230">
        <w:rPr>
          <w:rFonts w:cs="Times New Roman"/>
          <w:szCs w:val="24"/>
        </w:rPr>
        <w:t>.</w:t>
      </w:r>
    </w:p>
    <w:p w14:paraId="766348B2" w14:textId="77777777" w:rsidR="00E100A7" w:rsidRDefault="00EB0661" w:rsidP="00674D57">
      <w:pPr>
        <w:pStyle w:val="PrrAPA"/>
      </w:pPr>
      <w:r w:rsidRPr="006177E4">
        <w:t xml:space="preserve">En cuanto al total recaudado por concepto de retenciones para la Dirección Seccional de Impuestos y Aduanas de Ibagué, se evidencia que este recaudo corresponde en </w:t>
      </w:r>
      <w:r w:rsidR="00FE0B31" w:rsidRPr="006177E4">
        <w:t>promedio al</w:t>
      </w:r>
      <w:r w:rsidRPr="006177E4">
        <w:t xml:space="preserve"> 40% del total del recaudo en la Seccional, de acuerdo con las cifras reportadas por la DIAN, para los años objeto de estudio.</w:t>
      </w:r>
    </w:p>
    <w:p w14:paraId="6A9AEAC4" w14:textId="711C6BF6" w:rsidR="00EB0661" w:rsidRPr="00E100A7" w:rsidRDefault="00EB0661" w:rsidP="00674D57">
      <w:pPr>
        <w:pStyle w:val="PrrAPA"/>
      </w:pPr>
      <w:r w:rsidRPr="006177E4">
        <w:t xml:space="preserve">Esta proporción muestra que la retención en la fuente es una fuente estructural de recaudo para la seccional. </w:t>
      </w:r>
      <w:r w:rsidR="00FE0B31" w:rsidRPr="006177E4">
        <w:t xml:space="preserve">Este impacto en el recaudo de la </w:t>
      </w:r>
      <w:r w:rsidR="00106230" w:rsidRPr="006177E4">
        <w:t>seccional</w:t>
      </w:r>
      <w:r w:rsidR="00E100A7" w:rsidRPr="006177E4">
        <w:t xml:space="preserve"> permite</w:t>
      </w:r>
      <w:r w:rsidR="00FE0B31" w:rsidRPr="006177E4">
        <w:t xml:space="preserve"> comprender la importancia del pago oportuno de dichas declaraciones, por lo que las declaraciones ineficaces afectan el</w:t>
      </w:r>
      <w:r w:rsidRPr="006177E4">
        <w:t xml:space="preserve"> flujo de recaudo en una porción sustancial de los ingresos administrados por la DIAN</w:t>
      </w:r>
      <w:r w:rsidR="00FE0B31" w:rsidRPr="006177E4">
        <w:t xml:space="preserve"> Ibagué.</w:t>
      </w:r>
    </w:p>
    <w:p w14:paraId="11ABDD3C" w14:textId="77777777" w:rsidR="00674D57" w:rsidRDefault="00674D57">
      <w:pPr>
        <w:spacing w:after="160" w:line="259" w:lineRule="auto"/>
        <w:jc w:val="left"/>
        <w:rPr>
          <w:b/>
          <w:bCs/>
          <w:szCs w:val="18"/>
        </w:rPr>
      </w:pPr>
      <w:bookmarkStart w:id="181" w:name="_Toc229077725"/>
      <w:r>
        <w:rPr>
          <w:b/>
          <w:bCs/>
          <w:i/>
          <w:iCs/>
        </w:rPr>
        <w:br w:type="page"/>
      </w:r>
    </w:p>
    <w:p w14:paraId="024BBF91" w14:textId="05FB384F" w:rsidR="00106230" w:rsidRDefault="00E100A7" w:rsidP="00263B16">
      <w:pPr>
        <w:pStyle w:val="Descripcin"/>
        <w:spacing w:after="0" w:line="480" w:lineRule="auto"/>
        <w:rPr>
          <w:b/>
          <w:bCs/>
          <w:i w:val="0"/>
          <w:iCs w:val="0"/>
        </w:rPr>
      </w:pPr>
      <w:r w:rsidRPr="00E100A7">
        <w:rPr>
          <w:b/>
          <w:bCs/>
          <w:i w:val="0"/>
          <w:iCs w:val="0"/>
        </w:rPr>
        <w:lastRenderedPageBreak/>
        <w:t xml:space="preserve">Figura  </w:t>
      </w:r>
      <w:r w:rsidRPr="00E100A7">
        <w:rPr>
          <w:b/>
          <w:bCs/>
          <w:i w:val="0"/>
          <w:iCs w:val="0"/>
        </w:rPr>
        <w:fldChar w:fldCharType="begin"/>
      </w:r>
      <w:r w:rsidRPr="00E100A7">
        <w:rPr>
          <w:b/>
          <w:bCs/>
          <w:i w:val="0"/>
          <w:iCs w:val="0"/>
        </w:rPr>
        <w:instrText xml:space="preserve"> SEQ Figura_ \* ARABIC </w:instrText>
      </w:r>
      <w:r w:rsidRPr="00E100A7">
        <w:rPr>
          <w:b/>
          <w:bCs/>
          <w:i w:val="0"/>
          <w:iCs w:val="0"/>
        </w:rPr>
        <w:fldChar w:fldCharType="separate"/>
      </w:r>
      <w:r w:rsidR="00F01079">
        <w:rPr>
          <w:b/>
          <w:bCs/>
          <w:i w:val="0"/>
          <w:iCs w:val="0"/>
          <w:noProof/>
        </w:rPr>
        <w:t>16</w:t>
      </w:r>
      <w:r w:rsidRPr="00E100A7">
        <w:rPr>
          <w:b/>
          <w:bCs/>
          <w:i w:val="0"/>
          <w:iCs w:val="0"/>
        </w:rPr>
        <w:fldChar w:fldCharType="end"/>
      </w:r>
      <w:r>
        <w:rPr>
          <w:b/>
          <w:bCs/>
          <w:i w:val="0"/>
          <w:iCs w:val="0"/>
        </w:rPr>
        <w:t xml:space="preserve"> </w:t>
      </w:r>
    </w:p>
    <w:p w14:paraId="2E0D5C39" w14:textId="6A66BC1E" w:rsidR="00EB0661" w:rsidRPr="00E100A7" w:rsidRDefault="00EB0661" w:rsidP="00263B16">
      <w:pPr>
        <w:pStyle w:val="Descripcin"/>
        <w:spacing w:after="0" w:line="480" w:lineRule="auto"/>
        <w:rPr>
          <w:b/>
          <w:bCs/>
          <w:i w:val="0"/>
          <w:iCs w:val="0"/>
        </w:rPr>
      </w:pPr>
      <w:r w:rsidRPr="006177E4">
        <w:rPr>
          <w:rFonts w:cs="Times New Roman"/>
          <w:szCs w:val="24"/>
        </w:rPr>
        <w:t>Cifras de recaudo por concepto de retenciones DIAN Ibagué</w:t>
      </w:r>
      <w:r w:rsidR="00E100A7">
        <w:rPr>
          <w:rFonts w:cs="Times New Roman"/>
          <w:szCs w:val="24"/>
        </w:rPr>
        <w:t>.</w:t>
      </w:r>
      <w:bookmarkEnd w:id="181"/>
    </w:p>
    <w:p w14:paraId="5197CDFF" w14:textId="77777777" w:rsidR="00EB0661" w:rsidRPr="006177E4" w:rsidRDefault="00EB0661" w:rsidP="00263B16">
      <w:pPr>
        <w:spacing w:line="480" w:lineRule="auto"/>
        <w:jc w:val="left"/>
        <w:rPr>
          <w:rFonts w:cs="Times New Roman"/>
          <w:b/>
          <w:bCs/>
          <w:szCs w:val="24"/>
        </w:rPr>
      </w:pPr>
      <w:r w:rsidRPr="006177E4">
        <w:rPr>
          <w:rFonts w:cs="Times New Roman"/>
          <w:noProof/>
          <w:szCs w:val="24"/>
          <w:lang w:eastAsia="es-CO"/>
          <w14:ligatures w14:val="standardContextual"/>
        </w:rPr>
        <w:drawing>
          <wp:inline distT="0" distB="0" distL="0" distR="0" wp14:anchorId="1B641F88" wp14:editId="6B1A53FC">
            <wp:extent cx="5669280" cy="2644140"/>
            <wp:effectExtent l="0" t="0" r="7620" b="3810"/>
            <wp:docPr id="25" name="Gráfico 25">
              <a:extLst xmlns:a="http://schemas.openxmlformats.org/drawingml/2006/main">
                <a:ext uri="{FF2B5EF4-FFF2-40B4-BE49-F238E27FC236}">
                  <a16:creationId xmlns:a16="http://schemas.microsoft.com/office/drawing/2014/main" id="{A7903EA0-1505-34DE-A73D-7E3BB4761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7C6A0EE" w14:textId="6536E831" w:rsidR="00EB0661" w:rsidRPr="006177E4" w:rsidRDefault="00E100A7" w:rsidP="00263B16">
      <w:pPr>
        <w:spacing w:line="480" w:lineRule="auto"/>
        <w:jc w:val="left"/>
        <w:rPr>
          <w:rFonts w:cs="Times New Roman"/>
          <w:szCs w:val="24"/>
        </w:rPr>
      </w:pPr>
      <w:r w:rsidRPr="00E100A7">
        <w:rPr>
          <w:rFonts w:cs="Times New Roman"/>
          <w:i/>
          <w:iCs/>
          <w:szCs w:val="24"/>
        </w:rPr>
        <w:t>Nota.</w:t>
      </w:r>
      <w:r w:rsidRPr="00E27C5F">
        <w:rPr>
          <w:rFonts w:cs="Times New Roman"/>
          <w:szCs w:val="24"/>
        </w:rPr>
        <w:t xml:space="preserve"> </w:t>
      </w:r>
      <w:r w:rsidRPr="00E27C5F">
        <w:rPr>
          <w:rFonts w:eastAsia="Times New Roman" w:cs="Times New Roman"/>
          <w:szCs w:val="24"/>
        </w:rPr>
        <w:t>E</w:t>
      </w:r>
      <w:r w:rsidR="00EB0661" w:rsidRPr="00E27C5F">
        <w:rPr>
          <w:rFonts w:cs="Times New Roman"/>
          <w:szCs w:val="24"/>
        </w:rPr>
        <w:t xml:space="preserve">laboración </w:t>
      </w:r>
      <w:r w:rsidR="00EB0661" w:rsidRPr="006177E4">
        <w:rPr>
          <w:rFonts w:cs="Times New Roman"/>
          <w:szCs w:val="24"/>
        </w:rPr>
        <w:t>propia a partir de base de datos DSIA Ibagué</w:t>
      </w:r>
    </w:p>
    <w:p w14:paraId="4D731BDD" w14:textId="77777777" w:rsidR="00E100A7" w:rsidRDefault="00EB0661" w:rsidP="00674D57">
      <w:pPr>
        <w:pStyle w:val="PrrAPA"/>
      </w:pPr>
      <w:r w:rsidRPr="006177E4">
        <w:t>En cuanto a la variación de las cifras del recaudo, al igual que en declaraciones ineficaces denunciadas, se identifica una variación significativa en los años 2017-2018 y 2019, años en los cuales coinciden los cambios normativos de la figura de la ineficacia.</w:t>
      </w:r>
    </w:p>
    <w:p w14:paraId="7E9FF00F" w14:textId="77777777" w:rsidR="00E100A7" w:rsidRDefault="00EB0661" w:rsidP="00674D57">
      <w:pPr>
        <w:pStyle w:val="PrrAPA"/>
      </w:pPr>
      <w:r w:rsidRPr="006177E4">
        <w:t>El año 2019 es relevante porque conjuga tres elementos; alta participación de las retenciones en el recaudo total, con cerca de 47,7%</w:t>
      </w:r>
      <w:r w:rsidR="0049178A" w:rsidRPr="006177E4">
        <w:t xml:space="preserve"> y </w:t>
      </w:r>
      <w:r w:rsidRPr="006177E4">
        <w:t>máximo valor denunciado, con más de $2.528 millones</w:t>
      </w:r>
      <w:r w:rsidR="0049178A" w:rsidRPr="006177E4">
        <w:t>.</w:t>
      </w:r>
    </w:p>
    <w:p w14:paraId="11A1F3CC" w14:textId="3C936BEB" w:rsidR="00EB0661" w:rsidRPr="006177E4" w:rsidRDefault="009B531B" w:rsidP="00674D57">
      <w:pPr>
        <w:pStyle w:val="PrrAPA"/>
      </w:pPr>
      <w:r w:rsidRPr="006177E4">
        <w:t xml:space="preserve">De las cifras se puede concluir que </w:t>
      </w:r>
      <w:r w:rsidR="00EB0661" w:rsidRPr="006177E4">
        <w:t xml:space="preserve">la reforma de 2019 fortaleció las herramientas de cobro y </w:t>
      </w:r>
      <w:r w:rsidRPr="006177E4">
        <w:t>gestión,</w:t>
      </w:r>
      <w:r w:rsidR="008F7AB4" w:rsidRPr="006177E4">
        <w:t xml:space="preserve"> pero no </w:t>
      </w:r>
      <w:r w:rsidR="00C922D8" w:rsidRPr="006177E4">
        <w:t>eliminó la consagración de la ineficacia.</w:t>
      </w:r>
    </w:p>
    <w:p w14:paraId="11426E54" w14:textId="77777777" w:rsidR="00C922D8" w:rsidRPr="006177E4" w:rsidRDefault="00C922D8" w:rsidP="00263B16">
      <w:pPr>
        <w:spacing w:line="480" w:lineRule="auto"/>
        <w:ind w:firstLine="708"/>
        <w:jc w:val="left"/>
        <w:rPr>
          <w:rFonts w:cs="Times New Roman"/>
          <w:szCs w:val="24"/>
        </w:rPr>
      </w:pPr>
    </w:p>
    <w:p w14:paraId="40D3C212" w14:textId="77777777" w:rsidR="00674D57" w:rsidRDefault="00674D57">
      <w:pPr>
        <w:spacing w:after="160" w:line="259" w:lineRule="auto"/>
        <w:jc w:val="left"/>
        <w:rPr>
          <w:b/>
          <w:bCs/>
          <w:szCs w:val="18"/>
        </w:rPr>
      </w:pPr>
      <w:bookmarkStart w:id="182" w:name="_Toc229077726"/>
      <w:r>
        <w:rPr>
          <w:b/>
          <w:bCs/>
          <w:i/>
          <w:iCs/>
        </w:rPr>
        <w:br w:type="page"/>
      </w:r>
    </w:p>
    <w:p w14:paraId="4C538321" w14:textId="6AB1C4B2" w:rsidR="00106230" w:rsidRDefault="00E100A7" w:rsidP="00263B16">
      <w:pPr>
        <w:pStyle w:val="Descripcin"/>
        <w:spacing w:after="0" w:line="480" w:lineRule="auto"/>
        <w:rPr>
          <w:b/>
          <w:bCs/>
          <w:i w:val="0"/>
          <w:iCs w:val="0"/>
        </w:rPr>
      </w:pPr>
      <w:r w:rsidRPr="00E100A7">
        <w:rPr>
          <w:b/>
          <w:bCs/>
          <w:i w:val="0"/>
          <w:iCs w:val="0"/>
        </w:rPr>
        <w:lastRenderedPageBreak/>
        <w:t xml:space="preserve">Figura  </w:t>
      </w:r>
      <w:r w:rsidRPr="00E100A7">
        <w:rPr>
          <w:b/>
          <w:bCs/>
          <w:i w:val="0"/>
          <w:iCs w:val="0"/>
        </w:rPr>
        <w:fldChar w:fldCharType="begin"/>
      </w:r>
      <w:r w:rsidRPr="00E100A7">
        <w:rPr>
          <w:b/>
          <w:bCs/>
          <w:i w:val="0"/>
          <w:iCs w:val="0"/>
        </w:rPr>
        <w:instrText xml:space="preserve"> SEQ Figura_ \* ARABIC </w:instrText>
      </w:r>
      <w:r w:rsidRPr="00E100A7">
        <w:rPr>
          <w:b/>
          <w:bCs/>
          <w:i w:val="0"/>
          <w:iCs w:val="0"/>
        </w:rPr>
        <w:fldChar w:fldCharType="separate"/>
      </w:r>
      <w:r w:rsidR="00F01079">
        <w:rPr>
          <w:b/>
          <w:bCs/>
          <w:i w:val="0"/>
          <w:iCs w:val="0"/>
          <w:noProof/>
        </w:rPr>
        <w:t>17</w:t>
      </w:r>
      <w:r w:rsidRPr="00E100A7">
        <w:rPr>
          <w:b/>
          <w:bCs/>
          <w:i w:val="0"/>
          <w:iCs w:val="0"/>
        </w:rPr>
        <w:fldChar w:fldCharType="end"/>
      </w:r>
      <w:r>
        <w:rPr>
          <w:b/>
          <w:bCs/>
          <w:i w:val="0"/>
          <w:iCs w:val="0"/>
        </w:rPr>
        <w:t xml:space="preserve"> </w:t>
      </w:r>
    </w:p>
    <w:p w14:paraId="798770FD" w14:textId="2F00CA09" w:rsidR="00EB0661" w:rsidRPr="00E100A7" w:rsidRDefault="00EB0661" w:rsidP="00263B16">
      <w:pPr>
        <w:pStyle w:val="Descripcin"/>
        <w:spacing w:after="0" w:line="480" w:lineRule="auto"/>
        <w:rPr>
          <w:rFonts w:cs="Times New Roman"/>
          <w:b/>
          <w:bCs/>
          <w:i w:val="0"/>
          <w:iCs w:val="0"/>
          <w:szCs w:val="24"/>
        </w:rPr>
      </w:pPr>
      <w:r w:rsidRPr="006177E4">
        <w:rPr>
          <w:rFonts w:cs="Times New Roman"/>
          <w:szCs w:val="24"/>
        </w:rPr>
        <w:t>Valor de retenciones denunciadas versus total recaudo DIAN Ibagué</w:t>
      </w:r>
      <w:r w:rsidR="00E100A7">
        <w:rPr>
          <w:rFonts w:cs="Times New Roman"/>
          <w:szCs w:val="24"/>
        </w:rPr>
        <w:t>.</w:t>
      </w:r>
      <w:bookmarkEnd w:id="182"/>
    </w:p>
    <w:p w14:paraId="5C06A0DB" w14:textId="77777777" w:rsidR="00EB0661" w:rsidRPr="006177E4" w:rsidRDefault="00EB0661" w:rsidP="00263B16">
      <w:pPr>
        <w:spacing w:line="480" w:lineRule="auto"/>
        <w:jc w:val="left"/>
        <w:rPr>
          <w:rFonts w:cs="Times New Roman"/>
          <w:szCs w:val="24"/>
        </w:rPr>
      </w:pPr>
      <w:r w:rsidRPr="006177E4">
        <w:rPr>
          <w:rFonts w:cs="Times New Roman"/>
          <w:noProof/>
          <w:szCs w:val="24"/>
          <w:lang w:eastAsia="es-CO"/>
          <w14:ligatures w14:val="standardContextual"/>
        </w:rPr>
        <w:drawing>
          <wp:inline distT="0" distB="0" distL="0" distR="0" wp14:anchorId="6C14D17F" wp14:editId="75B5E527">
            <wp:extent cx="5574030" cy="2943225"/>
            <wp:effectExtent l="0" t="0" r="7620" b="9525"/>
            <wp:docPr id="4" name="Gráfico 4">
              <a:extLst xmlns:a="http://schemas.openxmlformats.org/drawingml/2006/main">
                <a:ext uri="{FF2B5EF4-FFF2-40B4-BE49-F238E27FC236}">
                  <a16:creationId xmlns:a16="http://schemas.microsoft.com/office/drawing/2014/main" id="{684AD892-558B-F9A8-D7CF-1C2FB7A278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555D0A6" w14:textId="3C3BD22B" w:rsidR="00EB0661" w:rsidRPr="006177E4" w:rsidRDefault="00E100A7" w:rsidP="00263B16">
      <w:pPr>
        <w:spacing w:line="480" w:lineRule="auto"/>
        <w:jc w:val="left"/>
        <w:rPr>
          <w:rFonts w:cs="Times New Roman"/>
          <w:b/>
          <w:bCs/>
          <w:szCs w:val="24"/>
          <w:highlight w:val="cyan"/>
        </w:rPr>
      </w:pPr>
      <w:r w:rsidRPr="00E100A7">
        <w:rPr>
          <w:rFonts w:cs="Times New Roman"/>
          <w:i/>
          <w:iCs/>
          <w:szCs w:val="24"/>
        </w:rPr>
        <w:t>Nota</w:t>
      </w:r>
      <w:r w:rsidRPr="00E27C5F">
        <w:rPr>
          <w:rFonts w:cs="Times New Roman"/>
          <w:i/>
          <w:iCs/>
          <w:szCs w:val="24"/>
        </w:rPr>
        <w:t>.</w:t>
      </w:r>
      <w:r w:rsidRPr="00E27C5F">
        <w:rPr>
          <w:rFonts w:cs="Times New Roman"/>
          <w:szCs w:val="24"/>
        </w:rPr>
        <w:t xml:space="preserve"> </w:t>
      </w:r>
      <w:r w:rsidRPr="00E27C5F">
        <w:rPr>
          <w:rFonts w:eastAsia="Times New Roman" w:cs="Times New Roman"/>
          <w:szCs w:val="24"/>
        </w:rPr>
        <w:t>E</w:t>
      </w:r>
      <w:r w:rsidR="00EB0661" w:rsidRPr="00E27C5F">
        <w:rPr>
          <w:rFonts w:cs="Times New Roman"/>
          <w:szCs w:val="24"/>
        </w:rPr>
        <w:t xml:space="preserve">laboración </w:t>
      </w:r>
      <w:r w:rsidR="00EB0661" w:rsidRPr="006177E4">
        <w:rPr>
          <w:rFonts w:cs="Times New Roman"/>
          <w:szCs w:val="24"/>
        </w:rPr>
        <w:t>propia a partir de base de datos DSIA Ibagué</w:t>
      </w:r>
    </w:p>
    <w:p w14:paraId="10FFCD14" w14:textId="77777777" w:rsidR="00E100A7" w:rsidRDefault="00EB0661" w:rsidP="00674D57">
      <w:pPr>
        <w:pStyle w:val="PrrAPA"/>
      </w:pPr>
      <w:r w:rsidRPr="006177E4">
        <w:t>Analizando la relación del total de retenciones ineficaces con denuncias versus el total del recaudo por el concepto de retenciones, se evidencia que representaron entre 0,175% y 1,134% del recaudo anual de retenciones en la fuente de la Seccional de Ibagué. El mayor porcentaje se observó en 2018, seguido de 2022 y 2019; el menor en 2024.</w:t>
      </w:r>
    </w:p>
    <w:p w14:paraId="3418A1A9" w14:textId="77777777" w:rsidR="00E100A7" w:rsidRDefault="00EB0661" w:rsidP="00674D57">
      <w:pPr>
        <w:pStyle w:val="PrrAPA"/>
      </w:pPr>
      <w:r w:rsidRPr="006177E4">
        <w:t xml:space="preserve">La evolución del recaudo por retenciones en Ibagué muestra una tendencia general de crecimiento en el período, aunque con variaciones anuales significativas, especialmente en 2017, 2019 y </w:t>
      </w:r>
      <w:r w:rsidR="00C922D8" w:rsidRPr="006177E4">
        <w:t>2020.</w:t>
      </w:r>
      <w:r w:rsidRPr="006177E4">
        <w:t xml:space="preserve"> Desde el punto de vista operativo, este gráfico es útil porque muestra que la existencia de declaraciones ineficaces no ha impedido el crecimiento del recaudo por este concepto; sin embargo, ello no significa ausencia de impacto administrativo. Por el contrario, el recaudo creciente </w:t>
      </w:r>
      <w:r w:rsidR="00C922D8" w:rsidRPr="006177E4">
        <w:t>coexiste</w:t>
      </w:r>
      <w:r w:rsidRPr="006177E4">
        <w:t xml:space="preserve"> con la persistencia de casos de ineficacia, lo que implica que la administración debe </w:t>
      </w:r>
      <w:r w:rsidR="00C922D8" w:rsidRPr="006177E4">
        <w:t>continuar con</w:t>
      </w:r>
      <w:r w:rsidRPr="006177E4">
        <w:t xml:space="preserve"> la gestión de cartera derivada del incumplimiento.</w:t>
      </w:r>
    </w:p>
    <w:p w14:paraId="54BAC7CC" w14:textId="77777777" w:rsidR="00E100A7" w:rsidRDefault="00EB0661" w:rsidP="00674D57">
      <w:pPr>
        <w:pStyle w:val="PrrAPA"/>
      </w:pPr>
      <w:r w:rsidRPr="006177E4">
        <w:t xml:space="preserve">Operativamente, este escenario incrementa la complejidad de gestión. No se trata solo de administrar </w:t>
      </w:r>
      <w:r w:rsidR="00C922D8" w:rsidRPr="006177E4">
        <w:t>el recaudo del impuesto</w:t>
      </w:r>
      <w:r w:rsidRPr="006177E4">
        <w:t xml:space="preserve">, sino de hacerlo mientras </w:t>
      </w:r>
      <w:r w:rsidR="00C922D8" w:rsidRPr="006177E4">
        <w:t>las</w:t>
      </w:r>
      <w:r w:rsidRPr="006177E4">
        <w:t xml:space="preserve"> obligaciones requieren </w:t>
      </w:r>
      <w:r w:rsidR="00C922D8" w:rsidRPr="006177E4">
        <w:t xml:space="preserve">un </w:t>
      </w:r>
      <w:r w:rsidRPr="006177E4">
        <w:t>cobro diferenciado, medidas cautelares, facilidades de pago</w:t>
      </w:r>
      <w:r w:rsidR="00C922D8" w:rsidRPr="006177E4">
        <w:t xml:space="preserve"> y reporte </w:t>
      </w:r>
      <w:r w:rsidRPr="006177E4">
        <w:t xml:space="preserve">a fiscalización. Así, el gráfico muestra que la consecuencia operativa de la ineficacia no se refleja </w:t>
      </w:r>
      <w:r w:rsidR="00C922D8" w:rsidRPr="006177E4">
        <w:t>precisamente en e</w:t>
      </w:r>
      <w:r w:rsidRPr="006177E4">
        <w:t xml:space="preserve">l recaudo </w:t>
      </w:r>
      <w:r w:rsidRPr="006177E4">
        <w:lastRenderedPageBreak/>
        <w:t>total, sino en la necesidad</w:t>
      </w:r>
      <w:r w:rsidR="00C922D8" w:rsidRPr="006177E4">
        <w:t xml:space="preserve"> de</w:t>
      </w:r>
      <w:r w:rsidRPr="006177E4">
        <w:t xml:space="preserve"> </w:t>
      </w:r>
      <w:r w:rsidR="00C922D8" w:rsidRPr="006177E4">
        <w:t>acciones</w:t>
      </w:r>
      <w:r w:rsidRPr="006177E4">
        <w:t xml:space="preserve"> adicionales para </w:t>
      </w:r>
      <w:r w:rsidR="00C922D8" w:rsidRPr="006177E4">
        <w:t>garantizar el</w:t>
      </w:r>
      <w:r w:rsidRPr="006177E4">
        <w:t xml:space="preserve"> recaudo </w:t>
      </w:r>
      <w:r w:rsidR="00C922D8" w:rsidRPr="006177E4">
        <w:t>con el constante incumplimiento en el pago.</w:t>
      </w:r>
    </w:p>
    <w:p w14:paraId="69E8D8AE" w14:textId="77777777" w:rsidR="00E100A7" w:rsidRDefault="00B8196F" w:rsidP="00674D57">
      <w:pPr>
        <w:pStyle w:val="PrrAPA"/>
      </w:pPr>
      <w:r w:rsidRPr="006177E4">
        <w:rPr>
          <w:bCs/>
        </w:rPr>
        <w:t>En cuanto a cifras relacionadas puntualmente con las declaraciones de fuente ineficaces, se encuentra que en los informes presentados por la administración tributaria, no se hace una distinción</w:t>
      </w:r>
      <w:r w:rsidR="004E4C0A" w:rsidRPr="006177E4">
        <w:rPr>
          <w:bCs/>
        </w:rPr>
        <w:t xml:space="preserve"> puntual</w:t>
      </w:r>
      <w:r w:rsidRPr="006177E4">
        <w:rPr>
          <w:bCs/>
        </w:rPr>
        <w:t xml:space="preserve"> de la gestión </w:t>
      </w:r>
      <w:r w:rsidR="004E4C0A" w:rsidRPr="006177E4">
        <w:rPr>
          <w:bCs/>
        </w:rPr>
        <w:t xml:space="preserve">de las retenciones ineficaces tanto para recaudo y cobranzas como para fiscalización, lo cual permite concluir que la administración no realiza una distinción especial o seguimiento a la figura, sino es tratada en la misma línea de priorización de las demás obligaciones tributarias. </w:t>
      </w:r>
    </w:p>
    <w:p w14:paraId="3681B762" w14:textId="0F8FAD52" w:rsidR="00B8196F" w:rsidRDefault="00B8196F" w:rsidP="00674D57">
      <w:pPr>
        <w:pStyle w:val="PrrAPA"/>
        <w:rPr>
          <w:bCs/>
        </w:rPr>
      </w:pPr>
      <w:r w:rsidRPr="006177E4">
        <w:rPr>
          <w:bCs/>
        </w:rPr>
        <w:t xml:space="preserve">La evidencia hallada muestra que la DIAN ha publicado cifras y resultados de gestión relacionados con declaraciones de retención en la fuente en estado ineficaz, principalmente mediante comunicados y reportes de campañas. Para el año 2015, se reportaron 73.722 agentes retenedores con declaraciones consideradas ineficaces por presentarse sin pago total y se describieron acciones de cobro persuasivo masivo (DIAN, 2016). En el marco del Plan de Choque, los informes documentan acciones de fiscalización y control asociadas a la ineficacia (p. ej., oficios persuasivos y control permanente de ineficacia) (DIAN, 2019; DIAN, 2020) y, para 2022, se registraron campañas específicas de control sobre declaraciones de retención en la fuente en estado ineficaz (99.107 seleccionados), además de resultados globales de recaudo y corrección y presentación de declaraciones (DIAN, 2022). Para 2024, la DIAN divulgó cortes de cartera y acciones penales por omisión de agente retenedor con cifras agregadas por </w:t>
      </w:r>
      <w:proofErr w:type="spellStart"/>
      <w:r w:rsidRPr="006177E4">
        <w:rPr>
          <w:bCs/>
        </w:rPr>
        <w:t>retefuente</w:t>
      </w:r>
      <w:proofErr w:type="spellEnd"/>
      <w:r w:rsidRPr="006177E4">
        <w:rPr>
          <w:bCs/>
        </w:rPr>
        <w:t xml:space="preserve"> (p. ej., 120.270 contribuyentes y aproximadamente $4,6 billones a junio de 2024), lo cual complementa la lectura de la problemática desde la óptica de cobro y judicialización (DIAN, 2024).</w:t>
      </w:r>
      <w:r w:rsidR="00E100A7">
        <w:rPr>
          <w:bCs/>
        </w:rPr>
        <w:t xml:space="preserve"> </w:t>
      </w:r>
      <w:r w:rsidRPr="006177E4">
        <w:rPr>
          <w:bCs/>
        </w:rPr>
        <w:t>La DIAN ha publicado cifras parciales pero informes anuales específicos con cifras específicas de la gestión y resultados asociados a la ineficacia.</w:t>
      </w:r>
    </w:p>
    <w:p w14:paraId="56F4681D" w14:textId="528485FF" w:rsidR="00E100A7" w:rsidRPr="00E100A7" w:rsidRDefault="00C44B75" w:rsidP="00674D57">
      <w:pPr>
        <w:pStyle w:val="PrrAPA"/>
      </w:pPr>
      <w:r w:rsidRPr="00C44B75">
        <w:rPr>
          <w:bCs/>
        </w:rPr>
        <w:t xml:space="preserve">Desde una perspectiva longitudinal, el análisis del período 2014-2024 permitió observar que la ineficacia de las declaraciones de retención en la fuente </w:t>
      </w:r>
      <w:r>
        <w:rPr>
          <w:bCs/>
        </w:rPr>
        <w:t>ha sido</w:t>
      </w:r>
      <w:r w:rsidRPr="00C44B75">
        <w:rPr>
          <w:bCs/>
        </w:rPr>
        <w:t xml:space="preserve"> persistente</w:t>
      </w:r>
      <w:r>
        <w:rPr>
          <w:bCs/>
        </w:rPr>
        <w:t xml:space="preserve"> </w:t>
      </w:r>
      <w:r w:rsidRPr="00C44B75">
        <w:rPr>
          <w:bCs/>
        </w:rPr>
        <w:t xml:space="preserve">en el tiempo. </w:t>
      </w:r>
      <w:r>
        <w:rPr>
          <w:bCs/>
        </w:rPr>
        <w:t>Se destaca el impacto de la ley 2010 de 2019 en donde se constituyó título ejecutivo e impactó en las cifras de retenciones denuncias por omisión de agente retenedor y en el recaudo. Y en el año 2022 con la ley 2277 y el aumento de un año para las ineficacias de las declaraciones menores a 10 UVT libera la carga administrativa en las menores cuantías en el marco del tiempo, pero culminado el año genera el mismo impacto administrativo</w:t>
      </w:r>
      <w:r w:rsidR="00E309B2">
        <w:rPr>
          <w:bCs/>
        </w:rPr>
        <w:t>.</w:t>
      </w:r>
      <w:r w:rsidR="00A43A39">
        <w:rPr>
          <w:bCs/>
        </w:rPr>
        <w:tab/>
      </w:r>
    </w:p>
    <w:p w14:paraId="1A7A8AC7" w14:textId="0400CC5D" w:rsidR="00EB0661" w:rsidRPr="00BA3790" w:rsidRDefault="00EB0661" w:rsidP="00263B16">
      <w:pPr>
        <w:pStyle w:val="Ttulo5"/>
      </w:pPr>
      <w:bookmarkStart w:id="183" w:name="_Toc228250820"/>
      <w:bookmarkStart w:id="184" w:name="_Toc229077686"/>
      <w:r w:rsidRPr="00BA3790">
        <w:lastRenderedPageBreak/>
        <w:t>Conclusiones sobre las consecuencias Operativas</w:t>
      </w:r>
      <w:bookmarkEnd w:id="183"/>
      <w:r w:rsidR="00E100A7" w:rsidRPr="00BA3790">
        <w:t>.</w:t>
      </w:r>
      <w:bookmarkEnd w:id="184"/>
    </w:p>
    <w:p w14:paraId="00635B81" w14:textId="77777777" w:rsidR="00F01079" w:rsidRDefault="00734E26" w:rsidP="00674D57">
      <w:pPr>
        <w:pStyle w:val="PrrAPA"/>
      </w:pPr>
      <w:r w:rsidRPr="006177E4">
        <w:t xml:space="preserve">La administración tributaria debe realizar la gestión del cobro de las obligaciones y a su vez fiscalización debe adelantar el proceso sancionatorio para los omisos. </w:t>
      </w:r>
      <w:r w:rsidR="00EB0661" w:rsidRPr="006177E4">
        <w:t xml:space="preserve">La entrevista de fiscalización describe una secuencia de actuaciones: primero cobranzas, luego eventualmente fiscalización, emplazamiento para declarar, sanción por no declarar y liquidación oficial de aforo. Ese relato coincide con la estructura legal general de los artículos 715 y 717 ET: el omiso debe ser emplazado para declarar y, agotado el procedimiento, la administración puede determinar la obligación mediante liquidación de aforo dentro de los cinco años siguientes al vencimiento del plazo para declarar. </w:t>
      </w:r>
    </w:p>
    <w:p w14:paraId="1EC3490A" w14:textId="77777777" w:rsidR="00F01079" w:rsidRDefault="00EB0661" w:rsidP="00674D57">
      <w:pPr>
        <w:pStyle w:val="PrrAPA"/>
      </w:pPr>
      <w:r w:rsidRPr="006177E4">
        <w:t>Aquí el contraste documental confirma otra idea central de las entrevistas: la figura produce sobrecarga administrativa. La razón es que la administración no siempre resuelve el caso solo por cobro. Si no hay pago, puede verse obligada a desplegar paralelamente actividad de cobranzas y luego de fiscalización, pese a que ya existe un documento que reconoce la obligación. Esa duplicidad procedimental aparece también en la doctrina DIAN: aun cuando se otorguen facilidades de pago en cobro coactivo sobre declaraciones ineficaces que prestan mérito ejecutivo, ello no exonera al agente retenedor de presentar nuevamente la declaración ni libera a la administración de sus deberes de fiscalización.</w:t>
      </w:r>
    </w:p>
    <w:p w14:paraId="4B66CD9E" w14:textId="453509BC" w:rsidR="00EB0661" w:rsidRPr="006177E4" w:rsidRDefault="008040E7" w:rsidP="00674D57">
      <w:pPr>
        <w:pStyle w:val="PrrAPA"/>
      </w:pPr>
      <w:r w:rsidRPr="006177E4">
        <w:t>Las respuestas de cobranzas sobre la evolución normativa permiten</w:t>
      </w:r>
      <w:r w:rsidR="005C3D7C" w:rsidRPr="006177E4">
        <w:t xml:space="preserve"> entender que la</w:t>
      </w:r>
      <w:r w:rsidR="00EB0661" w:rsidRPr="006177E4">
        <w:t xml:space="preserve"> percepción institucional cambió: primero la declaración sin pago no prestaba mérito ejecutivo; luego se introdujo la ventana de dos meses para pagar con eficacia; y finalmente se reforzó la posibilidad de cobro sobre la declaración inicialmente presentada mientras no se subsane con nueva declaración y pago. </w:t>
      </w:r>
    </w:p>
    <w:p w14:paraId="5BB02974" w14:textId="172CFC1D" w:rsidR="00EB0661" w:rsidRPr="006177E4" w:rsidRDefault="00EB0661" w:rsidP="00263B16">
      <w:pPr>
        <w:spacing w:line="480" w:lineRule="auto"/>
        <w:jc w:val="left"/>
        <w:rPr>
          <w:rFonts w:cs="Times New Roman"/>
          <w:b/>
          <w:bCs/>
          <w:szCs w:val="24"/>
        </w:rPr>
      </w:pPr>
    </w:p>
    <w:p w14:paraId="101FA150" w14:textId="69C38904" w:rsidR="008040E7" w:rsidRPr="00F01079" w:rsidRDefault="00EB0661" w:rsidP="00263B16">
      <w:pPr>
        <w:pStyle w:val="Ttulo3"/>
        <w:rPr>
          <w:rStyle w:val="Textoennegrita"/>
          <w:b/>
          <w:bCs w:val="0"/>
        </w:rPr>
      </w:pPr>
      <w:r w:rsidRPr="00F01079">
        <w:t xml:space="preserve"> </w:t>
      </w:r>
      <w:bookmarkStart w:id="185" w:name="_Toc228250821"/>
      <w:bookmarkStart w:id="186" w:name="_Toc229077687"/>
      <w:r w:rsidR="00E2210E" w:rsidRPr="00F01079">
        <w:t>Conclusiones</w:t>
      </w:r>
      <w:r w:rsidRPr="00F01079">
        <w:rPr>
          <w:rStyle w:val="Textoennegrita"/>
          <w:b/>
          <w:bCs w:val="0"/>
        </w:rPr>
        <w:t xml:space="preserve"> del objetivo específico </w:t>
      </w:r>
      <w:r w:rsidR="00466BDB" w:rsidRPr="00F01079">
        <w:rPr>
          <w:rStyle w:val="Textoennegrita"/>
          <w:b/>
          <w:bCs w:val="0"/>
        </w:rPr>
        <w:t>B</w:t>
      </w:r>
      <w:bookmarkEnd w:id="185"/>
      <w:bookmarkEnd w:id="186"/>
      <w:r w:rsidRPr="00F01079">
        <w:rPr>
          <w:rStyle w:val="Textoennegrita"/>
          <w:b/>
          <w:bCs w:val="0"/>
        </w:rPr>
        <w:t xml:space="preserve"> </w:t>
      </w:r>
    </w:p>
    <w:p w14:paraId="48B4E1F4" w14:textId="77777777" w:rsidR="00F01079" w:rsidRDefault="008040E7" w:rsidP="00674D57">
      <w:pPr>
        <w:pStyle w:val="PrrAPA"/>
        <w:rPr>
          <w:lang w:eastAsia="es-CO"/>
        </w:rPr>
      </w:pPr>
      <w:r w:rsidRPr="006177E4">
        <w:rPr>
          <w:lang w:eastAsia="es-CO"/>
        </w:rPr>
        <w:t>En síntesis, las consecuencias jurídicas, fiscales y operativas derivadas de la ineficacia de las declaraciones de retención en la fuente permite comprender que esta figura trasciende el ámbito del incumplimiento individual y se configura como un problema estructural dentro de la administración tributaria.</w:t>
      </w:r>
    </w:p>
    <w:p w14:paraId="20823619" w14:textId="77777777" w:rsidR="00F01079" w:rsidRDefault="00EB0661" w:rsidP="00674D57">
      <w:pPr>
        <w:pStyle w:val="PrrAPA"/>
        <w:rPr>
          <w:lang w:eastAsia="es-CO"/>
        </w:rPr>
      </w:pPr>
      <w:r w:rsidRPr="006177E4">
        <w:rPr>
          <w:lang w:eastAsia="es-CO"/>
        </w:rPr>
        <w:t xml:space="preserve">En el plano jurídico, los resultados evidencian una tensión significativa entre la construcción normativa de la ineficacia y su aplicación práctica. La consideración de que una </w:t>
      </w:r>
      <w:r w:rsidRPr="006177E4">
        <w:rPr>
          <w:lang w:eastAsia="es-CO"/>
        </w:rPr>
        <w:lastRenderedPageBreak/>
        <w:t xml:space="preserve">declaración no produce efectos legales, pero sirve como título ejecutivo para efectos de cobro, introduce una contradicción que debilita la seguridad jurídica y la coherencia </w:t>
      </w:r>
      <w:r w:rsidR="007125B3" w:rsidRPr="006177E4">
        <w:rPr>
          <w:lang w:eastAsia="es-CO"/>
        </w:rPr>
        <w:t>en la norma</w:t>
      </w:r>
      <w:r w:rsidRPr="006177E4">
        <w:rPr>
          <w:lang w:eastAsia="es-CO"/>
        </w:rPr>
        <w:t xml:space="preserve">. Esta situación coincide con lo planteado por </w:t>
      </w:r>
      <w:sdt>
        <w:sdtPr>
          <w:rPr>
            <w:color w:val="000000"/>
            <w:lang w:eastAsia="es-CO"/>
          </w:rPr>
          <w:tag w:val="MENDELEY_CITATION_v3_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"/>
          <w:id w:val="-44525233"/>
          <w:placeholder>
            <w:docPart w:val="DefaultPlaceholder_-1854013440"/>
          </w:placeholder>
        </w:sdtPr>
        <w:sdtEndPr/>
        <w:sdtContent>
          <w:r w:rsidR="009A1775" w:rsidRPr="006177E4">
            <w:rPr>
              <w:color w:val="000000"/>
              <w:lang w:eastAsia="es-CO"/>
            </w:rPr>
            <w:t xml:space="preserve">Rincón </w:t>
          </w:r>
          <w:r w:rsidR="00F01079">
            <w:rPr>
              <w:color w:val="000000"/>
              <w:lang w:eastAsia="es-CO"/>
            </w:rPr>
            <w:t>(</w:t>
          </w:r>
          <w:r w:rsidR="009A1775" w:rsidRPr="006177E4">
            <w:rPr>
              <w:color w:val="000000"/>
              <w:lang w:eastAsia="es-CO"/>
            </w:rPr>
            <w:t>2018)</w:t>
          </w:r>
        </w:sdtContent>
      </w:sdt>
      <w:r w:rsidRPr="006177E4">
        <w:rPr>
          <w:lang w:eastAsia="es-CO"/>
        </w:rPr>
        <w:t xml:space="preserve"> quien advierte que la figura de la ineficacia genera dificultades en la gestión administrativa y en la claridad del procedimiento tributario. En consecuencia, la administración se ve obligada a desplegar actuaciones adicionales como emplazamientos, sanciones y procesos de aforo, lo que incrementa la complejidad del sistema sin garantizar una mayor efectividad en el recaudo.</w:t>
      </w:r>
    </w:p>
    <w:p w14:paraId="2714E966" w14:textId="77777777" w:rsidR="00F01079" w:rsidRDefault="00EB0661" w:rsidP="00674D57">
      <w:pPr>
        <w:pStyle w:val="PrrAPA"/>
        <w:rPr>
          <w:lang w:eastAsia="es-CO"/>
        </w:rPr>
      </w:pPr>
      <w:r w:rsidRPr="006177E4">
        <w:rPr>
          <w:lang w:eastAsia="es-CO"/>
        </w:rPr>
        <w:t xml:space="preserve">Desde una perspectiva fiscal, </w:t>
      </w:r>
      <w:r w:rsidR="007125B3" w:rsidRPr="006177E4">
        <w:rPr>
          <w:lang w:eastAsia="es-CO"/>
        </w:rPr>
        <w:t xml:space="preserve">se evidencia </w:t>
      </w:r>
      <w:r w:rsidRPr="006177E4">
        <w:rPr>
          <w:lang w:eastAsia="es-CO"/>
        </w:rPr>
        <w:t xml:space="preserve">afectación directa al flujo de recursos del Estado. La retención en la fuente, concebida como un mecanismo de recaudo anticipado, pierde su eficacia cuando las declaraciones se presentan sin pago, generando un desfase temporal en el ingreso de recursos públicos. Este contradice los postulados de la Hacienda Pública, según los cuales el sistema tributario debe asegurar la disponibilidad oportuna de ingresos para financiar el gasto. Sin embargo, </w:t>
      </w:r>
      <w:r w:rsidR="007125B3" w:rsidRPr="006177E4">
        <w:rPr>
          <w:lang w:eastAsia="es-CO"/>
        </w:rPr>
        <w:t>se</w:t>
      </w:r>
      <w:r w:rsidRPr="006177E4">
        <w:rPr>
          <w:lang w:eastAsia="es-CO"/>
        </w:rPr>
        <w:t xml:space="preserve"> evidencia que la ineficacia produce el efecto contrario, al retrasar el recaudo y aumentar la carga operativa del sistema.</w:t>
      </w:r>
      <w:r w:rsidR="00092B6B" w:rsidRPr="006177E4">
        <w:rPr>
          <w:lang w:eastAsia="es-CO"/>
        </w:rPr>
        <w:t xml:space="preserve"> </w:t>
      </w:r>
      <w:r w:rsidR="007125B3" w:rsidRPr="006177E4">
        <w:rPr>
          <w:lang w:eastAsia="es-CO"/>
        </w:rPr>
        <w:t>Por otro lado, genera una carga fiscal para el contribuyente con cobro de intereses y sanciones</w:t>
      </w:r>
      <w:r w:rsidR="00092B6B" w:rsidRPr="006177E4">
        <w:rPr>
          <w:lang w:eastAsia="es-CO"/>
        </w:rPr>
        <w:t>.</w:t>
      </w:r>
    </w:p>
    <w:p w14:paraId="3806E58F" w14:textId="77777777" w:rsidR="00F01079" w:rsidRDefault="00EB0661" w:rsidP="00674D57">
      <w:pPr>
        <w:pStyle w:val="PrrAPA"/>
        <w:rPr>
          <w:lang w:eastAsia="es-CO"/>
        </w:rPr>
      </w:pPr>
      <w:r w:rsidRPr="006177E4">
        <w:rPr>
          <w:lang w:eastAsia="es-CO"/>
        </w:rPr>
        <w:t>En el ámbito operativo, los resultados muestran una sobrecarga institucional que impacta negativamente la eficiencia administrativa. La intervención de múltiples dependencias fiscalización, cobranzas y jurídica en la gestión de una misma obligación genera duplicidad de procesos, prolongación de tiempos y aumento de costos administrativos. Este fenómeno es consistente con lo señalado en la literatura sobre eficiencia tributaria, donde se advierte que los sistemas complejos y fragmentados tienden a ser menos eficientes y más costosos de administrar (Mendoza</w:t>
      </w:r>
      <w:r w:rsidR="00F01079">
        <w:rPr>
          <w:lang w:eastAsia="es-CO"/>
        </w:rPr>
        <w:t xml:space="preserve"> </w:t>
      </w:r>
      <w:r w:rsidRPr="006177E4">
        <w:rPr>
          <w:lang w:eastAsia="es-CO"/>
        </w:rPr>
        <w:t>et al., 2022). En lugar de optimizar el uso de los recursos institucionales, la ineficacia contribuye a su dispersión, reduciendo la capacidad del Estado para ejercer un control efectivo sobre otras formas de incumplimiento, como la evasión fiscal.</w:t>
      </w:r>
    </w:p>
    <w:p w14:paraId="6B66F550" w14:textId="77777777" w:rsidR="00F01079" w:rsidRDefault="00EB0661" w:rsidP="00674D57">
      <w:pPr>
        <w:pStyle w:val="PrrAPA"/>
        <w:rPr>
          <w:lang w:eastAsia="es-CO"/>
        </w:rPr>
      </w:pPr>
      <w:r w:rsidRPr="006177E4">
        <w:rPr>
          <w:lang w:eastAsia="es-CO"/>
        </w:rPr>
        <w:t>En conjunto, estas consecuencias permiten afirmar que la ineficacia de las declaraciones de retención en la fuente genera una dinámica de ineficiencia acumulativa, en la cual los efectos jurídicos, fiscales y operativos se refuerzan negativamente. Lo que inicia como un incumplimiento en el pago se transforma en un proceso complejo que involucra múltiples actuaciones, mayores costos y resultados inciertos en términos de recaudo.</w:t>
      </w:r>
    </w:p>
    <w:p w14:paraId="73A0ECFE" w14:textId="7D7E2539" w:rsidR="00EB0661" w:rsidRPr="006177E4" w:rsidRDefault="00EB0661" w:rsidP="00674D57">
      <w:pPr>
        <w:pStyle w:val="PrrAPA"/>
        <w:rPr>
          <w:lang w:eastAsia="es-CO"/>
        </w:rPr>
      </w:pPr>
      <w:r w:rsidRPr="006177E4">
        <w:rPr>
          <w:lang w:eastAsia="es-CO"/>
        </w:rPr>
        <w:t xml:space="preserve">Desde una perspectiva integral, los resultados evidencian una desconexión entre el diseño normativo de la figura y los principios que orientan la Hacienda Pública y la eficiencia tributaria. </w:t>
      </w:r>
      <w:r w:rsidRPr="006177E4">
        <w:rPr>
          <w:lang w:eastAsia="es-CO"/>
        </w:rPr>
        <w:lastRenderedPageBreak/>
        <w:t>En lugar de facilitar el cumplimiento y garantizar el ingreso oportuno de recursos, la ineficacia introduce barreras que dificultan la gestión y afectan la racionalidad del sistema. En este sentido, se hace necesario replantear el enfoque normativo y administrativo hacia modelos que prioricen la efectividad del recaudo, la simplificación de los procedimientos y la coherencia institucional, en línea con los principios de eficiencia, equidad y sostenibilidad fiscal.</w:t>
      </w:r>
    </w:p>
    <w:p w14:paraId="7C600965" w14:textId="62FA6755" w:rsidR="00B8196F" w:rsidRPr="006177E4" w:rsidRDefault="00B8196F" w:rsidP="00263B16">
      <w:pPr>
        <w:spacing w:line="480" w:lineRule="auto"/>
        <w:ind w:firstLine="708"/>
        <w:jc w:val="left"/>
        <w:rPr>
          <w:rFonts w:eastAsia="Times New Roman" w:cs="Times New Roman"/>
          <w:szCs w:val="24"/>
          <w:lang w:eastAsia="es-CO"/>
        </w:rPr>
      </w:pPr>
    </w:p>
    <w:p w14:paraId="7E68DC05" w14:textId="72C9098F" w:rsidR="00D40CA7" w:rsidRPr="00F01079" w:rsidRDefault="00D40CA7" w:rsidP="00263B16">
      <w:pPr>
        <w:pStyle w:val="Ttulo2"/>
      </w:pPr>
      <w:bookmarkStart w:id="187" w:name="_Toc228250822"/>
      <w:bookmarkStart w:id="188" w:name="_Toc229077688"/>
      <w:r w:rsidRPr="00F01079">
        <w:t>Objetivo C: problemáticas asociadas a la ineficacia de las declaraciones de retención en la fuente</w:t>
      </w:r>
      <w:bookmarkEnd w:id="187"/>
      <w:bookmarkEnd w:id="188"/>
      <w:r w:rsidRPr="00F01079">
        <w:t xml:space="preserve"> </w:t>
      </w:r>
    </w:p>
    <w:p w14:paraId="16892D90" w14:textId="77777777" w:rsidR="00F01079" w:rsidRDefault="00365FBA" w:rsidP="00674D57">
      <w:pPr>
        <w:pStyle w:val="PrrAPA"/>
        <w:rPr>
          <w:rFonts w:eastAsia="Times New Roman"/>
          <w:lang w:eastAsia="es-CO"/>
        </w:rPr>
      </w:pPr>
      <w:r w:rsidRPr="006177E4">
        <w:rPr>
          <w:lang w:val="es-ES"/>
        </w:rPr>
        <w:t xml:space="preserve">Una vez analizadas las causas y los efectos de las declaraciones de retención en la fuente ineficaces, </w:t>
      </w:r>
      <w:r w:rsidR="00A35593" w:rsidRPr="006177E4">
        <w:rPr>
          <w:lang w:val="es-ES"/>
        </w:rPr>
        <w:t xml:space="preserve">se establecen las problemáticas de la </w:t>
      </w:r>
      <w:r w:rsidR="00B8196F" w:rsidRPr="006177E4">
        <w:rPr>
          <w:rFonts w:eastAsia="Times New Roman"/>
          <w:lang w:eastAsia="es-CO"/>
        </w:rPr>
        <w:t>ineficacia en las declaraciones de retención en la fuente</w:t>
      </w:r>
      <w:r w:rsidR="00A35593" w:rsidRPr="006177E4">
        <w:rPr>
          <w:rFonts w:eastAsia="Times New Roman"/>
          <w:lang w:eastAsia="es-CO"/>
        </w:rPr>
        <w:t>, partiendo del análisis documental contrastado con las respuestas de los expertos a las entrevistas.</w:t>
      </w:r>
    </w:p>
    <w:p w14:paraId="67F27CCE" w14:textId="664C41E7" w:rsidR="00B85D60" w:rsidRDefault="00B85D60" w:rsidP="00674D57">
      <w:pPr>
        <w:pStyle w:val="PrrAPA"/>
        <w:rPr>
          <w:rFonts w:eastAsia="Times New Roman"/>
          <w:lang w:eastAsia="es-CO"/>
        </w:rPr>
      </w:pPr>
      <w:r w:rsidRPr="006177E4">
        <w:rPr>
          <w:rFonts w:eastAsia="Times New Roman"/>
          <w:lang w:eastAsia="es-CO"/>
        </w:rPr>
        <w:t>El análisis de las problemáticas asociadas a la ineficacia de las declaraciones de retención en la fuente permite evidenciar que esta figura no solo responde a fallas en el cumplimiento individual del contribuyente, sino que revela tensiones estructurales entre el diseño normativo, la gestión administrativa y la naturaleza misma de la obligación tributaria.</w:t>
      </w:r>
    </w:p>
    <w:p w14:paraId="442B92C6" w14:textId="77777777" w:rsidR="00F01079" w:rsidRPr="006177E4" w:rsidRDefault="00F01079" w:rsidP="00263B16">
      <w:pPr>
        <w:spacing w:line="480" w:lineRule="auto"/>
        <w:rPr>
          <w:rFonts w:eastAsia="Times New Roman" w:cs="Times New Roman"/>
          <w:szCs w:val="24"/>
          <w:lang w:eastAsia="es-CO"/>
        </w:rPr>
      </w:pPr>
    </w:p>
    <w:p w14:paraId="5CAACA5E" w14:textId="77777777" w:rsidR="00B85D60" w:rsidRPr="00F01079" w:rsidRDefault="00B85D60" w:rsidP="00263B16">
      <w:pPr>
        <w:pStyle w:val="Ttulo3"/>
      </w:pPr>
      <w:bookmarkStart w:id="189" w:name="_Toc228250823"/>
      <w:bookmarkStart w:id="190" w:name="_Toc229077689"/>
      <w:r w:rsidRPr="00F01079">
        <w:t>Atributos teóricos que explican las problemáticas de las retenciones ineficaces</w:t>
      </w:r>
      <w:bookmarkEnd w:id="189"/>
      <w:bookmarkEnd w:id="190"/>
    </w:p>
    <w:p w14:paraId="06625D9C" w14:textId="77777777" w:rsidR="00F01079" w:rsidRDefault="00B85D60" w:rsidP="00674D57">
      <w:pPr>
        <w:pStyle w:val="PrrAPA"/>
        <w:rPr>
          <w:lang w:eastAsia="es-CO"/>
        </w:rPr>
      </w:pPr>
      <w:r w:rsidRPr="006177E4">
        <w:rPr>
          <w:lang w:eastAsia="es-CO"/>
        </w:rPr>
        <w:t>Desde la perspectiva de la teoría de la obligación tributaria, se parte de la distinción entre el deber formal de declarar y el deber sustancial de pagar las obligaciones tributarias, lo cual, aunque jurídicamente diferenciables, deben operar de manera armónica dentro del sistema fiscal. Sin embargo, los resultados obtenidos muestran que la figura de la ineficacia rompe esta coherencia, al desconocer los efectos de una declaración presentada por el solo hecho de no estar acompañada del pago total.</w:t>
      </w:r>
    </w:p>
    <w:p w14:paraId="17D34DF1" w14:textId="77777777" w:rsidR="00F01079" w:rsidRDefault="00B85D60" w:rsidP="00674D57">
      <w:pPr>
        <w:pStyle w:val="PrrAPA"/>
        <w:rPr>
          <w:lang w:eastAsia="es-CO"/>
        </w:rPr>
      </w:pPr>
      <w:r w:rsidRPr="006177E4">
        <w:rPr>
          <w:lang w:eastAsia="es-CO"/>
        </w:rPr>
        <w:t xml:space="preserve">En esta misma línea, los aportes de los docentes </w:t>
      </w:r>
      <w:proofErr w:type="gramStart"/>
      <w:r w:rsidRPr="006177E4">
        <w:rPr>
          <w:lang w:eastAsia="es-CO"/>
        </w:rPr>
        <w:t>universitarios,</w:t>
      </w:r>
      <w:proofErr w:type="gramEnd"/>
      <w:r w:rsidRPr="006177E4">
        <w:rPr>
          <w:lang w:eastAsia="es-CO"/>
        </w:rPr>
        <w:t xml:space="preserve"> permiten profundizar en la dimensión conceptual del problema. Se evidencia que la retención en la fuente, en su esencia, es un mecanismo de recaudo anticipado que convierte al agente retenedor en un intermediario del Estado. No obstante, la sanción de ineficacia, lejos de fortalecer este rol, introduce distorsiones que afectan su finalidad</w:t>
      </w:r>
    </w:p>
    <w:p w14:paraId="2FFF9DFE" w14:textId="77777777" w:rsidR="00F01079" w:rsidRDefault="00B85D60" w:rsidP="00674D57">
      <w:pPr>
        <w:pStyle w:val="PrrAPA"/>
        <w:rPr>
          <w:lang w:eastAsia="es-CO"/>
        </w:rPr>
      </w:pPr>
      <w:r w:rsidRPr="006177E4">
        <w:rPr>
          <w:lang w:eastAsia="es-CO"/>
        </w:rPr>
        <w:lastRenderedPageBreak/>
        <w:t xml:space="preserve">Desde la teoría de la eficiencia tributaria, estas problemáticas adquieren una dimensión aún más crítica. Un sistema tributario eficiente debe garantizar el recaudo oportuno, minimizar los costos de administración y reducir los incentivos al incumplimiento. Sin embargo, las entrevistas evidencian que la ineficacia genera precisamente el efecto contrario. En el ámbito operativo, la intervención sucesiva de las áreas de cobranzas, fiscalización y jurídica para gestionar una misma obligación crea una estructura administrativa fragmentada y redundante. </w:t>
      </w:r>
    </w:p>
    <w:p w14:paraId="006060FD" w14:textId="77777777" w:rsidR="00F01079" w:rsidRDefault="00B85D60" w:rsidP="00674D57">
      <w:pPr>
        <w:pStyle w:val="PrrAPA"/>
        <w:rPr>
          <w:lang w:eastAsia="es-CO"/>
        </w:rPr>
      </w:pPr>
      <w:r w:rsidRPr="006177E4">
        <w:rPr>
          <w:lang w:eastAsia="es-CO"/>
        </w:rPr>
        <w:t>Desde una perspectiva integral, estos resultados evidencian que la figura de la ineficacia no logra armonizar los principios de la obligación tributaria con los objetivos de la eficiencia fiscal. Por el contrario, introduce una ruptura entre el reconocimiento de la obligación y su cumplimiento efectivo, generando un sistema más complejo, costoso y menos eficiente. En este sentido, la discusión no solo permite identificar problemáticas, sino que plantea la necesidad de replantear el enfoque normativo y administrativo hacia modelos que prioricen la efectividad del recaudo, la simplicidad procedimental y la coherencia institucional.</w:t>
      </w:r>
    </w:p>
    <w:p w14:paraId="5BEC7EA4" w14:textId="77777777" w:rsidR="00F01079" w:rsidRDefault="006810E9" w:rsidP="00674D57">
      <w:pPr>
        <w:pStyle w:val="PrrAPA"/>
      </w:pPr>
      <w:r w:rsidRPr="006177E4">
        <w:t>En síntesis, las problemáticas asociadas a la ineficacia evidencian una desconexión entre el precepto normativo y la realidad operativa del sistema tributario colombiano. La coexistencia de incoherencias jurídicas, ineficiencias administrativas</w:t>
      </w:r>
      <w:r w:rsidR="00F54367" w:rsidRPr="006177E4">
        <w:t xml:space="preserve"> </w:t>
      </w:r>
      <w:r w:rsidRPr="006177E4">
        <w:t>y debilidades en el control interno configura un escenario en el que el sistema pierde efectividad y coherencia.</w:t>
      </w:r>
    </w:p>
    <w:p w14:paraId="68A9603F" w14:textId="0F80D15C" w:rsidR="006810E9" w:rsidRPr="00F01079" w:rsidRDefault="006810E9" w:rsidP="00674D57">
      <w:pPr>
        <w:pStyle w:val="PrrAPA"/>
        <w:rPr>
          <w:lang w:eastAsia="es-CO"/>
        </w:rPr>
      </w:pPr>
      <w:r w:rsidRPr="006177E4">
        <w:t>Este resultado permite afirmar que la ineficacia no solo es una figura jurídica, sino un reflejo de las limitaciones estructurales del sistema tributario, lo que plantea la necesidad de replantear su diseño y aplicación en función de los principios de eficiencia, simplicidad y efectividad del recaudo.</w:t>
      </w:r>
    </w:p>
    <w:p w14:paraId="17D707C9" w14:textId="77777777" w:rsidR="004E108D" w:rsidRPr="006177E4" w:rsidRDefault="004E108D" w:rsidP="00263B16">
      <w:pPr>
        <w:spacing w:line="480" w:lineRule="auto"/>
        <w:rPr>
          <w:rFonts w:eastAsia="Times New Roman" w:cs="Times New Roman"/>
          <w:szCs w:val="24"/>
          <w:lang w:eastAsia="es-CO"/>
        </w:rPr>
      </w:pPr>
    </w:p>
    <w:p w14:paraId="51602015" w14:textId="205BE717" w:rsidR="00D26571" w:rsidRPr="00F01079" w:rsidRDefault="004E108D" w:rsidP="00263B16">
      <w:pPr>
        <w:pStyle w:val="Ttulo3"/>
      </w:pPr>
      <w:bookmarkStart w:id="191" w:name="_Toc228250824"/>
      <w:bookmarkStart w:id="192" w:name="_Toc229077690"/>
      <w:r w:rsidRPr="00F01079">
        <w:t>Resultados problemáticos identificadas</w:t>
      </w:r>
      <w:bookmarkEnd w:id="191"/>
      <w:bookmarkEnd w:id="192"/>
    </w:p>
    <w:p w14:paraId="585C69A1" w14:textId="77777777" w:rsidR="006810E9" w:rsidRPr="006177E4" w:rsidRDefault="006810E9" w:rsidP="00674D57">
      <w:pPr>
        <w:pStyle w:val="PrrAPA"/>
        <w:rPr>
          <w:lang w:eastAsia="es-CO"/>
        </w:rPr>
      </w:pPr>
      <w:r w:rsidRPr="006177E4">
        <w:rPr>
          <w:lang w:eastAsia="es-CO"/>
        </w:rPr>
        <w:t>En la siguiente figura se muestra las problemáticas de la ineficacia s de las declaraciones de retención en fuente en renta; observadas en la seccional de impuestos y aduanas de Ibagué, desde el 2014 hasta el 2024.</w:t>
      </w:r>
    </w:p>
    <w:p w14:paraId="38E9CD5E" w14:textId="5562AC1E" w:rsidR="004E108D" w:rsidRPr="006177E4" w:rsidRDefault="004E108D" w:rsidP="00263B16">
      <w:pPr>
        <w:spacing w:line="480" w:lineRule="auto"/>
        <w:ind w:firstLine="576"/>
        <w:rPr>
          <w:rFonts w:eastAsia="Times New Roman" w:cs="Times New Roman"/>
          <w:szCs w:val="24"/>
          <w:lang w:eastAsia="es-CO"/>
        </w:rPr>
      </w:pPr>
    </w:p>
    <w:p w14:paraId="49358396" w14:textId="77777777" w:rsidR="00674D57" w:rsidRDefault="00674D57">
      <w:pPr>
        <w:spacing w:after="160" w:line="259" w:lineRule="auto"/>
        <w:jc w:val="left"/>
        <w:rPr>
          <w:b/>
          <w:bCs/>
          <w:szCs w:val="18"/>
        </w:rPr>
      </w:pPr>
      <w:bookmarkStart w:id="193" w:name="_Toc229077727"/>
      <w:r>
        <w:rPr>
          <w:b/>
          <w:bCs/>
          <w:i/>
          <w:iCs/>
        </w:rPr>
        <w:br w:type="page"/>
      </w:r>
    </w:p>
    <w:p w14:paraId="65DD7E65" w14:textId="4A9174AA" w:rsidR="00106230" w:rsidRDefault="00F01079" w:rsidP="00263B16">
      <w:pPr>
        <w:pStyle w:val="Descripcin"/>
        <w:spacing w:after="0" w:line="480" w:lineRule="auto"/>
        <w:rPr>
          <w:rFonts w:cs="Times New Roman"/>
          <w:b/>
          <w:bCs/>
          <w:i w:val="0"/>
          <w:iCs w:val="0"/>
          <w:szCs w:val="24"/>
        </w:rPr>
      </w:pPr>
      <w:r w:rsidRPr="00F01079">
        <w:rPr>
          <w:b/>
          <w:bCs/>
          <w:i w:val="0"/>
          <w:iCs w:val="0"/>
        </w:rPr>
        <w:lastRenderedPageBreak/>
        <w:t xml:space="preserve">Figura  </w:t>
      </w:r>
      <w:r w:rsidRPr="00F01079">
        <w:rPr>
          <w:b/>
          <w:bCs/>
          <w:i w:val="0"/>
          <w:iCs w:val="0"/>
        </w:rPr>
        <w:fldChar w:fldCharType="begin"/>
      </w:r>
      <w:r w:rsidRPr="00F01079">
        <w:rPr>
          <w:b/>
          <w:bCs/>
          <w:i w:val="0"/>
          <w:iCs w:val="0"/>
        </w:rPr>
        <w:instrText xml:space="preserve"> SEQ Figura_ \* ARABIC </w:instrText>
      </w:r>
      <w:r w:rsidRPr="00F01079">
        <w:rPr>
          <w:b/>
          <w:bCs/>
          <w:i w:val="0"/>
          <w:iCs w:val="0"/>
        </w:rPr>
        <w:fldChar w:fldCharType="separate"/>
      </w:r>
      <w:r w:rsidRPr="00F01079">
        <w:rPr>
          <w:b/>
          <w:bCs/>
          <w:i w:val="0"/>
          <w:iCs w:val="0"/>
          <w:noProof/>
        </w:rPr>
        <w:t>18</w:t>
      </w:r>
      <w:r w:rsidRPr="00F01079">
        <w:rPr>
          <w:b/>
          <w:bCs/>
          <w:i w:val="0"/>
          <w:iCs w:val="0"/>
        </w:rPr>
        <w:fldChar w:fldCharType="end"/>
      </w:r>
      <w:bookmarkStart w:id="194" w:name="_Hlk227972438"/>
      <w:r>
        <w:rPr>
          <w:rFonts w:cs="Times New Roman"/>
          <w:b/>
          <w:bCs/>
          <w:i w:val="0"/>
          <w:iCs w:val="0"/>
          <w:szCs w:val="24"/>
        </w:rPr>
        <w:t xml:space="preserve"> </w:t>
      </w:r>
    </w:p>
    <w:p w14:paraId="2FEFEEB6" w14:textId="48E0F664" w:rsidR="00D26571" w:rsidRPr="00F01079" w:rsidRDefault="00106230" w:rsidP="00263B16">
      <w:pPr>
        <w:pStyle w:val="Descripcin"/>
        <w:spacing w:after="0" w:line="480" w:lineRule="auto"/>
        <w:rPr>
          <w:rFonts w:cs="Times New Roman"/>
          <w:b/>
          <w:bCs/>
          <w:i w:val="0"/>
          <w:iCs w:val="0"/>
          <w:szCs w:val="24"/>
        </w:rPr>
      </w:pPr>
      <w:r w:rsidRPr="006177E4">
        <w:rPr>
          <w:rFonts w:eastAsia="Times New Roman" w:cs="Times New Roman"/>
          <w:noProof/>
          <w:szCs w:val="24"/>
          <w:lang w:eastAsia="es-CO"/>
        </w:rPr>
        <w:drawing>
          <wp:anchor distT="0" distB="0" distL="114300" distR="114300" simplePos="0" relativeHeight="251658240" behindDoc="0" locked="0" layoutInCell="1" allowOverlap="1" wp14:anchorId="6E68F8C1" wp14:editId="2193D7DE">
            <wp:simplePos x="0" y="0"/>
            <wp:positionH relativeFrom="margin">
              <wp:posOffset>-42545</wp:posOffset>
            </wp:positionH>
            <wp:positionV relativeFrom="paragraph">
              <wp:posOffset>237539</wp:posOffset>
            </wp:positionV>
            <wp:extent cx="5866130" cy="3161030"/>
            <wp:effectExtent l="0" t="0" r="1270" b="127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866130" cy="3161030"/>
                    </a:xfrm>
                    <a:prstGeom prst="rect">
                      <a:avLst/>
                    </a:prstGeom>
                  </pic:spPr>
                </pic:pic>
              </a:graphicData>
            </a:graphic>
            <wp14:sizeRelH relativeFrom="page">
              <wp14:pctWidth>0</wp14:pctWidth>
            </wp14:sizeRelH>
            <wp14:sizeRelV relativeFrom="page">
              <wp14:pctHeight>0</wp14:pctHeight>
            </wp14:sizeRelV>
          </wp:anchor>
        </w:drawing>
      </w:r>
      <w:r w:rsidR="00D26571" w:rsidRPr="006177E4">
        <w:rPr>
          <w:rFonts w:eastAsia="Times New Roman" w:cs="Times New Roman"/>
          <w:szCs w:val="24"/>
          <w:lang w:eastAsia="es-CO"/>
        </w:rPr>
        <w:t>Problemáticas asociadas a la ineficacia</w:t>
      </w:r>
      <w:r w:rsidR="00BA3790">
        <w:rPr>
          <w:rFonts w:eastAsia="Times New Roman" w:cs="Times New Roman"/>
          <w:szCs w:val="24"/>
          <w:lang w:eastAsia="es-CO"/>
        </w:rPr>
        <w:t>.</w:t>
      </w:r>
      <w:bookmarkEnd w:id="193"/>
    </w:p>
    <w:bookmarkEnd w:id="194"/>
    <w:p w14:paraId="479B2483" w14:textId="77777777" w:rsidR="00106230" w:rsidRPr="00E27C5F" w:rsidRDefault="00106230" w:rsidP="00263B16">
      <w:pPr>
        <w:spacing w:line="480" w:lineRule="auto"/>
        <w:jc w:val="left"/>
        <w:rPr>
          <w:rFonts w:eastAsia="Times New Roman" w:cs="Times New Roman"/>
          <w:i/>
          <w:iCs/>
          <w:szCs w:val="24"/>
          <w:lang w:eastAsia="es-CO"/>
        </w:rPr>
      </w:pPr>
    </w:p>
    <w:p w14:paraId="4AA09E4B" w14:textId="2E79F5E7" w:rsidR="00CE39F4" w:rsidRPr="006177E4" w:rsidRDefault="00F01079" w:rsidP="00263B16">
      <w:pPr>
        <w:spacing w:line="480" w:lineRule="auto"/>
        <w:jc w:val="left"/>
        <w:rPr>
          <w:rFonts w:cs="Times New Roman"/>
          <w:bCs/>
          <w:szCs w:val="24"/>
        </w:rPr>
      </w:pPr>
      <w:r w:rsidRPr="00E27C5F">
        <w:rPr>
          <w:rFonts w:eastAsia="Times New Roman" w:cs="Times New Roman"/>
          <w:i/>
          <w:iCs/>
          <w:szCs w:val="24"/>
          <w:lang w:eastAsia="es-CO"/>
        </w:rPr>
        <w:t>Nota</w:t>
      </w:r>
      <w:r w:rsidRPr="00E27C5F">
        <w:rPr>
          <w:rFonts w:eastAsia="Times New Roman" w:cs="Times New Roman"/>
          <w:szCs w:val="24"/>
          <w:lang w:eastAsia="es-CO"/>
        </w:rPr>
        <w:t xml:space="preserve">. </w:t>
      </w:r>
      <w:r w:rsidRPr="00E27C5F">
        <w:rPr>
          <w:rFonts w:eastAsia="Times New Roman" w:cs="Times New Roman"/>
          <w:szCs w:val="24"/>
        </w:rPr>
        <w:t>E</w:t>
      </w:r>
      <w:r w:rsidR="00CE39F4" w:rsidRPr="00E27C5F">
        <w:rPr>
          <w:rFonts w:cs="Times New Roman"/>
          <w:bCs/>
          <w:szCs w:val="24"/>
        </w:rPr>
        <w:t>laboración propia</w:t>
      </w:r>
      <w:r w:rsidR="00106230">
        <w:rPr>
          <w:rFonts w:cs="Times New Roman"/>
          <w:bCs/>
          <w:szCs w:val="24"/>
        </w:rPr>
        <w:t>.</w:t>
      </w:r>
      <w:r w:rsidR="00CE39F4" w:rsidRPr="006177E4">
        <w:rPr>
          <w:rFonts w:cs="Times New Roman"/>
          <w:bCs/>
          <w:szCs w:val="24"/>
        </w:rPr>
        <w:t xml:space="preserve"> (Acero y López, 2026) apoyo IA.</w:t>
      </w:r>
    </w:p>
    <w:p w14:paraId="62A31216" w14:textId="24F9C88F" w:rsidR="00D26571" w:rsidRPr="006177E4" w:rsidRDefault="00D26571" w:rsidP="00263B16">
      <w:pPr>
        <w:spacing w:line="480" w:lineRule="auto"/>
        <w:ind w:firstLine="576"/>
        <w:rPr>
          <w:rFonts w:eastAsia="Times New Roman" w:cs="Times New Roman"/>
          <w:szCs w:val="24"/>
          <w:lang w:eastAsia="es-CO"/>
        </w:rPr>
      </w:pPr>
    </w:p>
    <w:p w14:paraId="4227AC6B" w14:textId="643F1B46" w:rsidR="00A35593" w:rsidRPr="00F01079" w:rsidRDefault="00C7364D" w:rsidP="00263B16">
      <w:pPr>
        <w:pStyle w:val="Ttulo4"/>
      </w:pPr>
      <w:bookmarkStart w:id="195" w:name="_Toc228250825"/>
      <w:bookmarkStart w:id="196" w:name="_Toc229077691"/>
      <w:bookmarkStart w:id="197" w:name="_Hlk227968457"/>
      <w:r w:rsidRPr="00F01079">
        <w:t>Problemática liquidez y cultura tributaria agente retenedor</w:t>
      </w:r>
      <w:bookmarkEnd w:id="195"/>
      <w:bookmarkEnd w:id="196"/>
      <w:r w:rsidR="00106230">
        <w:t>.</w:t>
      </w:r>
      <w:r w:rsidRPr="00F01079">
        <w:tab/>
      </w:r>
      <w:bookmarkEnd w:id="197"/>
      <w:r w:rsidRPr="00F01079">
        <w:t xml:space="preserve"> </w:t>
      </w:r>
    </w:p>
    <w:p w14:paraId="643DDB91" w14:textId="77777777" w:rsidR="00F01079" w:rsidRDefault="00C7364D" w:rsidP="00674D57">
      <w:pPr>
        <w:pStyle w:val="PrrAPA"/>
        <w:rPr>
          <w:lang w:eastAsia="es-CO"/>
        </w:rPr>
      </w:pPr>
      <w:r w:rsidRPr="006177E4">
        <w:rPr>
          <w:lang w:eastAsia="es-CO"/>
        </w:rPr>
        <w:t>Una de las principales causas identificadas está relacionada con la falta de liquidez para realizar el respectivo pago, reiterada en las entrevistas realizadas a los expertos.</w:t>
      </w:r>
    </w:p>
    <w:p w14:paraId="5E88FF57" w14:textId="77777777" w:rsidR="00F01079" w:rsidRDefault="00C7364D" w:rsidP="00674D57">
      <w:pPr>
        <w:pStyle w:val="PrrAPA"/>
        <w:rPr>
          <w:lang w:eastAsia="es-CO"/>
        </w:rPr>
      </w:pPr>
      <w:r w:rsidRPr="006177E4">
        <w:rPr>
          <w:lang w:eastAsia="es-CO"/>
        </w:rPr>
        <w:t>No obstante, de acuerdo con funcionarios DIAN como contadores, la falta de liquidez no constituye una justificación válida para presentar la declaración sin pago, teniendo en cuenta que los recursos retenidos no son del contribuyente y este como agente retenedor ejerce una función pública en el recaudo y de los impuestos.</w:t>
      </w:r>
    </w:p>
    <w:p w14:paraId="6B845C68" w14:textId="77777777" w:rsidR="00F01079" w:rsidRDefault="00C7364D" w:rsidP="00674D57">
      <w:pPr>
        <w:pStyle w:val="PrrAPA"/>
        <w:rPr>
          <w:lang w:eastAsia="es-CO"/>
        </w:rPr>
      </w:pPr>
      <w:r w:rsidRPr="006177E4">
        <w:rPr>
          <w:lang w:eastAsia="es-CO"/>
        </w:rPr>
        <w:t xml:space="preserve">De igual manera, en la jurisprudencia se ha mencionado la práctica recurrente de hacer uso de los recursos como propios para financiar la propia actividad comercial. En las entrevistas, los expertos revelan además problemas de gestión financiera y disciplina tributaria en las organizaciones. Desde su perspectiva profesional, evidencian una baja cultura tributaria y desconocimiento del concepto de ineficacia, especialmente en pequeñas y medianas empresas, donde la gestión fiscal suele delegarse completamente en los contadores. Esto genera </w:t>
      </w:r>
      <w:r w:rsidRPr="006177E4">
        <w:rPr>
          <w:lang w:eastAsia="es-CO"/>
        </w:rPr>
        <w:lastRenderedPageBreak/>
        <w:t>desconocimiento, interpretaciones erróneas sobre las consecuencias del incumplimiento y contribuye a la reincidencia.</w:t>
      </w:r>
    </w:p>
    <w:p w14:paraId="6E63D46A" w14:textId="77777777" w:rsidR="00F01079" w:rsidRDefault="00570B5E" w:rsidP="00674D57">
      <w:pPr>
        <w:pStyle w:val="PrrAPA"/>
        <w:rPr>
          <w:lang w:eastAsia="es-CO"/>
        </w:rPr>
      </w:pPr>
      <w:r w:rsidRPr="006177E4">
        <w:t>Así mismo, los valores cancelados por concepto de sanciones e intereses no son deducibles en el impuesto de renta, pero los contribuyentes son ajenos a este hecho y pueden incluir dichos gastos incurriendo en errores y en riesgos frente a la administración tributaria.</w:t>
      </w:r>
    </w:p>
    <w:p w14:paraId="2A89E671" w14:textId="77777777" w:rsidR="00F01079" w:rsidRDefault="003B200D" w:rsidP="00674D57">
      <w:pPr>
        <w:pStyle w:val="PrrAPA"/>
        <w:rPr>
          <w:lang w:eastAsia="es-CO"/>
        </w:rPr>
      </w:pPr>
      <w:r w:rsidRPr="006177E4">
        <w:t>Las entrevistas a revisores fiscales ponen de manifiesto que la ineficacia está asociada a fallas en los sistemas de control interno, tales como la ausencia de alertas tempranas, deficiencias en la segregación de funciones y falta de políticas claras de cumplimiento tributario.</w:t>
      </w:r>
    </w:p>
    <w:p w14:paraId="7EF42EE8" w14:textId="77777777" w:rsidR="00F01079" w:rsidRDefault="003B200D" w:rsidP="00674D57">
      <w:pPr>
        <w:pStyle w:val="PrrAPA"/>
        <w:rPr>
          <w:lang w:eastAsia="es-CO"/>
        </w:rPr>
      </w:pPr>
      <w:r w:rsidRPr="006177E4">
        <w:t>Igualmente, se resalta que estas situaciones incrementan el riesgo de responsabilidad para administradores y representantes legales, e incluso pueden tener implicaciones de carácter penal cuando se trata de retenciones no consignadas.</w:t>
      </w:r>
    </w:p>
    <w:p w14:paraId="69AB94FC" w14:textId="4FDBAF40" w:rsidR="00094833" w:rsidRDefault="00094833" w:rsidP="00674D57">
      <w:pPr>
        <w:pStyle w:val="PrrAPA"/>
        <w:rPr>
          <w:lang w:eastAsia="es-CO"/>
        </w:rPr>
      </w:pPr>
      <w:r w:rsidRPr="006177E4">
        <w:rPr>
          <w:lang w:eastAsia="es-CO"/>
        </w:rPr>
        <w:t xml:space="preserve">Finalmente, la cultura tributaria y la percepción del contribuyente respecto a la obligatoriedad y utilidad de las declaraciones de retención en la fuente influyen en el grado de diligencia para cumplir con esta obligación. La evasión fiscal, motivada por diversas causas, continúan siendo </w:t>
      </w:r>
      <w:r w:rsidR="00F01079" w:rsidRPr="006177E4">
        <w:rPr>
          <w:lang w:eastAsia="es-CO"/>
        </w:rPr>
        <w:t>un reto importante por superar</w:t>
      </w:r>
      <w:r w:rsidRPr="006177E4">
        <w:rPr>
          <w:lang w:eastAsia="es-CO"/>
        </w:rPr>
        <w:t>.</w:t>
      </w:r>
    </w:p>
    <w:p w14:paraId="56CCE98D" w14:textId="77777777" w:rsidR="00F01079" w:rsidRPr="006177E4" w:rsidRDefault="00F01079" w:rsidP="00263B16">
      <w:pPr>
        <w:spacing w:line="480" w:lineRule="auto"/>
        <w:ind w:firstLine="720"/>
        <w:jc w:val="left"/>
        <w:rPr>
          <w:rFonts w:eastAsia="Times New Roman" w:cs="Times New Roman"/>
          <w:szCs w:val="24"/>
          <w:lang w:eastAsia="es-CO"/>
        </w:rPr>
      </w:pPr>
    </w:p>
    <w:p w14:paraId="2DAD2EE7" w14:textId="64062AC3" w:rsidR="00A35593" w:rsidRPr="00F01079" w:rsidRDefault="009A33EE" w:rsidP="00263B16">
      <w:pPr>
        <w:pStyle w:val="Ttulo4"/>
      </w:pPr>
      <w:bookmarkStart w:id="198" w:name="_Toc228250826"/>
      <w:bookmarkStart w:id="199" w:name="_Toc229077692"/>
      <w:bookmarkStart w:id="200" w:name="_Hlk227968466"/>
      <w:r w:rsidRPr="00F01079">
        <w:t xml:space="preserve">Problemáticas derivadas de </w:t>
      </w:r>
      <w:r w:rsidR="00AE6D8C" w:rsidRPr="00F01079">
        <w:t>la interpretación de la norma y su aplicación</w:t>
      </w:r>
      <w:bookmarkEnd w:id="198"/>
      <w:bookmarkEnd w:id="199"/>
      <w:r w:rsidR="00106230">
        <w:t>.</w:t>
      </w:r>
    </w:p>
    <w:bookmarkEnd w:id="200"/>
    <w:p w14:paraId="37735901" w14:textId="77777777" w:rsidR="00F01079" w:rsidRDefault="00F6011A" w:rsidP="00674D57">
      <w:pPr>
        <w:pStyle w:val="PrrAPA"/>
        <w:rPr>
          <w:lang w:eastAsia="es-CO"/>
        </w:rPr>
      </w:pPr>
      <w:r w:rsidRPr="006177E4">
        <w:rPr>
          <w:lang w:eastAsia="es-CO"/>
        </w:rPr>
        <w:t>Con la evolución normativa de la figura</w:t>
      </w:r>
      <w:r w:rsidR="00BC29DA" w:rsidRPr="006177E4">
        <w:rPr>
          <w:lang w:eastAsia="es-CO"/>
        </w:rPr>
        <w:t>, existe la percepción de complejidad normativa,</w:t>
      </w:r>
      <w:r w:rsidR="00F01079">
        <w:rPr>
          <w:lang w:eastAsia="es-CO"/>
        </w:rPr>
        <w:t xml:space="preserve"> l</w:t>
      </w:r>
      <w:r w:rsidR="00BC29DA" w:rsidRPr="006177E4">
        <w:rPr>
          <w:lang w:eastAsia="es-CO"/>
        </w:rPr>
        <w:t>a cual ha</w:t>
      </w:r>
      <w:r w:rsidR="00AE6D8C" w:rsidRPr="006177E4">
        <w:rPr>
          <w:lang w:eastAsia="es-CO"/>
        </w:rPr>
        <w:t xml:space="preserve"> generado confusión entre </w:t>
      </w:r>
      <w:r w:rsidR="00BC29DA" w:rsidRPr="006177E4">
        <w:rPr>
          <w:lang w:eastAsia="es-CO"/>
        </w:rPr>
        <w:t xml:space="preserve">los </w:t>
      </w:r>
      <w:r w:rsidR="00AE6D8C" w:rsidRPr="006177E4">
        <w:rPr>
          <w:lang w:eastAsia="es-CO"/>
        </w:rPr>
        <w:t>agentes retenedores</w:t>
      </w:r>
      <w:r w:rsidR="00BC29DA" w:rsidRPr="006177E4">
        <w:rPr>
          <w:lang w:eastAsia="es-CO"/>
        </w:rPr>
        <w:t xml:space="preserve"> y contadores</w:t>
      </w:r>
      <w:r w:rsidR="00AE6D8C" w:rsidRPr="006177E4">
        <w:rPr>
          <w:lang w:eastAsia="es-CO"/>
        </w:rPr>
        <w:t xml:space="preserve"> respecto a los procesos y criterios para la correcta presentación de las declaraciones. Cambios frecuentes en la legislación tributaria, obligando a una constante actualización que, en muchos casos, no es atendida adecuadamente por los agentes retenedores, lo que desemboca en errores y omisiones.</w:t>
      </w:r>
    </w:p>
    <w:p w14:paraId="6B343188" w14:textId="77777777" w:rsidR="00F01079" w:rsidRDefault="00BC29DA" w:rsidP="00674D57">
      <w:pPr>
        <w:pStyle w:val="PrrAPA"/>
        <w:rPr>
          <w:lang w:eastAsia="es-CO"/>
        </w:rPr>
      </w:pPr>
      <w:r w:rsidRPr="006177E4">
        <w:rPr>
          <w:lang w:eastAsia="es-CO"/>
        </w:rPr>
        <w:t>En la jurisprudencia se encuentran discusiones radicadas ante en contencioso en donde el contribuyente demanda la aplicabilidad de un alivio tributario transitorio, en donde la aplicación de la norma excluye ciertos periodos de retención en la fuente, que puede estar sujeto a la interpretación.</w:t>
      </w:r>
    </w:p>
    <w:p w14:paraId="591A9C4A" w14:textId="77777777" w:rsidR="00F01079" w:rsidRDefault="00486C27" w:rsidP="00674D57">
      <w:pPr>
        <w:pStyle w:val="PrrAPA"/>
        <w:rPr>
          <w:lang w:eastAsia="es-CO"/>
        </w:rPr>
      </w:pPr>
      <w:r w:rsidRPr="006177E4">
        <w:rPr>
          <w:lang w:eastAsia="es-CO"/>
        </w:rPr>
        <w:t xml:space="preserve">Puntualmente las entrevistas señalan las confusiones que genera la figura de la ineficacia, </w:t>
      </w:r>
      <w:r w:rsidR="00AE6D8C" w:rsidRPr="006177E4">
        <w:rPr>
          <w:lang w:eastAsia="es-CO"/>
        </w:rPr>
        <w:t xml:space="preserve">en torno al artículo 580-1 del Estatuto Tributario. Una de las principales problemáticas </w:t>
      </w:r>
      <w:r w:rsidRPr="006177E4">
        <w:rPr>
          <w:lang w:eastAsia="es-CO"/>
        </w:rPr>
        <w:t xml:space="preserve">el doble efecto </w:t>
      </w:r>
      <w:r w:rsidR="00AE6D8C" w:rsidRPr="006177E4">
        <w:rPr>
          <w:lang w:eastAsia="es-CO"/>
        </w:rPr>
        <w:t>de la declaración, ya que, por un lado, se considera que “no produce efectos legales”, pero, por otro, se utiliza como título ejecutivo para efectos de cobro</w:t>
      </w:r>
      <w:r w:rsidRPr="006177E4">
        <w:rPr>
          <w:lang w:eastAsia="es-CO"/>
        </w:rPr>
        <w:t xml:space="preserve">, lo cual puede considerarse una </w:t>
      </w:r>
      <w:r w:rsidRPr="006177E4">
        <w:rPr>
          <w:lang w:eastAsia="es-CO"/>
        </w:rPr>
        <w:lastRenderedPageBreak/>
        <w:t xml:space="preserve">contradicción. De acuerdo con el funcionario experto de la </w:t>
      </w:r>
      <w:r w:rsidR="00AE6D8C" w:rsidRPr="006177E4">
        <w:t>Dirección Jurídica y</w:t>
      </w:r>
      <w:r w:rsidRPr="006177E4">
        <w:t xml:space="preserve"> lo dos docentes, se cuestiona </w:t>
      </w:r>
      <w:r w:rsidR="00AE6D8C" w:rsidRPr="006177E4">
        <w:t>la coherencia de la figura, señalando que no resulta técnicamente consistente que una declaración sea simultáneamente inexistente y exigible, lo que debilita la seguridad jurídica y abre espacios de controversia interpretativa.</w:t>
      </w:r>
    </w:p>
    <w:p w14:paraId="6354316A" w14:textId="77777777" w:rsidR="00F01079" w:rsidRDefault="0012484C" w:rsidP="00674D57">
      <w:pPr>
        <w:pStyle w:val="PrrAPA"/>
        <w:rPr>
          <w:lang w:eastAsia="es-CO"/>
        </w:rPr>
      </w:pPr>
      <w:r w:rsidRPr="006177E4">
        <w:t xml:space="preserve">De lo anterior y a partir las respuestas de los funcionarios de fiscalización y cobranzas, se encuentra una falta de cohesión entre estas dos áreas de la DIAN, en donde los contribuyentes presentan la declaración y cobranzas adelanta el proceso de cobro, pero el realizar el pago del valor de impuesto más los intereses a cobranzas no subsana la ineficacia con fiscalización. </w:t>
      </w:r>
    </w:p>
    <w:p w14:paraId="116688AF" w14:textId="77777777" w:rsidR="00F01079" w:rsidRDefault="0012484C" w:rsidP="00674D57">
      <w:pPr>
        <w:pStyle w:val="PrrAPA"/>
        <w:rPr>
          <w:lang w:eastAsia="es-CO"/>
        </w:rPr>
      </w:pPr>
      <w:r w:rsidRPr="006177E4">
        <w:t xml:space="preserve">Un ejemplo de la falta de coordinación está asociado con las facilidades de pago, en donde el contribuyente puede suscribir facilidades hasta 60 </w:t>
      </w:r>
      <w:r w:rsidR="000341BB" w:rsidRPr="006177E4">
        <w:t>meses, manteniéndose</w:t>
      </w:r>
      <w:r w:rsidRPr="006177E4">
        <w:t xml:space="preserve"> la ineficacia en el tiempo y en este mismo periodo fiscalización puede requerir al contribuyente sin tener en cuenta el plazo acordado para el pago en la facilidad, es decir fiscalización puede exigir subsanar la ineficacia antes del plazo del acuerdo de pago firmado.</w:t>
      </w:r>
    </w:p>
    <w:p w14:paraId="6CFF2FB5" w14:textId="77777777" w:rsidR="00F01079" w:rsidRDefault="00916542" w:rsidP="00674D57">
      <w:pPr>
        <w:pStyle w:val="PrrAPA"/>
        <w:rPr>
          <w:lang w:eastAsia="es-CO"/>
        </w:rPr>
      </w:pPr>
      <w:r w:rsidRPr="006177E4">
        <w:t xml:space="preserve">Derivadas de las respuestas de los expertos, se </w:t>
      </w:r>
      <w:r w:rsidR="00B36FB8" w:rsidRPr="006177E4">
        <w:t>determina que la norma en su configuración y modificaciones normativas promueve la ineficacia en sí misma.</w:t>
      </w:r>
      <w:r w:rsidR="00EF4DFE" w:rsidRPr="006177E4">
        <w:t xml:space="preserve"> De acuerdo con los docentes expertos, se debe eliminar del marco normativo cualquier tipo de excepción a esta regla, y proponen validar únicamente la relacionada con montos declarados y no pagados de hasta 20 UVT, ello facilitaría el control y seguimiento a los casos</w:t>
      </w:r>
      <w:r w:rsidR="00F01079">
        <w:rPr>
          <w:lang w:eastAsia="es-CO"/>
        </w:rPr>
        <w:t>.</w:t>
      </w:r>
    </w:p>
    <w:p w14:paraId="0785641A" w14:textId="78FA8C56" w:rsidR="00094833" w:rsidRPr="006177E4" w:rsidRDefault="0033786D" w:rsidP="00674D57">
      <w:pPr>
        <w:pStyle w:val="PrrAPA"/>
        <w:rPr>
          <w:lang w:eastAsia="es-CO"/>
        </w:rPr>
      </w:pPr>
      <w:r w:rsidRPr="006177E4">
        <w:rPr>
          <w:lang w:eastAsia="es-CO"/>
        </w:rPr>
        <w:t xml:space="preserve">Se concluye que </w:t>
      </w:r>
      <w:r w:rsidR="00AE6D8C" w:rsidRPr="006177E4">
        <w:rPr>
          <w:lang w:eastAsia="es-CO"/>
        </w:rPr>
        <w:t>el plazo de dos meses para efectuar el pago sin que opere la ineficacia, según los entrevistados, puede resultar contraproducente, ya que incentiva la postergación del pago y retrasa el recaudo efectivo</w:t>
      </w:r>
      <w:r w:rsidR="0012484C" w:rsidRPr="006177E4">
        <w:rPr>
          <w:lang w:eastAsia="es-CO"/>
        </w:rPr>
        <w:t xml:space="preserve"> y el con último cambio normativo, la ineficacia de montos inferiores a 10 UVT se declaran como ineficaces al </w:t>
      </w:r>
      <w:r w:rsidR="00F01079" w:rsidRPr="006177E4">
        <w:rPr>
          <w:lang w:eastAsia="es-CO"/>
        </w:rPr>
        <w:t>término</w:t>
      </w:r>
      <w:r w:rsidR="0012484C" w:rsidRPr="006177E4">
        <w:rPr>
          <w:lang w:eastAsia="es-CO"/>
        </w:rPr>
        <w:t xml:space="preserve"> de un año, lo cual</w:t>
      </w:r>
      <w:r w:rsidR="000341BB" w:rsidRPr="006177E4">
        <w:rPr>
          <w:lang w:eastAsia="es-CO"/>
        </w:rPr>
        <w:t xml:space="preserve"> afecta el recaudo a nivel nacional por la no entrega de recursos ya retenidos al estado.</w:t>
      </w:r>
    </w:p>
    <w:p w14:paraId="2CD1DCE2" w14:textId="5BA36EFA" w:rsidR="00D96ED6" w:rsidRPr="00F01079" w:rsidRDefault="00D96ED6" w:rsidP="00263B16">
      <w:pPr>
        <w:pStyle w:val="Ttulo4"/>
      </w:pPr>
      <w:bookmarkStart w:id="201" w:name="_Toc228250827"/>
      <w:bookmarkStart w:id="202" w:name="_Toc229077693"/>
      <w:r w:rsidRPr="00F01079">
        <w:t>Problemáticas jurídicas y constitucionales</w:t>
      </w:r>
      <w:bookmarkEnd w:id="201"/>
      <w:bookmarkEnd w:id="202"/>
      <w:r w:rsidR="00106230">
        <w:t>.</w:t>
      </w:r>
    </w:p>
    <w:p w14:paraId="26FCA108" w14:textId="77777777" w:rsidR="00F913E9" w:rsidRDefault="00D96ED6" w:rsidP="00674D57">
      <w:pPr>
        <w:pStyle w:val="PrrAPA"/>
        <w:rPr>
          <w:rFonts w:eastAsia="Times New Roman"/>
        </w:rPr>
      </w:pPr>
      <w:r w:rsidRPr="006177E4">
        <w:t xml:space="preserve">La </w:t>
      </w:r>
      <w:sdt>
        <w:sdtPr>
          <w:tag w:val="MENDELEY_CITATION_v3_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"/>
          <w:id w:val="-1523712192"/>
          <w:placeholder>
            <w:docPart w:val="DefaultPlaceholder_-1854013440"/>
          </w:placeholder>
        </w:sdtPr>
        <w:sdtEndPr/>
        <w:sdtContent>
          <w:r w:rsidR="009A1775" w:rsidRPr="006177E4">
            <w:rPr>
              <w:rFonts w:eastAsia="Times New Roman"/>
            </w:rPr>
            <w:t xml:space="preserve">Sentencia C-102 </w:t>
          </w:r>
          <w:r w:rsidR="00F913E9">
            <w:rPr>
              <w:rFonts w:eastAsia="Times New Roman"/>
            </w:rPr>
            <w:t>(</w:t>
          </w:r>
          <w:r w:rsidR="009A1775" w:rsidRPr="006177E4">
            <w:rPr>
              <w:rFonts w:eastAsia="Times New Roman"/>
            </w:rPr>
            <w:t>2015)</w:t>
          </w:r>
        </w:sdtContent>
      </w:sdt>
      <w:r w:rsidR="0059406C" w:rsidRPr="006177E4">
        <w:t xml:space="preserve"> aclaró que la ineficacia no constituye en sí una sanción. El que se configure o no como sanción ha sido objeto de discusión y de acuerdo con los docentes experto</w:t>
      </w:r>
      <w:r w:rsidR="00CD4B20" w:rsidRPr="006177E4">
        <w:t>s y el funcionario Jurídico</w:t>
      </w:r>
      <w:r w:rsidR="0059406C" w:rsidRPr="006177E4">
        <w:t xml:space="preserve">, el que se configure la sanción sin acto administrativo que lo declare, </w:t>
      </w:r>
      <w:r w:rsidR="00CD4B20" w:rsidRPr="006177E4">
        <w:t>puede generar riesgos</w:t>
      </w:r>
      <w:r w:rsidRPr="006177E4">
        <w:rPr>
          <w:rFonts w:eastAsia="Times New Roman"/>
        </w:rPr>
        <w:t xml:space="preserve"> asociados al debido proceso y la reserva de ley sancionatoria, en la medida en que la figura puede interpretarse como una sanción implícita cuya aplicación no siempre resulta clara ni plenamente tipificada.</w:t>
      </w:r>
    </w:p>
    <w:p w14:paraId="2CAF25A2" w14:textId="580C2FD6" w:rsidR="000341BB" w:rsidRPr="006177E4" w:rsidRDefault="000F1CD7" w:rsidP="00674D57">
      <w:pPr>
        <w:pStyle w:val="PrrAPA"/>
        <w:rPr>
          <w:rFonts w:eastAsia="Times New Roman"/>
        </w:rPr>
      </w:pPr>
      <w:r w:rsidRPr="006177E4">
        <w:rPr>
          <w:rFonts w:eastAsia="Times New Roman"/>
        </w:rPr>
        <w:lastRenderedPageBreak/>
        <w:t xml:space="preserve">La mayor dificultad se presente en la redacción del artículo 580-1 del </w:t>
      </w:r>
      <w:sdt>
        <w:sdtPr>
          <w:rPr>
            <w:rFonts w:eastAsia="Times New Roman"/>
          </w:rPr>
          <w:tag w:val="MENDELEY_CITATION_v3_eyJjaXRhdGlvbklEIjoiTUVOREVMRVlfQ0lUQVRJT05fNmUzZDViNDItNTA5ZS00MTFhLWFkYTUtOTdjNDMxMTA4YmIw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
          <w:id w:val="-886648874"/>
          <w:placeholder>
            <w:docPart w:val="DefaultPlaceholder_-1854013440"/>
          </w:placeholder>
        </w:sdtPr>
        <w:sdtEndPr/>
        <w:sdtContent>
          <w:r w:rsidR="00F913E9">
            <w:rPr>
              <w:rFonts w:eastAsia="Times New Roman"/>
            </w:rPr>
            <w:t>Decreto 624 (</w:t>
          </w:r>
          <w:r w:rsidR="009A1775" w:rsidRPr="006177E4">
            <w:rPr>
              <w:rFonts w:eastAsia="Times New Roman"/>
            </w:rPr>
            <w:t>1989)</w:t>
          </w:r>
        </w:sdtContent>
      </w:sdt>
      <w:r w:rsidRPr="006177E4">
        <w:rPr>
          <w:rFonts w:eastAsia="Times New Roman"/>
        </w:rPr>
        <w:t xml:space="preserve"> en donde existe la dualidad del título para cobro que a su vez no es </w:t>
      </w:r>
      <w:r w:rsidR="00DF3553" w:rsidRPr="006177E4">
        <w:rPr>
          <w:rFonts w:eastAsia="Times New Roman"/>
        </w:rPr>
        <w:t>título</w:t>
      </w:r>
      <w:r w:rsidRPr="006177E4">
        <w:rPr>
          <w:rFonts w:eastAsia="Times New Roman"/>
        </w:rPr>
        <w:t xml:space="preserve"> para determinación y que genera confusión tanto para el contribuyente como para la administración tributaria.</w:t>
      </w:r>
    </w:p>
    <w:p w14:paraId="791441F8" w14:textId="1A771AA3" w:rsidR="00F913E9" w:rsidRDefault="001F5753" w:rsidP="00674D57">
      <w:pPr>
        <w:pStyle w:val="PrrAPA"/>
        <w:rPr>
          <w:rFonts w:eastAsia="Times New Roman"/>
        </w:rPr>
      </w:pPr>
      <w:r w:rsidRPr="006177E4">
        <w:rPr>
          <w:rFonts w:eastAsia="Times New Roman"/>
        </w:rPr>
        <w:t xml:space="preserve">De igual manera, existe una controversia en torno a la imputación de saldos a favor, </w:t>
      </w:r>
      <w:r w:rsidR="005B2749" w:rsidRPr="006177E4">
        <w:rPr>
          <w:rFonts w:eastAsia="Times New Roman"/>
        </w:rPr>
        <w:t xml:space="preserve">la </w:t>
      </w:r>
      <w:sdt>
        <w:sdtPr>
          <w:rPr>
            <w:rFonts w:eastAsia="Times New Roman"/>
          </w:rPr>
          <w:tag w:val="MENDELEY_CITATION_v3_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IsImNvbnRhaW5lci10aXRsZS1zaG9ydCI6IiJ9LCJpc1RlbXBvcmFyeSI6ZmFsc2V9XX0="/>
          <w:id w:val="1783455891"/>
          <w:placeholder>
            <w:docPart w:val="DefaultPlaceholder_-1854013440"/>
          </w:placeholder>
        </w:sdtPr>
        <w:sdtEndPr/>
        <w:sdtContent>
          <w:r w:rsidR="009A1775" w:rsidRPr="006177E4">
            <w:rPr>
              <w:rFonts w:eastAsia="Times New Roman"/>
            </w:rPr>
            <w:t xml:space="preserve">Sentencia C-883 </w:t>
          </w:r>
          <w:r w:rsidR="00F913E9">
            <w:rPr>
              <w:rFonts w:eastAsia="Times New Roman"/>
            </w:rPr>
            <w:t>(</w:t>
          </w:r>
          <w:r w:rsidR="009A1775" w:rsidRPr="006177E4">
            <w:rPr>
              <w:rFonts w:eastAsia="Times New Roman"/>
            </w:rPr>
            <w:t>2011)</w:t>
          </w:r>
        </w:sdtContent>
      </w:sdt>
      <w:r w:rsidR="005B2749" w:rsidRPr="006177E4">
        <w:rPr>
          <w:rFonts w:eastAsia="Times New Roman"/>
        </w:rPr>
        <w:t xml:space="preserve"> en donde la demanda alega la inconstitucionalidad del monto por cuanto excluye de su ámbito de aplicación a los agentes retenedores titulares que tengan por concepto de saldos a favor generados antes de la declaración un mínimo de 82.000 UVT. Con las modificaciones normativas no se determinó un valor específico, quedó sujeto al doble </w:t>
      </w:r>
      <w:r w:rsidR="00B67731" w:rsidRPr="006177E4">
        <w:rPr>
          <w:rFonts w:eastAsia="Times New Roman"/>
        </w:rPr>
        <w:t>del valor</w:t>
      </w:r>
      <w:r w:rsidR="005B2749" w:rsidRPr="006177E4">
        <w:rPr>
          <w:rFonts w:eastAsia="Times New Roman"/>
        </w:rPr>
        <w:t xml:space="preserve"> de la declaración de retención.</w:t>
      </w:r>
    </w:p>
    <w:p w14:paraId="1A4F517A" w14:textId="77777777" w:rsidR="00F913E9" w:rsidRPr="00F913E9" w:rsidRDefault="00F913E9" w:rsidP="00263B16">
      <w:pPr>
        <w:spacing w:line="480" w:lineRule="auto"/>
        <w:ind w:firstLine="708"/>
        <w:jc w:val="left"/>
        <w:rPr>
          <w:rFonts w:eastAsia="Times New Roman" w:cs="Times New Roman"/>
          <w:color w:val="000000"/>
          <w:szCs w:val="24"/>
        </w:rPr>
      </w:pPr>
    </w:p>
    <w:p w14:paraId="3EE126F4" w14:textId="27E55B7E" w:rsidR="00C4006F" w:rsidRPr="006177E4" w:rsidRDefault="00FE7BEE" w:rsidP="00263B16">
      <w:pPr>
        <w:pStyle w:val="Ttulo4"/>
        <w:rPr>
          <w:lang w:eastAsia="es-CO"/>
        </w:rPr>
      </w:pPr>
      <w:bookmarkStart w:id="203" w:name="_Toc228250828"/>
      <w:bookmarkStart w:id="204" w:name="_Toc229077694"/>
      <w:r w:rsidRPr="006177E4">
        <w:rPr>
          <w:lang w:eastAsia="es-CO"/>
        </w:rPr>
        <w:t>Problemáticas en la gestión administrativa, operativa y de Recaudo DIAN</w:t>
      </w:r>
      <w:bookmarkEnd w:id="203"/>
      <w:bookmarkEnd w:id="204"/>
      <w:r w:rsidR="00106230">
        <w:rPr>
          <w:lang w:eastAsia="es-CO"/>
        </w:rPr>
        <w:t>.</w:t>
      </w:r>
    </w:p>
    <w:p w14:paraId="4D6B95B3" w14:textId="77777777" w:rsidR="00F913E9" w:rsidRDefault="001A2F50" w:rsidP="00674D57">
      <w:pPr>
        <w:pStyle w:val="PrrAPA"/>
        <w:rPr>
          <w:lang w:eastAsia="es-CO"/>
        </w:rPr>
      </w:pPr>
      <w:r w:rsidRPr="006177E4">
        <w:rPr>
          <w:lang w:eastAsia="es-CO"/>
        </w:rPr>
        <w:t>Otra problemática importante está relacionada con la gestión y fiscalización por parte de la administración tributaria. La falta de mecanismos efectivos de seguimiento y control para detectar incongruencias en las declaraciones permite que estas presenten deficiencias sin una corrección oportuna, lo que afecta tanto la recaudación como la confianza en el sistema tributario.</w:t>
      </w:r>
    </w:p>
    <w:p w14:paraId="14D9495F" w14:textId="77777777" w:rsidR="00F913E9" w:rsidRDefault="005B2749" w:rsidP="00674D57">
      <w:pPr>
        <w:pStyle w:val="PrrAPA"/>
        <w:rPr>
          <w:lang w:eastAsia="es-CO"/>
        </w:rPr>
      </w:pPr>
      <w:r w:rsidRPr="006177E4">
        <w:rPr>
          <w:lang w:eastAsia="es-CO"/>
        </w:rPr>
        <w:t xml:space="preserve">Desde la perspectiva de la administración tributaria, con las entrevistas, </w:t>
      </w:r>
      <w:r w:rsidR="00D96ED6" w:rsidRPr="006177E4">
        <w:t>se identifica que la ineficacia genera una desarticulación funcional entre las áreas de fiscalización y cobranzas. Inicialmente, la carga operativa recae en cobranzas; sin embargo, cuando no se logra el pago, el proceso se traslada a fiscalización, dando lugar a procedimientos largos como emplazamientos, sanciones por no declarar y liquidaciones de aforo. Este ciclo puede extenderse hasta por cinco años, generando un alto desgaste administrativo.</w:t>
      </w:r>
    </w:p>
    <w:p w14:paraId="5413137C" w14:textId="77777777" w:rsidR="00F913E9" w:rsidRDefault="00D96ED6" w:rsidP="00674D57">
      <w:pPr>
        <w:pStyle w:val="PrrAPA"/>
        <w:rPr>
          <w:lang w:eastAsia="es-CO"/>
        </w:rPr>
      </w:pPr>
      <w:r w:rsidRPr="006177E4">
        <w:t xml:space="preserve">Adicionalmente, </w:t>
      </w:r>
      <w:r w:rsidR="005B2749" w:rsidRPr="006177E4">
        <w:t>la funcionaria</w:t>
      </w:r>
      <w:r w:rsidRPr="006177E4">
        <w:t xml:space="preserve"> de cobranzas señala que, en la práctica, las actuaciones de cobro suelen posponerse hasta que transcurre el plazo de dos meses, lo que retrasa la recuperación de los recursos y reduce la eficiencia del sistema.</w:t>
      </w:r>
    </w:p>
    <w:p w14:paraId="7F4B5C6C" w14:textId="77777777" w:rsidR="00F913E9" w:rsidRDefault="00D96ED6" w:rsidP="00674D57">
      <w:pPr>
        <w:pStyle w:val="PrrAPA"/>
        <w:rPr>
          <w:lang w:eastAsia="es-CO"/>
        </w:rPr>
      </w:pPr>
      <w:r w:rsidRPr="006177E4">
        <w:t>También se evidencian dificultades en la aplicación de medidas como facilidades de pago, debido a la incompatibilidad temporal entre los plazos de la norma de ineficacia y los mecanismos de financiación, lo que genera incertidumbre tanto para la administración como para el contribuyente.</w:t>
      </w:r>
    </w:p>
    <w:p w14:paraId="08D638C2" w14:textId="77777777" w:rsidR="00F913E9" w:rsidRDefault="00D96ED6" w:rsidP="00674D57">
      <w:pPr>
        <w:pStyle w:val="PrrAPA"/>
        <w:rPr>
          <w:lang w:eastAsia="es-CO"/>
        </w:rPr>
      </w:pPr>
      <w:r w:rsidRPr="006177E4">
        <w:lastRenderedPageBreak/>
        <w:t>Las entrevistas permiten concluir que la ineficacia no siempre cumple su objetivo de garantizar el recaudo oportuno. En lugar de ello, puede generar un traslado del problema hacia procesos administrativos más complejos y costosos, sin asegurar el pago efectivo.</w:t>
      </w:r>
    </w:p>
    <w:p w14:paraId="5CF3F8F3" w14:textId="77777777" w:rsidR="00F913E9" w:rsidRDefault="00D96ED6" w:rsidP="00674D57">
      <w:pPr>
        <w:pStyle w:val="PrrAPA"/>
        <w:rPr>
          <w:lang w:eastAsia="es-CO"/>
        </w:rPr>
      </w:pPr>
      <w:r w:rsidRPr="006177E4">
        <w:t>En este sentido, algunos expertos sostienen que la figura puede incluso incrementar la carga operativa de la administración tributaria, desviando recursos que podrían destinarse al control de fenómenos más graves como la evasión o el fraude fiscal.</w:t>
      </w:r>
    </w:p>
    <w:p w14:paraId="25E282E4" w14:textId="77777777" w:rsidR="00F913E9" w:rsidRDefault="00D96ED6" w:rsidP="00674D57">
      <w:pPr>
        <w:pStyle w:val="PrrAPA"/>
        <w:rPr>
          <w:lang w:eastAsia="es-CO"/>
        </w:rPr>
      </w:pPr>
      <w:r w:rsidRPr="006177E4">
        <w:t>Asimismo, se identifica que la posibilidad de regularizar la situación posteriormente puede incentivar conductas de incumplimiento, especialmente en contribuyentes que asumen las sanciones e intereses como un costo financiero.</w:t>
      </w:r>
    </w:p>
    <w:p w14:paraId="5AF39547" w14:textId="77777777" w:rsidR="00F913E9" w:rsidRDefault="00B67731" w:rsidP="00674D57">
      <w:pPr>
        <w:pStyle w:val="PrrAPA"/>
        <w:rPr>
          <w:lang w:eastAsia="es-CO"/>
        </w:rPr>
      </w:pPr>
      <w:r w:rsidRPr="006177E4">
        <w:t>Sumado a lo anterior, se identifica la falta de control y seguimiento a las gestiones adelantadas por la administración tributaria, partiendo del no contar con la cifra de declaraciones ineficaces y, además, no presentar informes y análisis detallados de la figura de la ineficacia</w:t>
      </w:r>
      <w:r w:rsidR="00D13586" w:rsidRPr="006177E4">
        <w:t>, en sus informes de gestión y rendición de cuentas.</w:t>
      </w:r>
    </w:p>
    <w:p w14:paraId="37EAEB03" w14:textId="77777777" w:rsidR="00F913E9" w:rsidRDefault="00057DB2" w:rsidP="00674D57">
      <w:pPr>
        <w:pStyle w:val="PrrAPA"/>
        <w:rPr>
          <w:lang w:eastAsia="es-CO"/>
        </w:rPr>
      </w:pPr>
      <w:r w:rsidRPr="006177E4">
        <w:t xml:space="preserve">Si bien, analizadas las cifras de recaudo, se logra identificar las declaraciones que han sido denunciadas y que se configuran ineficaces no corresponden a un valor relativo significativo, (1% de las declaraciones),  no es posible determinar las obligaciones de retención que fueron ineficaces y después de </w:t>
      </w:r>
      <w:r w:rsidR="00F913E9" w:rsidRPr="006177E4">
        <w:t>cuánto</w:t>
      </w:r>
      <w:r w:rsidRPr="006177E4">
        <w:t xml:space="preserve"> tiempo fueron efectivamente canceladas por el agente retenedor</w:t>
      </w:r>
      <w:r w:rsidR="00321AC0" w:rsidRPr="006177E4">
        <w:t xml:space="preserve">; </w:t>
      </w:r>
      <w:r w:rsidRPr="006177E4">
        <w:t>no es posible determinar el número de meses y los valores en los que el estado ha dejado de recibir los recursos para financiarse y por lo tanto, es imposible generar medidas para mitigar el impacto.</w:t>
      </w:r>
      <w:r w:rsidR="00321AC0" w:rsidRPr="006177E4">
        <w:t xml:space="preserve"> </w:t>
      </w:r>
      <w:r w:rsidR="00094833" w:rsidRPr="006177E4">
        <w:t xml:space="preserve"> La falta de control configura una problemática en sí misma.</w:t>
      </w:r>
    </w:p>
    <w:p w14:paraId="52E92E2C" w14:textId="77777777" w:rsidR="00F913E9" w:rsidRDefault="00094833" w:rsidP="00674D57">
      <w:pPr>
        <w:pStyle w:val="PrrAPA"/>
        <w:rPr>
          <w:lang w:eastAsia="es-CO"/>
        </w:rPr>
      </w:pPr>
      <w:r w:rsidRPr="006177E4">
        <w:rPr>
          <w:lang w:eastAsia="es-CO"/>
        </w:rPr>
        <w:t>Además, los problemas tecnológicos también influyen en la ineficacia de las declaraciones. Durante este periodo, aunque se han implementado plataformas digitales para la presentación de declaraciones, éstas en ocasiones han presentado fallas técnicas o carecen de funcionalidades que faciliten el proceso, generando retrasos y errores presentaciones oportunas de las mismas.</w:t>
      </w:r>
      <w:r w:rsidR="00531341" w:rsidRPr="006177E4">
        <w:t xml:space="preserve"> </w:t>
      </w:r>
      <w:r w:rsidR="00531341" w:rsidRPr="006177E4">
        <w:rPr>
          <w:lang w:eastAsia="es-CO"/>
        </w:rPr>
        <w:t>En fuentes oficiales DIAN se identificaron al menos catorce eventos de contingencia o indisponibilidad de servicios informáticos entre 2014 y 2024.</w:t>
      </w:r>
    </w:p>
    <w:p w14:paraId="172E1438" w14:textId="77777777" w:rsidR="00F913E9" w:rsidRDefault="00CD3A59" w:rsidP="00674D57">
      <w:pPr>
        <w:pStyle w:val="PrrAPA"/>
        <w:rPr>
          <w:lang w:eastAsia="es-CO"/>
        </w:rPr>
      </w:pPr>
      <w:r w:rsidRPr="006177E4">
        <w:rPr>
          <w:lang w:eastAsia="es-CO"/>
        </w:rPr>
        <w:t xml:space="preserve">Con relación al recaudo, los expertos DIAN y externos a la administración tributaria, presentan opiniones divididas en cuanto a la efectividad de la ineficacia en el recaudo. Como docente, un experto, indica que la figura de la ineficacia no promueve el pago, indica que una de las principales causas de la presentación de declaraciones sin pago es la falta de liquidez o capacidad financiera de las empresas para financiar su ciclo productivo, apelando entonces al </w:t>
      </w:r>
      <w:r w:rsidRPr="006177E4">
        <w:rPr>
          <w:lang w:eastAsia="es-CO"/>
        </w:rPr>
        <w:lastRenderedPageBreak/>
        <w:t>“crédito indirecto”, es decir, no entregando las sumas retenidas al fisco y utilizar dichos recursos para financiar sus operaciones mercantiles, asumiendo la alta carga de intereses moratorios, evitando así trámites ante el sector financiero muy exigente para otorgar créditos al empresario.</w:t>
      </w:r>
    </w:p>
    <w:p w14:paraId="48270AB5" w14:textId="77777777" w:rsidR="00F913E9" w:rsidRDefault="00CD3A59" w:rsidP="00674D57">
      <w:pPr>
        <w:pStyle w:val="PrrAPA"/>
        <w:rPr>
          <w:lang w:eastAsia="es-CO"/>
        </w:rPr>
      </w:pPr>
      <w:r w:rsidRPr="006177E4">
        <w:rPr>
          <w:lang w:eastAsia="es-CO"/>
        </w:rPr>
        <w:t>Por lo tanto, el contribuyente se arriesga por cuanto sabe que la acción fiscalizadora del estado no llegará de manera oportuna a este.</w:t>
      </w:r>
    </w:p>
    <w:p w14:paraId="4B8365EF" w14:textId="77777777" w:rsidR="00F913E9" w:rsidRDefault="002A745C" w:rsidP="00674D57">
      <w:pPr>
        <w:pStyle w:val="PrrAPA"/>
        <w:rPr>
          <w:lang w:eastAsia="es-CO"/>
        </w:rPr>
      </w:pPr>
      <w:r w:rsidRPr="006177E4">
        <w:rPr>
          <w:lang w:eastAsia="es-CO"/>
        </w:rPr>
        <w:t>Así mismo, el experto Jurídico DIAN, indica que La ineficacia del art 580-1 del ET no debería existir. Una cosa es el incumplimiento en el pago y otro es el deber formal de declarar. Una declaración no puede ser ineficaz y a la vez ser título ejecutivo para el cobro.</w:t>
      </w:r>
    </w:p>
    <w:p w14:paraId="58C403E4" w14:textId="77777777" w:rsidR="00F913E9" w:rsidRDefault="002A745C" w:rsidP="00674D57">
      <w:pPr>
        <w:pStyle w:val="PrrAPA"/>
        <w:rPr>
          <w:lang w:eastAsia="es-CO"/>
        </w:rPr>
      </w:pPr>
      <w:r w:rsidRPr="006177E4">
        <w:rPr>
          <w:lang w:eastAsia="es-CO"/>
        </w:rPr>
        <w:t>Por otro lado, dos de los docentes universitarios manifiestan que l</w:t>
      </w:r>
      <w:r w:rsidR="00CD3A59" w:rsidRPr="006177E4">
        <w:t>a ineficacia de las declaraciones de retención en la fuente, en un alto porcentaje logra</w:t>
      </w:r>
      <w:r w:rsidRPr="006177E4">
        <w:t>n</w:t>
      </w:r>
      <w:r w:rsidR="00CD3A59" w:rsidRPr="006177E4">
        <w:t xml:space="preserve"> el objetivo de persuadir al agente retenedor para que cumpla con su obligación de recaudar y trasladar en forma inmediata el impuesto recaudado al Estado, lo anterior porque siempre hay algunos agentes retenedores que no hacen el pago dentro de los términos legales. Pero es evidente que esta sanción de ineficacia, si ha reducido el no pago de las declaraciones de retención en la fuente. </w:t>
      </w:r>
      <w:r w:rsidRPr="006177E4">
        <w:t>En el mismo sentido, indican que la ineficacia de las declaraciones</w:t>
      </w:r>
      <w:r w:rsidR="00D36421" w:rsidRPr="006177E4">
        <w:t xml:space="preserve">, </w:t>
      </w:r>
      <w:r w:rsidRPr="006177E4">
        <w:t>establecida en la norma acusada no es un aspecto que se limite a la administración y recaudo del tributo, pues tiene un indudable efecto sancionatorio, como quiera que implica presentar una nueva declaración incluyendo la sanción por extemporaneidad o, en caso que no lo haga, que la entidad pueda imponer la sanción por no declarar, previstas en los artículos 641 y 643 del Estatuto Tributario, hecho que generaría que el recaudo se aplique de manera inmediata por el ejercicio fiscal que lo dispone y su marco fiscal y legal.</w:t>
      </w:r>
    </w:p>
    <w:p w14:paraId="6E0EE6FA" w14:textId="77777777" w:rsidR="00F913E9" w:rsidRDefault="0020392D" w:rsidP="00674D57">
      <w:pPr>
        <w:pStyle w:val="PrrAPA"/>
        <w:rPr>
          <w:lang w:eastAsia="es-CO"/>
        </w:rPr>
      </w:pPr>
      <w:r w:rsidRPr="006177E4">
        <w:t>En cuanto a los contadores, coinciden en que aumenta el incumplimiento, al dejar abierta la posibilidad de pagar una obligación con un plazo determinado y al poder subsanar la misma con posterioridad a dicho plazo.</w:t>
      </w:r>
    </w:p>
    <w:p w14:paraId="7C530493" w14:textId="1D3AA66A" w:rsidR="00F56A09" w:rsidRDefault="00F56A09" w:rsidP="00674D57">
      <w:pPr>
        <w:pStyle w:val="PrrAPA"/>
        <w:rPr>
          <w:lang w:eastAsia="es-CO"/>
        </w:rPr>
      </w:pPr>
      <w:r w:rsidRPr="006177E4">
        <w:rPr>
          <w:lang w:eastAsia="es-CO"/>
        </w:rPr>
        <w:t xml:space="preserve">En resumen, estas problemáticas evidencian la necesidad de implementar estrategias integrales que aborden aspectos normativos, educativos, tecnológicos y administrativos para mejorar la eficacia en la presentación y control de las declaraciones de retención en la fuente en renta, específicamente en la ciudad de Ibagué, en donde se realizado la muestra durante el periodo analizado comprendido entre 2014 y 2024. </w:t>
      </w:r>
    </w:p>
    <w:p w14:paraId="47768268" w14:textId="77777777" w:rsidR="00C02626" w:rsidRPr="006177E4" w:rsidRDefault="00C02626" w:rsidP="00263B16">
      <w:pPr>
        <w:shd w:val="clear" w:color="auto" w:fill="FFFFFF"/>
        <w:spacing w:line="480" w:lineRule="auto"/>
        <w:ind w:firstLine="720"/>
        <w:jc w:val="left"/>
        <w:textAlignment w:val="baseline"/>
        <w:rPr>
          <w:rFonts w:eastAsia="Times New Roman" w:cs="Times New Roman"/>
          <w:szCs w:val="24"/>
          <w:lang w:eastAsia="es-CO"/>
        </w:rPr>
      </w:pPr>
    </w:p>
    <w:p w14:paraId="6840E1C8" w14:textId="2722C501" w:rsidR="00B8196F" w:rsidRPr="00F913E9" w:rsidRDefault="00B8196F" w:rsidP="00263B16">
      <w:pPr>
        <w:pStyle w:val="Ttulo3"/>
      </w:pPr>
      <w:bookmarkStart w:id="205" w:name="_Toc228250829"/>
      <w:bookmarkStart w:id="206" w:name="_Toc229077695"/>
      <w:r w:rsidRPr="00F913E9">
        <w:lastRenderedPageBreak/>
        <w:t xml:space="preserve">Conclusiones del objetivo </w:t>
      </w:r>
      <w:r w:rsidR="00466BDB" w:rsidRPr="00F913E9">
        <w:t>C</w:t>
      </w:r>
      <w:bookmarkEnd w:id="205"/>
      <w:bookmarkEnd w:id="206"/>
      <w:r w:rsidRPr="00F913E9">
        <w:t xml:space="preserve"> </w:t>
      </w:r>
    </w:p>
    <w:p w14:paraId="3A527DE6" w14:textId="77777777" w:rsidR="00F913E9" w:rsidRDefault="001445A7" w:rsidP="00674D57">
      <w:pPr>
        <w:pStyle w:val="PrrAPA"/>
      </w:pPr>
      <w:r w:rsidRPr="006177E4">
        <w:t>El análisis de las problemáticas asociadas a la ineficacia de las declaraciones de retención en la fuente permite concluir, en primer lugar, que esta figura no constituye únicamente una consecuencia del incumplimiento tributario, sino que refleja una desarticulación estructural del sistema tributario colombiano, en la que convergen fallas normativas, administrativas y económicas.</w:t>
      </w:r>
    </w:p>
    <w:p w14:paraId="2152CA55" w14:textId="77777777" w:rsidR="00F913E9" w:rsidRDefault="00A62518" w:rsidP="00674D57">
      <w:pPr>
        <w:pStyle w:val="PrrAPA"/>
      </w:pPr>
      <w:r w:rsidRPr="006177E4">
        <w:t>En segundo lugar, los resultados permiten establecer la existencia uso inadecuado de los recursos, que favorecen el financiamiento empresarial. Esta situación desvirtúa la naturaleza de la retención en la fuente como mecanismo de recaudo anticipado y afecta directamente la liquidez de la Hacienda Pública.</w:t>
      </w:r>
    </w:p>
    <w:p w14:paraId="59330127" w14:textId="77777777" w:rsidR="00F913E9" w:rsidRDefault="00A62518" w:rsidP="00674D57">
      <w:pPr>
        <w:pStyle w:val="PrrAPA"/>
      </w:pPr>
      <w:r w:rsidRPr="006177E4">
        <w:t>En tercer lugar, se identifica una debilidad en la cultura de cumplimiento tributario, asociada tanto al desconocimiento de la norma como a fallas en los sistemas de control interno de las organizaciones, lo que incrementa la probabilidad de reincidencia en la ineficacia.</w:t>
      </w:r>
    </w:p>
    <w:p w14:paraId="08AC8877" w14:textId="77777777" w:rsidR="00F913E9" w:rsidRDefault="001445A7" w:rsidP="00674D57">
      <w:pPr>
        <w:pStyle w:val="PrrAPA"/>
      </w:pPr>
      <w:r w:rsidRPr="006177E4">
        <w:t xml:space="preserve">En </w:t>
      </w:r>
      <w:r w:rsidR="00A62518" w:rsidRPr="006177E4">
        <w:t>cuarto</w:t>
      </w:r>
      <w:r w:rsidRPr="006177E4">
        <w:t xml:space="preserve"> lugar, se evidencia que la regulación de la ineficacia presenta una incoherencia jurídica relevante, al desconocer los efectos de la declaración sin pago y, simultáneamente, reconocerla como título ejecutivo. Esta dualidad rompe la lógica de la obligación tributaria, generando inseguridad jurídica y dificultando la aplicación uniforme del sistema.</w:t>
      </w:r>
    </w:p>
    <w:p w14:paraId="5F23AC03" w14:textId="77777777" w:rsidR="00F913E9" w:rsidRDefault="001445A7" w:rsidP="00674D57">
      <w:pPr>
        <w:pStyle w:val="PrrAPA"/>
      </w:pPr>
      <w:r w:rsidRPr="006177E4">
        <w:t xml:space="preserve">En </w:t>
      </w:r>
      <w:r w:rsidR="00A62518" w:rsidRPr="006177E4">
        <w:t>quinto</w:t>
      </w:r>
      <w:r w:rsidRPr="006177E4">
        <w:t xml:space="preserve"> lugar, se concluye que la ineficacia genera una ineficiencia administrativa acumulativa, en la medida en que una misma obligación tributaria activa múltiples actuaciones fiscalización, cobro y procesos sancionatorios, que no necesariamente conducen al recaudo efectivo, sino que incrementan los costos operativos del Estado.</w:t>
      </w:r>
    </w:p>
    <w:p w14:paraId="5DD54721" w14:textId="2411EFA7" w:rsidR="001445A7" w:rsidRPr="006177E4" w:rsidRDefault="001445A7" w:rsidP="00674D57">
      <w:pPr>
        <w:pStyle w:val="PrrAPA"/>
      </w:pPr>
      <w:r w:rsidRPr="006177E4">
        <w:t>Finalmente, se concluye que la figura de la ineficacia no logra materializar los principios de eficiencia tributaria, en tanto no garantiza el recaudo oportuno, incrementa la complejidad del sistema y genera distorsiones en el comportamiento de los contribuyentes, evidenciando una desconexión entre el diseño normativo y su funcionamiento real.</w:t>
      </w:r>
    </w:p>
    <w:p w14:paraId="188DE5D2" w14:textId="16B676EB" w:rsidR="001445A7" w:rsidRPr="006177E4" w:rsidRDefault="001445A7" w:rsidP="00263B16">
      <w:pPr>
        <w:spacing w:line="480" w:lineRule="auto"/>
        <w:ind w:firstLine="720"/>
        <w:jc w:val="left"/>
        <w:rPr>
          <w:rFonts w:cs="Times New Roman"/>
          <w:szCs w:val="24"/>
        </w:rPr>
      </w:pPr>
    </w:p>
    <w:p w14:paraId="70FCCFBD" w14:textId="2DBA729B" w:rsidR="001445A7" w:rsidRPr="006177E4" w:rsidRDefault="001445A7" w:rsidP="00263B16">
      <w:pPr>
        <w:spacing w:line="480" w:lineRule="auto"/>
        <w:ind w:firstLine="720"/>
        <w:jc w:val="left"/>
        <w:rPr>
          <w:rFonts w:cs="Times New Roman"/>
          <w:szCs w:val="24"/>
        </w:rPr>
      </w:pPr>
    </w:p>
    <w:p w14:paraId="64CB8257" w14:textId="1B7EC3B0" w:rsidR="001445A7" w:rsidRPr="006177E4" w:rsidRDefault="001445A7" w:rsidP="00263B16">
      <w:pPr>
        <w:spacing w:line="480" w:lineRule="auto"/>
        <w:ind w:firstLine="720"/>
        <w:jc w:val="left"/>
        <w:rPr>
          <w:rFonts w:cs="Times New Roman"/>
          <w:szCs w:val="24"/>
        </w:rPr>
      </w:pPr>
    </w:p>
    <w:p w14:paraId="48E01AE1" w14:textId="0E3F3669" w:rsidR="00F913E9" w:rsidRDefault="00F913E9" w:rsidP="00263B16">
      <w:pPr>
        <w:spacing w:line="480" w:lineRule="auto"/>
        <w:jc w:val="left"/>
        <w:rPr>
          <w:rFonts w:eastAsiaTheme="majorEastAsia" w:cs="Times New Roman"/>
          <w:b/>
          <w:szCs w:val="24"/>
        </w:rPr>
      </w:pPr>
      <w:bookmarkStart w:id="207" w:name="_Toc228250830"/>
    </w:p>
    <w:p w14:paraId="595B4778" w14:textId="768AE0D4" w:rsidR="00B8196F" w:rsidRPr="006177E4" w:rsidRDefault="00F56A09" w:rsidP="00263B16">
      <w:pPr>
        <w:pStyle w:val="Ttulo1"/>
        <w:rPr>
          <w:rFonts w:cs="Times New Roman"/>
          <w:szCs w:val="24"/>
        </w:rPr>
      </w:pPr>
      <w:bookmarkStart w:id="208" w:name="_Toc229077696"/>
      <w:r w:rsidRPr="006177E4">
        <w:rPr>
          <w:rFonts w:cs="Times New Roman"/>
          <w:szCs w:val="24"/>
        </w:rPr>
        <w:lastRenderedPageBreak/>
        <w:t>Recomendaciones</w:t>
      </w:r>
      <w:bookmarkEnd w:id="207"/>
      <w:bookmarkEnd w:id="208"/>
      <w:r w:rsidR="00B8196F" w:rsidRPr="006177E4">
        <w:rPr>
          <w:rFonts w:cs="Times New Roman"/>
          <w:szCs w:val="24"/>
        </w:rPr>
        <w:t xml:space="preserve"> </w:t>
      </w:r>
    </w:p>
    <w:p w14:paraId="69F63608" w14:textId="77777777" w:rsidR="00D36AFF" w:rsidRPr="006177E4" w:rsidRDefault="005A0E6E" w:rsidP="00674D57">
      <w:pPr>
        <w:pStyle w:val="PrrAPA"/>
      </w:pPr>
      <w:r w:rsidRPr="006177E4">
        <w:t>A lo largo de la investigación se analizó la figura de la ineficacia</w:t>
      </w:r>
      <w:r w:rsidR="00D36AFF" w:rsidRPr="006177E4">
        <w:t xml:space="preserve"> y una vez analizada con base en fuentes primarias, secundarias y terciarias, se realizan las </w:t>
      </w:r>
      <w:r w:rsidRPr="006177E4">
        <w:t>recomendaciones que llevarán a resolver problemas relacionados con la presente investigación.</w:t>
      </w:r>
    </w:p>
    <w:p w14:paraId="2027E438" w14:textId="77777777" w:rsidR="001169D7" w:rsidRPr="006177E4" w:rsidRDefault="00D36AFF" w:rsidP="00674D57">
      <w:pPr>
        <w:pStyle w:val="PrrAPA"/>
      </w:pPr>
      <w:r w:rsidRPr="006177E4">
        <w:t xml:space="preserve">De acuerdo con lo anterior, </w:t>
      </w:r>
      <w:r w:rsidR="00B8196F" w:rsidRPr="006177E4">
        <w:t>se propone</w:t>
      </w:r>
      <w:r w:rsidR="001169D7" w:rsidRPr="006177E4">
        <w:t xml:space="preserve">n una serie de recomendaciones </w:t>
      </w:r>
      <w:r w:rsidR="00B8196F" w:rsidRPr="006177E4">
        <w:t>orientada</w:t>
      </w:r>
      <w:r w:rsidR="001169D7" w:rsidRPr="006177E4">
        <w:t>s</w:t>
      </w:r>
      <w:r w:rsidR="00B8196F" w:rsidRPr="006177E4">
        <w:t xml:space="preserve"> a</w:t>
      </w:r>
      <w:r w:rsidR="001169D7" w:rsidRPr="006177E4">
        <w:t xml:space="preserve"> </w:t>
      </w:r>
      <w:r w:rsidR="00B8196F" w:rsidRPr="006177E4">
        <w:t>la simplificación del cumplimiento de las obligaciones asociadas a la retención en la fuente</w:t>
      </w:r>
      <w:r w:rsidR="001169D7" w:rsidRPr="006177E4">
        <w:t xml:space="preserve"> al fortalecimiento de la cultura tributaria.</w:t>
      </w:r>
    </w:p>
    <w:p w14:paraId="1179EC2B" w14:textId="577D57C9" w:rsidR="00B8196F" w:rsidRPr="006177E4" w:rsidRDefault="00B8196F" w:rsidP="00674D57">
      <w:pPr>
        <w:pStyle w:val="PrrAPA"/>
      </w:pPr>
      <w:r w:rsidRPr="006177E4">
        <w:t>Por lo expresado anteriormente se proponen las siguientes recomendaciones</w:t>
      </w:r>
      <w:r w:rsidR="00B0216F" w:rsidRPr="006177E4">
        <w:t>, a partir del análisis documental, las entrevistas a expertos y las sugerencias de los investigadores.</w:t>
      </w:r>
    </w:p>
    <w:p w14:paraId="3775D82B" w14:textId="77777777" w:rsidR="007A7A5C" w:rsidRPr="006177E4" w:rsidRDefault="007A7A5C" w:rsidP="00674D57">
      <w:pPr>
        <w:pStyle w:val="PrrAPA"/>
      </w:pPr>
      <w:r w:rsidRPr="006177E4">
        <w:t>Con base en los aportes de funcionarios de fiscalización, cobranzas, jurídicos, contadores, revisores fiscales y docentes, se recomienda fortalecer un modelo preventivo, tecnológico y de control interno para reducir la ocurrencia de declaraciones de retención en la fuente ineficaces.</w:t>
      </w:r>
    </w:p>
    <w:p w14:paraId="3EF2AD6E" w14:textId="2DD47985" w:rsidR="007A7A5C" w:rsidRPr="006177E4" w:rsidRDefault="007A7A5C" w:rsidP="00674D57">
      <w:pPr>
        <w:pStyle w:val="PrrAPA"/>
      </w:pPr>
      <w:r w:rsidRPr="006177E4">
        <w:t xml:space="preserve">Primero, la DIAN debería implementar </w:t>
      </w:r>
      <w:bookmarkStart w:id="209" w:name="_Hlk227976896"/>
      <w:r w:rsidRPr="006177E4">
        <w:t xml:space="preserve">alertas tempranas en la plataforma MUISCA </w:t>
      </w:r>
      <w:bookmarkEnd w:id="209"/>
      <w:r w:rsidRPr="006177E4">
        <w:t xml:space="preserve">para identificar contribuyentes reincidentes o declaraciones presentadas sin pago total, de manera que las áreas de Recaudo, Cobranzas y Fiscalización actúen antes de que se configure la ineficacia. </w:t>
      </w:r>
    </w:p>
    <w:p w14:paraId="7EF43D8F" w14:textId="3291EBDA" w:rsidR="007A7A5C" w:rsidRPr="006177E4" w:rsidRDefault="007A7A5C" w:rsidP="00674D57">
      <w:pPr>
        <w:pStyle w:val="PrrAPA"/>
      </w:pPr>
      <w:r w:rsidRPr="006177E4">
        <w:t>Segundo, se recomienda que la DIAN fortalezca los procesos de cobro persuasivo y coactivo de forma inmediata, sin esperar a que transcurran los plazos que hacen más difícil el recaudo. El propio criterio de la DIAN reconoce que, aunque la declaración esté marcada como ineficaz, puede servir como documento que reconoce una obligación clara, expresa y exigible para procesos de cobro coactivo.</w:t>
      </w:r>
    </w:p>
    <w:p w14:paraId="7AEA86AA" w14:textId="77777777" w:rsidR="007A7A5C" w:rsidRPr="006177E4" w:rsidRDefault="007A7A5C" w:rsidP="00674D57">
      <w:pPr>
        <w:pStyle w:val="PrrAPA"/>
      </w:pPr>
      <w:r w:rsidRPr="006177E4">
        <w:t xml:space="preserve">Tercero, para los contribuyentes, se recomienda adoptar políticas internas de cumplimiento tributario que incluyan calendario fiscal, control dual entre contabilidad y tesorería, certificación previa de disponibilidad de fondos, conciliaciones mensuales, segregación </w:t>
      </w:r>
      <w:r w:rsidRPr="006177E4">
        <w:lastRenderedPageBreak/>
        <w:t>de funciones y revisión periódica por parte de la revisoría fiscal. Esto responde a los hallazgos de las entrevistas, donde se evidenció que la ineficacia no solo obedece a fallas normativas, sino también a debilidades de planeación, cultura de pago y control interno.</w:t>
      </w:r>
    </w:p>
    <w:p w14:paraId="123D215F" w14:textId="5B49F8C0" w:rsidR="007A7A5C" w:rsidRPr="006177E4" w:rsidRDefault="007A7A5C" w:rsidP="00674D57">
      <w:pPr>
        <w:pStyle w:val="PrrAPA"/>
      </w:pPr>
      <w:r w:rsidRPr="006177E4">
        <w:t xml:space="preserve">Cuarto, se recomienda capacitar a administradores, gerentes, contadores y revisores fiscales sobre las consecuencias tributarias y penales de declarar sin pagar. Esta medida es relevante en el marco del artículo 402 del Código Penal colombiano, el </w:t>
      </w:r>
      <w:r w:rsidR="0094502F" w:rsidRPr="006177E4">
        <w:t>cual regula</w:t>
      </w:r>
      <w:r w:rsidRPr="006177E4">
        <w:t xml:space="preserve"> la omisión del agente retenedor o recaudador cuando no consigna oportunamente las sumas retenidas.</w:t>
      </w:r>
    </w:p>
    <w:p w14:paraId="4E35E57E" w14:textId="76C552A2" w:rsidR="007A7A5C" w:rsidRPr="006177E4" w:rsidRDefault="007A7A5C" w:rsidP="00674D57">
      <w:pPr>
        <w:pStyle w:val="PrrAPA"/>
      </w:pPr>
      <w:r w:rsidRPr="006177E4">
        <w:t xml:space="preserve">Quinto, se recomienda que la DIAN avance hacia un modelo de gestión de riesgos tributarios basado en analítica de datos, segmentación de contribuyentes y controles electrónicos automatizados. La OCDE señala que las administraciones tributarias modernas usan validaciones, cruces de información y controles automatizados para prevenir incumplimientos y fortalecer el cumplimiento voluntario </w:t>
      </w:r>
      <w:sdt>
        <w:sdtPr>
          <w:rPr>
            <w:color w:val="000000"/>
          </w:rPr>
          <w:tag w:val="MENDELEY_CITATION_v3_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"/>
          <w:id w:val="2141999996"/>
          <w:placeholder>
            <w:docPart w:val="DefaultPlaceholder_-1854013440"/>
          </w:placeholder>
        </w:sdtPr>
        <w:sdtEndPr/>
        <w:sdtContent>
          <w:r w:rsidR="009A1775" w:rsidRPr="006177E4">
            <w:rPr>
              <w:color w:val="000000"/>
            </w:rPr>
            <w:t>(OCDE, 2025)</w:t>
          </w:r>
          <w:r w:rsidR="00F913E9">
            <w:rPr>
              <w:color w:val="000000"/>
            </w:rPr>
            <w:t>.</w:t>
          </w:r>
        </w:sdtContent>
      </w:sdt>
    </w:p>
    <w:p w14:paraId="04B20485" w14:textId="77777777" w:rsidR="007A7A5C" w:rsidRPr="006177E4" w:rsidRDefault="007A7A5C" w:rsidP="00674D57">
      <w:pPr>
        <w:pStyle w:val="PrrAPA"/>
      </w:pPr>
      <w:r w:rsidRPr="006177E4">
        <w:t>Finalmente, se recomienda promover una cultura de cumplimiento oportuno en los agentes retenedores, mediante campañas pedagógicas, instructivos claros y acompañamiento preventivo. La finalidad no debe limitarse a sancionar la declaración ineficaz, sino evitar que se configure, garantizando que los valores retenidos sean efectivamente trasladados al Estado en los plazos legales.</w:t>
      </w:r>
    </w:p>
    <w:p w14:paraId="10357E0A" w14:textId="224C3217" w:rsidR="00B8196F" w:rsidRPr="006177E4" w:rsidRDefault="00B0216F" w:rsidP="00674D57">
      <w:pPr>
        <w:pStyle w:val="PrrAPA"/>
      </w:pPr>
      <w:r w:rsidRPr="006177E4">
        <w:t xml:space="preserve">En síntesis, las recomendaciones apuntan a transformar la figura de la ineficacia de un mecanismo principalmente sancionatorio y reactivo hacia un modelo preventivo, tecnológicamente soportado y jurídicamente más claro. La finalidad no debe limitarse a declarar ineficaz la obligación, sino a asegurar el recaudo oportuno de recursos que ya fueron retenidos a terceros. Para ello, se requiere mayor claridad normativa, actuación temprana de la </w:t>
      </w:r>
      <w:r w:rsidRPr="006177E4">
        <w:lastRenderedPageBreak/>
        <w:t xml:space="preserve">administración, fortalecimiento de los sistemas de información y </w:t>
      </w:r>
      <w:r w:rsidR="00B8196F" w:rsidRPr="006177E4">
        <w:t>optimizar la relación entre el contribuyente y la administración tributaria.</w:t>
      </w:r>
    </w:p>
    <w:p w14:paraId="36942B96" w14:textId="6862C0C1" w:rsidR="008345B4" w:rsidRPr="006177E4" w:rsidRDefault="001B71E2" w:rsidP="00674D57">
      <w:pPr>
        <w:pStyle w:val="PrrAPA"/>
      </w:pPr>
      <w:r w:rsidRPr="006177E4">
        <w:t>L</w:t>
      </w:r>
      <w:r w:rsidR="00B8196F" w:rsidRPr="006177E4">
        <w:t>a incorporación de estrategias pedagógicas, normativas y tecnológicas orientadas al cumplimiento voluntario permite avanzar hacia un modelo de gestión tributaria más eficiente, coherente y sostenible, en el que la ineficacia deje de ser un problema recurrente y se convierta en un fenómeno residual dentro del sistema.</w:t>
      </w:r>
      <w:bookmarkStart w:id="210" w:name="_Toc440985143"/>
      <w:bookmarkEnd w:id="125"/>
    </w:p>
    <w:p w14:paraId="2F22A2E6" w14:textId="66FC6BCD" w:rsidR="007A7A5C" w:rsidRPr="006177E4" w:rsidRDefault="007A7A5C" w:rsidP="00263B16">
      <w:pPr>
        <w:pStyle w:val="NormalWeb"/>
        <w:spacing w:before="0" w:beforeAutospacing="0" w:after="0" w:afterAutospacing="0" w:line="480" w:lineRule="auto"/>
        <w:ind w:firstLine="720"/>
        <w:rPr>
          <w:bCs/>
        </w:rPr>
      </w:pPr>
    </w:p>
    <w:p w14:paraId="7CC0895C" w14:textId="77777777" w:rsidR="008718F0" w:rsidRPr="006177E4" w:rsidRDefault="008718F0" w:rsidP="00263B16">
      <w:pPr>
        <w:pStyle w:val="NormalWeb"/>
        <w:spacing w:before="0" w:beforeAutospacing="0" w:after="0" w:afterAutospacing="0" w:line="480" w:lineRule="auto"/>
        <w:ind w:firstLine="720"/>
      </w:pPr>
    </w:p>
    <w:p w14:paraId="3CE4AC4C" w14:textId="30306426" w:rsidR="007A7A5C" w:rsidRPr="006177E4" w:rsidRDefault="007A7A5C" w:rsidP="00263B16">
      <w:pPr>
        <w:pStyle w:val="NormalWeb"/>
        <w:spacing w:before="0" w:beforeAutospacing="0" w:after="0" w:afterAutospacing="0" w:line="480" w:lineRule="auto"/>
        <w:ind w:firstLine="720"/>
      </w:pPr>
    </w:p>
    <w:p w14:paraId="4B7EC711" w14:textId="64CFCD98" w:rsidR="007A7A5C" w:rsidRPr="006177E4" w:rsidRDefault="007A7A5C" w:rsidP="00263B16">
      <w:pPr>
        <w:pStyle w:val="NormalWeb"/>
        <w:spacing w:before="0" w:beforeAutospacing="0" w:after="0" w:afterAutospacing="0" w:line="480" w:lineRule="auto"/>
        <w:jc w:val="both"/>
      </w:pPr>
    </w:p>
    <w:p w14:paraId="130F388F" w14:textId="77777777" w:rsidR="007A7A5C" w:rsidRPr="006177E4" w:rsidRDefault="007A7A5C" w:rsidP="00263B16">
      <w:pPr>
        <w:pStyle w:val="NormalWeb"/>
        <w:spacing w:before="0" w:beforeAutospacing="0" w:after="0" w:afterAutospacing="0" w:line="480" w:lineRule="auto"/>
        <w:jc w:val="both"/>
      </w:pPr>
    </w:p>
    <w:p w14:paraId="31C6A911" w14:textId="77777777" w:rsidR="00C02626" w:rsidRDefault="00C02626" w:rsidP="00263B16">
      <w:pPr>
        <w:spacing w:line="480" w:lineRule="auto"/>
        <w:jc w:val="left"/>
        <w:rPr>
          <w:rStyle w:val="Ttulo1Car"/>
          <w:rFonts w:cs="Times New Roman"/>
          <w:szCs w:val="24"/>
          <w:lang w:eastAsia="es-CO"/>
        </w:rPr>
      </w:pPr>
      <w:bookmarkStart w:id="211" w:name="_Toc228250831"/>
      <w:r>
        <w:rPr>
          <w:rStyle w:val="Ttulo1Car"/>
          <w:rFonts w:cs="Times New Roman"/>
          <w:szCs w:val="24"/>
        </w:rPr>
        <w:br w:type="page"/>
      </w:r>
    </w:p>
    <w:p w14:paraId="3FF641C5" w14:textId="30DC3DFF" w:rsidR="0065676B" w:rsidRDefault="0065676B" w:rsidP="00263B16">
      <w:pPr>
        <w:pStyle w:val="Ttulo1"/>
        <w:rPr>
          <w:rStyle w:val="Ttulo1Car"/>
          <w:b/>
        </w:rPr>
      </w:pPr>
      <w:bookmarkStart w:id="212" w:name="_Toc229077697"/>
      <w:r w:rsidRPr="00F913E9">
        <w:rPr>
          <w:rStyle w:val="Ttulo1Car"/>
          <w:b/>
        </w:rPr>
        <w:lastRenderedPageBreak/>
        <w:t>Referencias</w:t>
      </w:r>
      <w:bookmarkEnd w:id="210"/>
      <w:bookmarkEnd w:id="211"/>
      <w:bookmarkEnd w:id="212"/>
    </w:p>
    <w:p w14:paraId="0C433BE0" w14:textId="0A5CCADB" w:rsidR="00E27C5F" w:rsidRDefault="00E27C5F" w:rsidP="00E27C5F"/>
    <w:sdt>
      <w:sdtPr>
        <w:rPr>
          <w:rFonts w:cstheme="minorBidi"/>
          <w:b/>
          <w:bCs/>
          <w:iCs/>
          <w:szCs w:val="22"/>
        </w:rPr>
        <w:tag w:val="MENDELEY_BIBLIOGRAPHY"/>
        <w:id w:val="-2041883730"/>
        <w:placeholder>
          <w:docPart w:val="63E06E271ABC4E7C8163DEAFDA14300C"/>
        </w:placeholder>
      </w:sdtPr>
      <w:sdtEndPr>
        <w:rPr>
          <w:b w:val="0"/>
          <w:iCs w:val="0"/>
          <w:color w:val="000000"/>
        </w:rPr>
      </w:sdtEndPr>
      <w:sdtContent>
        <w:p w14:paraId="4E496475" w14:textId="77777777" w:rsidR="00E27C5F" w:rsidRDefault="00E27C5F" w:rsidP="00E27C5F">
          <w:pPr>
            <w:pStyle w:val="PrrAPA"/>
            <w:ind w:left="284" w:hanging="720"/>
          </w:pPr>
          <w:proofErr w:type="spellStart"/>
          <w:r w:rsidRPr="006177E4">
            <w:t>Barreira</w:t>
          </w:r>
          <w:proofErr w:type="spellEnd"/>
          <w:r w:rsidRPr="006177E4">
            <w:t>, D. V. (2020). Evasión Fiscal en Argentina y el rol del Contador Público como auditor externo.</w:t>
          </w:r>
        </w:p>
        <w:p w14:paraId="709FCC12" w14:textId="77777777" w:rsidR="00E27C5F" w:rsidRPr="006177E4" w:rsidRDefault="00E27C5F" w:rsidP="00E27C5F">
          <w:pPr>
            <w:pStyle w:val="PrrAPA"/>
            <w:ind w:left="284" w:hanging="720"/>
          </w:pPr>
          <w:r w:rsidRPr="006177E4">
            <w:t>Bernal Torres César Augusto, S. D. S. A. T. and S. Rosalba. (2006). Metodología de la investigación para administración, economía,</w:t>
          </w:r>
          <w:r>
            <w:t xml:space="preserve"> </w:t>
          </w:r>
          <w:r w:rsidRPr="006177E4">
            <w:t>humanidades y ciencias sociales. Pearson.</w:t>
          </w:r>
        </w:p>
        <w:p w14:paraId="3D64BA23" w14:textId="77777777" w:rsidR="00E27C5F" w:rsidRDefault="00E27C5F" w:rsidP="00E27C5F">
          <w:pPr>
            <w:pStyle w:val="PrrAPA"/>
            <w:ind w:left="284" w:hanging="720"/>
          </w:pPr>
          <w:r w:rsidRPr="006177E4">
            <w:t>Camacho</w:t>
          </w:r>
          <w:r>
            <w:t>-</w:t>
          </w:r>
          <w:r w:rsidRPr="006177E4">
            <w:t>Tovar, P. A. (2021a). Retención en la fuente para efectos del impuesto sobre la renta en ingresos de la cédula del trabajo: análisis del caso de los docentes catedráticos y personas naturales con vinculación múltiple en Colombia. 133–159.</w:t>
          </w:r>
        </w:p>
        <w:p w14:paraId="5C45A442" w14:textId="77777777" w:rsidR="00E27C5F" w:rsidRPr="00677377" w:rsidRDefault="00E27C5F" w:rsidP="00E27C5F">
          <w:pPr>
            <w:pStyle w:val="PrrAPA"/>
            <w:ind w:left="284" w:hanging="720"/>
          </w:pPr>
          <w:r w:rsidRPr="006177E4">
            <w:t>Constitución Política de Colombia</w:t>
          </w:r>
          <w:r>
            <w:t xml:space="preserve">. </w:t>
          </w:r>
          <w:r w:rsidRPr="006177E4">
            <w:t>(1991)</w:t>
          </w:r>
          <w:r w:rsidRPr="00677377">
            <w:t xml:space="preserve">. </w:t>
          </w:r>
          <w:hyperlink r:id="rId48" w:history="1">
            <w:r w:rsidRPr="00677377">
              <w:rPr>
                <w:rStyle w:val="Hipervnculo"/>
              </w:rPr>
              <w:t>https://www.suin-juriscol.gov.co/viewDocument.asp?ruta=Constitucion/1687988</w:t>
            </w:r>
          </w:hyperlink>
          <w:r w:rsidRPr="00677377">
            <w:t xml:space="preserve"> </w:t>
          </w:r>
        </w:p>
        <w:p w14:paraId="76BB661E" w14:textId="77777777" w:rsidR="00E27C5F" w:rsidRDefault="00E27C5F" w:rsidP="00E27C5F">
          <w:pPr>
            <w:pStyle w:val="PrrAPA"/>
            <w:ind w:left="284" w:hanging="720"/>
          </w:pPr>
          <w:r w:rsidRPr="006177E4">
            <w:t>Decreto 624</w:t>
          </w:r>
          <w:r>
            <w:t>.</w:t>
          </w:r>
          <w:r w:rsidRPr="006177E4">
            <w:t xml:space="preserve"> (1989). </w:t>
          </w:r>
          <w:r w:rsidRPr="002B0C51">
            <w:rPr>
              <w:i/>
            </w:rPr>
            <w:t>Por el cual se expide el Estatuto Tributario de los impuestos administrados por la Dirección General de Impuestos Nacionales</w:t>
          </w:r>
          <w:r w:rsidRPr="002B0C51">
            <w:t xml:space="preserve"> </w:t>
          </w:r>
          <w:hyperlink r:id="rId49" w:history="1">
            <w:r w:rsidRPr="00B331F9">
              <w:rPr>
                <w:rStyle w:val="Hipervnculo"/>
              </w:rPr>
              <w:t>https://www.suin-juriscol.gov.co/viewDocument.asp?id=1132325</w:t>
            </w:r>
          </w:hyperlink>
          <w:r>
            <w:t xml:space="preserve"> </w:t>
          </w:r>
        </w:p>
        <w:p w14:paraId="0E498D8E" w14:textId="77777777" w:rsidR="00E27C5F" w:rsidRDefault="00E27C5F" w:rsidP="00E27C5F">
          <w:pPr>
            <w:pStyle w:val="PrrAPA"/>
            <w:ind w:left="284" w:hanging="720"/>
          </w:pPr>
          <w:r w:rsidRPr="006177E4">
            <w:t>Decreto 1625</w:t>
          </w:r>
          <w:r>
            <w:t>.</w:t>
          </w:r>
          <w:r w:rsidRPr="006177E4">
            <w:t xml:space="preserve"> </w:t>
          </w:r>
          <w:r>
            <w:t>(</w:t>
          </w:r>
          <w:r w:rsidRPr="006177E4">
            <w:t>2016</w:t>
          </w:r>
          <w:r>
            <w:t>).</w:t>
          </w:r>
          <w:r w:rsidRPr="006177E4">
            <w:t xml:space="preserve"> </w:t>
          </w:r>
          <w:r w:rsidRPr="002B0C51">
            <w:rPr>
              <w:i/>
            </w:rPr>
            <w:t>Decreto Único Reglamentario en Materia Tributaria</w:t>
          </w:r>
          <w:r w:rsidRPr="006177E4">
            <w:t xml:space="preserve">. </w:t>
          </w:r>
          <w:hyperlink r:id="rId50" w:history="1">
            <w:r w:rsidRPr="00B331F9">
              <w:rPr>
                <w:rStyle w:val="Hipervnculo"/>
              </w:rPr>
              <w:t>https://www.suin-juriscol.gov.co/viewDocument.asp?ruta=Decretos/30030430</w:t>
            </w:r>
          </w:hyperlink>
          <w:r>
            <w:t xml:space="preserve">   </w:t>
          </w:r>
        </w:p>
        <w:p w14:paraId="36C82F6B" w14:textId="77777777" w:rsidR="00E27C5F" w:rsidRDefault="00E27C5F" w:rsidP="00E27C5F">
          <w:pPr>
            <w:pStyle w:val="PrrAPA"/>
            <w:ind w:left="284" w:hanging="720"/>
          </w:pPr>
          <w:r w:rsidRPr="006177E4">
            <w:t xml:space="preserve">Decreto 1651 (1961). </w:t>
          </w:r>
          <w:r w:rsidRPr="002B0C51">
            <w:rPr>
              <w:i/>
            </w:rPr>
            <w:t>Por el cual se dictan normas sobre el procedimiento en materia de impuestos nacionales</w:t>
          </w:r>
          <w:r>
            <w:t xml:space="preserve">. </w:t>
          </w:r>
          <w:hyperlink r:id="rId51" w:history="1">
            <w:r w:rsidRPr="00B331F9">
              <w:rPr>
                <w:rStyle w:val="Hipervnculo"/>
              </w:rPr>
              <w:t>https://www.suin-juriscol.gov.co/viewDocument.asp?id=1326395</w:t>
            </w:r>
          </w:hyperlink>
        </w:p>
        <w:p w14:paraId="38CFE381" w14:textId="77777777" w:rsidR="00E27C5F" w:rsidRPr="002B0C51" w:rsidRDefault="00E27C5F" w:rsidP="00E27C5F">
          <w:pPr>
            <w:pStyle w:val="PrrAPA"/>
            <w:ind w:left="284" w:hanging="720"/>
          </w:pPr>
          <w:r w:rsidRPr="006177E4">
            <w:t>Decreto 2053 (1974).</w:t>
          </w:r>
          <w:r w:rsidRPr="002B0C51">
            <w:rPr>
              <w:rFonts w:ascii="Arial" w:eastAsia="Times New Roman" w:hAnsi="Arial" w:cs="Arial"/>
              <w:color w:val="000000"/>
              <w:sz w:val="21"/>
              <w:szCs w:val="21"/>
              <w:lang w:eastAsia="es-CO"/>
            </w:rPr>
            <w:t xml:space="preserve"> </w:t>
          </w:r>
          <w:r w:rsidRPr="002B0C51">
            <w:rPr>
              <w:i/>
            </w:rPr>
            <w:t>Por el cual se reorganiza el impuesto sobre la renta y complementarios</w:t>
          </w:r>
          <w:r w:rsidRPr="002B0C51">
            <w:t>.</w:t>
          </w:r>
        </w:p>
        <w:p w14:paraId="1A579838" w14:textId="77777777" w:rsidR="00E27C5F" w:rsidRDefault="00E27C5F" w:rsidP="00E27C5F">
          <w:pPr>
            <w:pStyle w:val="PrrAPA"/>
            <w:ind w:left="284" w:hanging="720"/>
          </w:pPr>
          <w:r w:rsidRPr="006177E4">
            <w:t xml:space="preserve"> </w:t>
          </w:r>
          <w:hyperlink r:id="rId52" w:history="1">
            <w:r w:rsidRPr="00B331F9">
              <w:rPr>
                <w:rStyle w:val="Hipervnculo"/>
              </w:rPr>
              <w:t>https://www.suin-juriscol.gov.co/viewDocument.asp?id=30008496</w:t>
            </w:r>
          </w:hyperlink>
          <w:r>
            <w:t xml:space="preserve"> </w:t>
          </w:r>
        </w:p>
        <w:p w14:paraId="2D775358" w14:textId="77777777" w:rsidR="00E27C5F" w:rsidRDefault="00E27C5F" w:rsidP="00E27C5F">
          <w:pPr>
            <w:pStyle w:val="PrrAPA"/>
            <w:ind w:left="284" w:hanging="720"/>
          </w:pPr>
          <w:r w:rsidRPr="006177E4">
            <w:t xml:space="preserve">Decreto 2876 (1974). </w:t>
          </w:r>
          <w:r w:rsidRPr="002B0C51">
            <w:rPr>
              <w:i/>
            </w:rPr>
            <w:t>Por el cual se reglamenta el artículo 1° de la Ley 14 de 1964 y se modifica el Decreto 1570 de 1974</w:t>
          </w:r>
          <w:r>
            <w:t xml:space="preserve">. </w:t>
          </w:r>
          <w:hyperlink r:id="rId53" w:history="1">
            <w:r w:rsidRPr="00B331F9">
              <w:rPr>
                <w:rStyle w:val="Hipervnculo"/>
              </w:rPr>
              <w:t>https://www.funcionpublica.gov.co/eva/gestornormativo/norma.php?i=168506</w:t>
            </w:r>
          </w:hyperlink>
          <w:r>
            <w:t xml:space="preserve"> </w:t>
          </w:r>
        </w:p>
        <w:p w14:paraId="55C516E2" w14:textId="77777777" w:rsidR="00E27C5F" w:rsidRDefault="00E27C5F" w:rsidP="00E27C5F">
          <w:pPr>
            <w:pStyle w:val="PrrAPA"/>
            <w:ind w:left="284" w:hanging="720"/>
          </w:pPr>
          <w:r w:rsidRPr="006177E4">
            <w:t xml:space="preserve">DIAN. (2019). </w:t>
          </w:r>
          <w:r>
            <w:t>Informe anual.</w:t>
          </w:r>
          <w:r w:rsidRPr="002B0C51">
            <w:t xml:space="preserve"> </w:t>
          </w:r>
          <w:r w:rsidRPr="006177E4">
            <w:t xml:space="preserve">Oficio 29278 de </w:t>
          </w:r>
          <w:proofErr w:type="gramStart"/>
          <w:r w:rsidRPr="006177E4">
            <w:t>2019</w:t>
          </w:r>
          <w:r>
            <w:t xml:space="preserve"> </w:t>
          </w:r>
          <w:r w:rsidRPr="006177E4">
            <w:t>.</w:t>
          </w:r>
          <w:proofErr w:type="gramEnd"/>
          <w:r w:rsidRPr="006177E4">
            <w:t xml:space="preserve"> </w:t>
          </w:r>
          <w:hyperlink r:id="rId54" w:history="1">
            <w:r w:rsidRPr="00B331F9">
              <w:rPr>
                <w:rStyle w:val="Hipervnculo"/>
              </w:rPr>
              <w:t>https://normograma.dian.gov.co/dian/compilacion/docs/oficio_dian_29278_2019.htm</w:t>
            </w:r>
          </w:hyperlink>
        </w:p>
        <w:p w14:paraId="050BB39F" w14:textId="77777777" w:rsidR="00E27C5F" w:rsidRDefault="00E27C5F" w:rsidP="00E27C5F">
          <w:pPr>
            <w:pStyle w:val="PrrAPA"/>
            <w:ind w:left="284" w:hanging="720"/>
          </w:pPr>
          <w:r w:rsidRPr="006177E4">
            <w:t xml:space="preserve">DIAN. (2020a). </w:t>
          </w:r>
          <w:r>
            <w:t xml:space="preserve">Informe anual. </w:t>
          </w:r>
          <w:r w:rsidRPr="006177E4">
            <w:t xml:space="preserve">Oficio 902639 de 2020. DIAN. </w:t>
          </w:r>
          <w:hyperlink r:id="rId55" w:history="1">
            <w:r w:rsidRPr="00B331F9">
              <w:rPr>
                <w:rStyle w:val="Hipervnculo"/>
              </w:rPr>
              <w:t>https://normograma.dian.gov.co/dian/compilacion/docs/oficio_dian_902639_2020.htm</w:t>
            </w:r>
          </w:hyperlink>
        </w:p>
        <w:p w14:paraId="2CF6943C" w14:textId="77777777" w:rsidR="00E27C5F" w:rsidRDefault="00E27C5F" w:rsidP="00E27C5F">
          <w:pPr>
            <w:pStyle w:val="PrrAPA"/>
            <w:ind w:left="284" w:hanging="720"/>
          </w:pPr>
          <w:r w:rsidRPr="006177E4">
            <w:t>DIAN. (2020b).</w:t>
          </w:r>
          <w:r>
            <w:t xml:space="preserve"> Informe anual.</w:t>
          </w:r>
          <w:r w:rsidRPr="006177E4">
            <w:t xml:space="preserve"> Oficio 910619 de 2020. DIAN. </w:t>
          </w:r>
          <w:hyperlink r:id="rId56" w:history="1">
            <w:r w:rsidRPr="00B331F9">
              <w:rPr>
                <w:rStyle w:val="Hipervnculo"/>
              </w:rPr>
              <w:t>https://normograma.dian.gov.co/dian/compilacion/docs/oficio_dian_910619_2020.htm</w:t>
            </w:r>
          </w:hyperlink>
        </w:p>
        <w:p w14:paraId="0AA1817D" w14:textId="77777777" w:rsidR="00E27C5F" w:rsidRDefault="00E27C5F" w:rsidP="00E27C5F">
          <w:pPr>
            <w:pStyle w:val="PrrAPA"/>
            <w:ind w:left="284" w:hanging="720"/>
          </w:pPr>
          <w:r w:rsidRPr="006177E4">
            <w:t>DIAN. (2021a</w:t>
          </w:r>
          <w:r w:rsidRPr="00E45275">
            <w:t xml:space="preserve"> </w:t>
          </w:r>
          <w:r>
            <w:t xml:space="preserve">Informe anual. </w:t>
          </w:r>
          <w:r w:rsidRPr="006177E4">
            <w:t xml:space="preserve">Oficio 905544 de 2021. DIAN. </w:t>
          </w:r>
          <w:hyperlink r:id="rId57" w:history="1">
            <w:r w:rsidRPr="00B331F9">
              <w:rPr>
                <w:rStyle w:val="Hipervnculo"/>
              </w:rPr>
              <w:t>https://normograma.dian.gov.co/dian/compilacion/docs/oficio_dian_905544_2021.htm</w:t>
            </w:r>
          </w:hyperlink>
        </w:p>
        <w:p w14:paraId="70F15B05" w14:textId="77777777" w:rsidR="00E27C5F" w:rsidRDefault="00E27C5F" w:rsidP="00E27C5F">
          <w:pPr>
            <w:pStyle w:val="PrrAPA"/>
            <w:ind w:left="284" w:hanging="720"/>
          </w:pPr>
          <w:r w:rsidRPr="006177E4">
            <w:lastRenderedPageBreak/>
            <w:t>DIAN. (2021b).</w:t>
          </w:r>
          <w:r>
            <w:t xml:space="preserve"> Informe anual. </w:t>
          </w:r>
          <w:r w:rsidRPr="006177E4">
            <w:t xml:space="preserve">Oficio 905545 de 2021. DIAN. </w:t>
          </w:r>
          <w:hyperlink r:id="rId58" w:history="1">
            <w:r w:rsidRPr="00B331F9">
              <w:rPr>
                <w:rStyle w:val="Hipervnculo"/>
              </w:rPr>
              <w:t>https://normograma.dian.gov.co/dian/compilacion/docs/oficio_dian_905545_2021.htm</w:t>
            </w:r>
          </w:hyperlink>
        </w:p>
        <w:p w14:paraId="763DBB03" w14:textId="77777777" w:rsidR="00E27C5F" w:rsidRDefault="00E27C5F" w:rsidP="00E27C5F">
          <w:pPr>
            <w:pStyle w:val="PrrAPA"/>
            <w:ind w:left="284" w:hanging="720"/>
          </w:pPr>
          <w:r>
            <w:t xml:space="preserve"> </w:t>
          </w:r>
          <w:r w:rsidRPr="006177E4">
            <w:t xml:space="preserve">DIAN. (2021c). </w:t>
          </w:r>
          <w:r>
            <w:t xml:space="preserve">Informe anual. </w:t>
          </w:r>
          <w:r w:rsidRPr="006177E4">
            <w:t xml:space="preserve">Oficio 913636 de 2021. DIAN. </w:t>
          </w:r>
          <w:hyperlink r:id="rId59" w:history="1">
            <w:r w:rsidRPr="00B331F9">
              <w:rPr>
                <w:rStyle w:val="Hipervnculo"/>
              </w:rPr>
              <w:t>https://normograma.dian.gov.co/dian/compilacion/docs/oficio_dian_913636_2021.htm</w:t>
            </w:r>
          </w:hyperlink>
        </w:p>
        <w:p w14:paraId="393C4705" w14:textId="77777777" w:rsidR="00E27C5F" w:rsidRDefault="00E27C5F" w:rsidP="00E27C5F">
          <w:pPr>
            <w:pStyle w:val="PrrAPA"/>
            <w:ind w:left="284" w:hanging="720"/>
          </w:pPr>
          <w:r w:rsidRPr="006177E4">
            <w:t>DIAN. (2023).</w:t>
          </w:r>
          <w:r>
            <w:t xml:space="preserve"> Informe anual. </w:t>
          </w:r>
          <w:r w:rsidRPr="006177E4">
            <w:t xml:space="preserve">Oficio 4638 de 2023. DIAN. </w:t>
          </w:r>
          <w:hyperlink r:id="rId60" w:history="1">
            <w:r w:rsidRPr="00B331F9">
              <w:rPr>
                <w:rStyle w:val="Hipervnculo"/>
              </w:rPr>
              <w:t>https://normograma.dian.gov.co/dian/compilacion/docs/oficio_dian_4638_2023.htm</w:t>
            </w:r>
          </w:hyperlink>
        </w:p>
        <w:p w14:paraId="587D5811" w14:textId="77777777" w:rsidR="00E27C5F" w:rsidRDefault="00E27C5F" w:rsidP="00E27C5F">
          <w:pPr>
            <w:pStyle w:val="PrrAPA"/>
            <w:ind w:left="284" w:hanging="720"/>
          </w:pPr>
          <w:r w:rsidRPr="006177E4">
            <w:t>DIAN. (2024a).</w:t>
          </w:r>
          <w:r>
            <w:t xml:space="preserve"> Informe anual. </w:t>
          </w:r>
          <w:r w:rsidRPr="006177E4">
            <w:t xml:space="preserve">Concepto 8678 de 2024. DIAN. </w:t>
          </w:r>
          <w:r>
            <w:t xml:space="preserve"> </w:t>
          </w:r>
          <w:hyperlink r:id="rId61" w:history="1">
            <w:r w:rsidRPr="00B331F9">
              <w:rPr>
                <w:rStyle w:val="Hipervnculo"/>
              </w:rPr>
              <w:t>https://normograma.dian.gov.co/dian/compilacion/docs/oficio_dian_8678_2024.htm</w:t>
            </w:r>
          </w:hyperlink>
        </w:p>
        <w:p w14:paraId="5BA8686E" w14:textId="77777777" w:rsidR="00E27C5F" w:rsidRDefault="00E27C5F" w:rsidP="00E27C5F">
          <w:pPr>
            <w:pStyle w:val="PrrAPA"/>
            <w:ind w:left="284" w:hanging="720"/>
          </w:pPr>
          <w:r>
            <w:t xml:space="preserve">DIAN. </w:t>
          </w:r>
          <w:r w:rsidRPr="006177E4">
            <w:t>(2024b</w:t>
          </w:r>
          <w:r w:rsidRPr="00E45275">
            <w:t xml:space="preserve"> </w:t>
          </w:r>
          <w:r>
            <w:t xml:space="preserve">Informe anual. </w:t>
          </w:r>
          <w:r w:rsidRPr="006177E4">
            <w:t>Concepto-008678-int 991-08112024.</w:t>
          </w:r>
        </w:p>
        <w:p w14:paraId="66BB1F26" w14:textId="77777777" w:rsidR="00E27C5F" w:rsidRDefault="00E27C5F" w:rsidP="00E27C5F">
          <w:pPr>
            <w:pStyle w:val="PrrAPA"/>
            <w:ind w:left="284" w:hanging="720"/>
          </w:pPr>
          <w:r w:rsidRPr="006177E4">
            <w:t>DIAN. (2025).</w:t>
          </w:r>
          <w:r>
            <w:t xml:space="preserve"> Informe anual.</w:t>
          </w:r>
          <w:r w:rsidRPr="006177E4">
            <w:t xml:space="preserve"> Concepto 16224</w:t>
          </w:r>
          <w:r>
            <w:t xml:space="preserve">. </w:t>
          </w:r>
          <w:hyperlink r:id="rId62" w:history="1">
            <w:r w:rsidRPr="00B331F9">
              <w:rPr>
                <w:rStyle w:val="Hipervnculo"/>
              </w:rPr>
              <w:t>https://normograma.dian.gov.co/dian/compilacion/docs/oficio_dian_16224_2025.htm</w:t>
            </w:r>
          </w:hyperlink>
        </w:p>
        <w:p w14:paraId="33A6D0D1" w14:textId="77777777" w:rsidR="00E27C5F" w:rsidRDefault="00E27C5F" w:rsidP="00E27C5F">
          <w:pPr>
            <w:pStyle w:val="PrrAPA"/>
            <w:ind w:left="284" w:hanging="720"/>
          </w:pPr>
          <w:r w:rsidRPr="006177E4">
            <w:t xml:space="preserve">Espinosa, Y. S., Rodríguez, G. T., Díaz </w:t>
          </w:r>
          <w:proofErr w:type="spellStart"/>
          <w:r w:rsidRPr="006177E4">
            <w:t>Díaz</w:t>
          </w:r>
          <w:proofErr w:type="spellEnd"/>
          <w:r w:rsidRPr="006177E4">
            <w:t xml:space="preserve">, F., &amp; Porras, E. (2021a). Cultura tributaria como estrategia para prevenir el incumplimiento de los deberes formales del contribuyente. </w:t>
          </w:r>
          <w:r w:rsidRPr="00E45275">
            <w:rPr>
              <w:i/>
            </w:rPr>
            <w:t>Apuntes Contables</w:t>
          </w:r>
          <w:r w:rsidRPr="006177E4">
            <w:t xml:space="preserve">, (31), 153–171. </w:t>
          </w:r>
          <w:hyperlink r:id="rId63" w:history="1">
            <w:r w:rsidRPr="00B331F9">
              <w:rPr>
                <w:rStyle w:val="Hipervnculo"/>
              </w:rPr>
              <w:t>https://doi.org/10.18601/16577175.n31.09</w:t>
            </w:r>
          </w:hyperlink>
          <w:r>
            <w:t xml:space="preserve"> </w:t>
          </w:r>
        </w:p>
        <w:p w14:paraId="21A5BDDD" w14:textId="77777777" w:rsidR="00E27C5F" w:rsidRDefault="00E27C5F" w:rsidP="00E27C5F">
          <w:pPr>
            <w:pStyle w:val="PrrAPA"/>
            <w:ind w:left="284" w:hanging="720"/>
          </w:pPr>
          <w:r>
            <w:t xml:space="preserve">Facultad de Derecho, Universidad de Buenos Aires. (2021). </w:t>
          </w:r>
          <w:r>
            <w:rPr>
              <w:rStyle w:val="nfasis"/>
            </w:rPr>
            <w:t>Debates de derecho tributario y financiero: Derecho penal tributario</w:t>
          </w:r>
          <w:r>
            <w:t xml:space="preserve"> (Año I, N.º 1). Centro de Estudios de Derecho Financiero y Derecho Tributario. </w:t>
          </w:r>
          <w:hyperlink r:id="rId64" w:tgtFrame="_new" w:history="1">
            <w:r>
              <w:rPr>
                <w:rStyle w:val="Hipervnculo"/>
              </w:rPr>
              <w:t>https://www.derecho.uba.ar/institucional/centro-estudios-der-tributario/revista/revista-Tributario-Ed0001.pdf</w:t>
            </w:r>
          </w:hyperlink>
        </w:p>
        <w:p w14:paraId="6E719C40" w14:textId="77777777" w:rsidR="00E27C5F" w:rsidRDefault="00E27C5F" w:rsidP="00E27C5F">
          <w:pPr>
            <w:pStyle w:val="PrrAPA"/>
            <w:ind w:left="284" w:hanging="720"/>
          </w:pPr>
          <w:r w:rsidRPr="006177E4">
            <w:t>Fonrouge, A. M. (1975). Derecho Financiero.</w:t>
          </w:r>
        </w:p>
        <w:p w14:paraId="178442B5" w14:textId="77777777" w:rsidR="00E27C5F" w:rsidRDefault="00E27C5F" w:rsidP="00E27C5F">
          <w:pPr>
            <w:pStyle w:val="PrrAPA"/>
            <w:ind w:left="284" w:hanging="720"/>
          </w:pPr>
          <w:proofErr w:type="spellStart"/>
          <w:r w:rsidRPr="006177E4">
            <w:t>Galvan</w:t>
          </w:r>
          <w:proofErr w:type="spellEnd"/>
          <w:r w:rsidRPr="006177E4">
            <w:t xml:space="preserve">, G., </w:t>
          </w:r>
          <w:proofErr w:type="spellStart"/>
          <w:r w:rsidRPr="006177E4">
            <w:t>Slendys</w:t>
          </w:r>
          <w:proofErr w:type="spellEnd"/>
          <w:r w:rsidRPr="006177E4">
            <w:t xml:space="preserve">, C., &amp; De Hoyos, R. (s/f-a). Planeación Tributaria en las empresas para el uso eficiente de los recursos fiscales. </w:t>
          </w:r>
          <w:hyperlink r:id="rId65" w:history="1">
            <w:r w:rsidRPr="00B7340C">
              <w:rPr>
                <w:rStyle w:val="Hipervnculo"/>
                <w:rFonts w:eastAsia="Times New Roman"/>
              </w:rPr>
              <w:t>www.uestasbcali.edu.co</w:t>
            </w:r>
          </w:hyperlink>
          <w:r>
            <w:t xml:space="preserve"> </w:t>
          </w:r>
        </w:p>
        <w:p w14:paraId="47FFCC2E" w14:textId="77777777" w:rsidR="00E27C5F" w:rsidRDefault="00E27C5F" w:rsidP="00E27C5F">
          <w:pPr>
            <w:pStyle w:val="PrrAPA"/>
            <w:ind w:left="284" w:hanging="720"/>
          </w:pPr>
          <w:r w:rsidRPr="006177E4">
            <w:t>Giraldo G</w:t>
          </w:r>
          <w:r>
            <w:t>.</w:t>
          </w:r>
          <w:r w:rsidRPr="006177E4">
            <w:t xml:space="preserve"> W</w:t>
          </w:r>
          <w:r>
            <w:t>.</w:t>
          </w:r>
          <w:r w:rsidRPr="006177E4">
            <w:t xml:space="preserve"> (2011). 25000-23-27-000-2009-00075-01 (18304).</w:t>
          </w:r>
          <w:r>
            <w:t xml:space="preserve"> </w:t>
          </w:r>
        </w:p>
        <w:p w14:paraId="3B48E3EB" w14:textId="77777777" w:rsidR="00E27C5F" w:rsidRDefault="00E27C5F" w:rsidP="00E27C5F">
          <w:pPr>
            <w:pStyle w:val="PrrAPA"/>
            <w:ind w:left="284" w:hanging="720"/>
          </w:pPr>
          <w:r w:rsidRPr="006177E4">
            <w:t>Gómez</w:t>
          </w:r>
          <w:r>
            <w:t>-</w:t>
          </w:r>
          <w:proofErr w:type="spellStart"/>
          <w:r w:rsidRPr="006177E4">
            <w:t>Sabaini</w:t>
          </w:r>
          <w:proofErr w:type="spellEnd"/>
          <w:r w:rsidRPr="006177E4">
            <w:t xml:space="preserve">, J. C., &amp; Dalmiro, M. (2020). Estrategias para abordar la evasión tributaria en América Latina y el Caribe: avances en su medición y panorama de las medidas recientes para reducir su magnitud. </w:t>
          </w:r>
          <w:hyperlink r:id="rId66" w:history="1">
            <w:r w:rsidRPr="00B331F9">
              <w:rPr>
                <w:rStyle w:val="Hipervnculo"/>
              </w:rPr>
              <w:t>www.cepal.org/apps</w:t>
            </w:r>
          </w:hyperlink>
          <w:r>
            <w:t xml:space="preserve"> </w:t>
          </w:r>
        </w:p>
        <w:p w14:paraId="765C74BA" w14:textId="77777777" w:rsidR="00E27C5F" w:rsidRDefault="00E27C5F" w:rsidP="00E27C5F">
          <w:pPr>
            <w:pStyle w:val="PrrAPA"/>
            <w:ind w:left="284" w:hanging="720"/>
          </w:pPr>
          <w:r w:rsidRPr="006177E4">
            <w:t>González</w:t>
          </w:r>
          <w:r>
            <w:t>-</w:t>
          </w:r>
          <w:r w:rsidRPr="006177E4">
            <w:t>Peñaloza, A. J., Stevenson, D., &amp; López, D. (2024). Controles tributarios y la evasión fiscal en Colombia.</w:t>
          </w:r>
        </w:p>
        <w:p w14:paraId="53F6F2EA" w14:textId="77777777" w:rsidR="00E27C5F" w:rsidRDefault="00E27C5F" w:rsidP="00E27C5F">
          <w:pPr>
            <w:pStyle w:val="PrrAPA"/>
            <w:ind w:left="284" w:hanging="720"/>
          </w:pPr>
          <w:proofErr w:type="spellStart"/>
          <w:r w:rsidRPr="006177E4">
            <w:t>Hernández</w:t>
          </w:r>
          <w:r>
            <w:t>-</w:t>
          </w:r>
          <w:r w:rsidRPr="006177E4">
            <w:t>Sampieri</w:t>
          </w:r>
          <w:proofErr w:type="spellEnd"/>
          <w:r w:rsidRPr="006177E4">
            <w:t>, R., &amp; Mendoza</w:t>
          </w:r>
          <w:r>
            <w:t>-</w:t>
          </w:r>
          <w:r w:rsidRPr="006177E4">
            <w:t>Torres, C. P. (2018</w:t>
          </w:r>
          <w:r w:rsidRPr="00520464">
            <w:rPr>
              <w:i/>
            </w:rPr>
            <w:t>). Metodología de la investigación: Las rutas cuantitativa, cualitativa y mixta</w:t>
          </w:r>
          <w:r w:rsidRPr="006177E4">
            <w:t xml:space="preserve">. McGraw-Hill </w:t>
          </w:r>
          <w:proofErr w:type="spellStart"/>
          <w:r w:rsidRPr="006177E4">
            <w:t>Education</w:t>
          </w:r>
          <w:proofErr w:type="spellEnd"/>
          <w:r w:rsidRPr="006177E4">
            <w:t>.</w:t>
          </w:r>
        </w:p>
        <w:p w14:paraId="43D1D1DA" w14:textId="77777777" w:rsidR="00E27C5F" w:rsidRDefault="00E27C5F" w:rsidP="00E27C5F">
          <w:pPr>
            <w:pStyle w:val="PrrAPA"/>
            <w:ind w:left="284" w:hanging="720"/>
          </w:pPr>
          <w:proofErr w:type="spellStart"/>
          <w:r w:rsidRPr="001807B0">
            <w:t>Jarach</w:t>
          </w:r>
          <w:proofErr w:type="spellEnd"/>
          <w:r w:rsidRPr="001807B0">
            <w:t xml:space="preserve"> 1951. (s/f).</w:t>
          </w:r>
        </w:p>
        <w:p w14:paraId="636C5FAD" w14:textId="77777777" w:rsidR="00E27C5F" w:rsidRDefault="00E27C5F" w:rsidP="00E27C5F">
          <w:pPr>
            <w:pStyle w:val="PrrAPA"/>
            <w:ind w:left="284" w:hanging="720"/>
          </w:pPr>
          <w:r w:rsidRPr="006177E4">
            <w:lastRenderedPageBreak/>
            <w:t xml:space="preserve">Javier, P., García, H., Ejecutivo, P., Fernando, L., &amp; </w:t>
          </w:r>
          <w:proofErr w:type="spellStart"/>
          <w:r w:rsidRPr="006177E4">
            <w:t>Saenz</w:t>
          </w:r>
          <w:proofErr w:type="spellEnd"/>
          <w:r w:rsidRPr="006177E4">
            <w:t xml:space="preserve">, V. (s/f). </w:t>
          </w:r>
          <w:r>
            <w:t>J</w:t>
          </w:r>
          <w:r w:rsidRPr="006177E4">
            <w:t xml:space="preserve">unta directiva 2023-2026 </w:t>
          </w:r>
          <w:proofErr w:type="spellStart"/>
          <w:r w:rsidRPr="006177E4">
            <w:t>revisoria</w:t>
          </w:r>
          <w:proofErr w:type="spellEnd"/>
          <w:r w:rsidRPr="006177E4">
            <w:t xml:space="preserve"> fiscal: </w:t>
          </w:r>
          <w:proofErr w:type="spellStart"/>
          <w:r w:rsidRPr="006177E4">
            <w:t>auditing</w:t>
          </w:r>
          <w:proofErr w:type="spellEnd"/>
          <w:r w:rsidRPr="006177E4">
            <w:t xml:space="preserve"> </w:t>
          </w:r>
          <w:proofErr w:type="spellStart"/>
          <w:r w:rsidRPr="006177E4">
            <w:t>accouting</w:t>
          </w:r>
          <w:proofErr w:type="spellEnd"/>
          <w:r w:rsidRPr="006177E4">
            <w:t xml:space="preserve"> </w:t>
          </w:r>
          <w:proofErr w:type="spellStart"/>
          <w:r w:rsidRPr="006177E4">
            <w:t>recor</w:t>
          </w:r>
          <w:proofErr w:type="spellEnd"/>
          <w:r w:rsidRPr="006177E4">
            <w:t xml:space="preserve"> </w:t>
          </w:r>
          <w:proofErr w:type="spellStart"/>
          <w:r w:rsidRPr="006177E4">
            <w:t>colombia</w:t>
          </w:r>
          <w:proofErr w:type="spellEnd"/>
          <w:r w:rsidRPr="006177E4">
            <w:t xml:space="preserve"> </w:t>
          </w:r>
          <w:proofErr w:type="spellStart"/>
          <w:r w:rsidRPr="006177E4">
            <w:t>s.a.s</w:t>
          </w:r>
          <w:proofErr w:type="spellEnd"/>
          <w:r w:rsidRPr="006177E4">
            <w:t xml:space="preserve">. revisor fiscal principal </w:t>
          </w:r>
          <w:proofErr w:type="spellStart"/>
          <w:r w:rsidRPr="006177E4">
            <w:t>alberto</w:t>
          </w:r>
          <w:proofErr w:type="spellEnd"/>
          <w:r w:rsidRPr="006177E4">
            <w:t xml:space="preserve"> chacón espinosa revisor fiscal suplente.</w:t>
          </w:r>
        </w:p>
        <w:p w14:paraId="4F9F54A0" w14:textId="77777777" w:rsidR="00E27C5F" w:rsidRPr="00285127" w:rsidRDefault="00E27C5F" w:rsidP="00E27C5F">
          <w:pPr>
            <w:pStyle w:val="PrrAPA"/>
            <w:ind w:left="284" w:hanging="720"/>
          </w:pPr>
          <w:r w:rsidRPr="001807B0">
            <w:t>Kelsen 1934. (s/f).</w:t>
          </w:r>
        </w:p>
        <w:p w14:paraId="2E7E63BB" w14:textId="77777777" w:rsidR="00E27C5F" w:rsidRPr="00285127" w:rsidRDefault="00E27C5F" w:rsidP="00E27C5F">
          <w:pPr>
            <w:pStyle w:val="PrrAPA"/>
            <w:ind w:left="284" w:hanging="720"/>
          </w:pPr>
          <w:r w:rsidRPr="00285127">
            <w:t xml:space="preserve">Ley 38. (1969). </w:t>
          </w:r>
          <w:r w:rsidRPr="00520464">
            <w:t>Por la cual se dictan normas sobre retención en la fuente y anticipo del impuesto sobre la renta y complementarios y se señalan sanciones</w:t>
          </w:r>
          <w:r>
            <w:t xml:space="preserve">. </w:t>
          </w:r>
          <w:hyperlink r:id="rId67" w:history="1">
            <w:r w:rsidRPr="00285127">
              <w:rPr>
                <w:rStyle w:val="Hipervnculo"/>
              </w:rPr>
              <w:t>https://www.suin-juriscol.gov.co/viewDocument.asp?ruta=Leyes/1593818</w:t>
            </w:r>
          </w:hyperlink>
          <w:r w:rsidRPr="00285127">
            <w:t xml:space="preserve"> </w:t>
          </w:r>
        </w:p>
        <w:p w14:paraId="41C4BC19" w14:textId="77777777" w:rsidR="00E27C5F" w:rsidRPr="00520464" w:rsidRDefault="00E27C5F" w:rsidP="00E27C5F">
          <w:pPr>
            <w:pStyle w:val="PrrAPA"/>
            <w:ind w:left="284" w:hanging="720"/>
          </w:pPr>
          <w:r w:rsidRPr="006177E4">
            <w:t>Ley 599</w:t>
          </w:r>
          <w:r>
            <w:t>.</w:t>
          </w:r>
          <w:r w:rsidRPr="006177E4">
            <w:t xml:space="preserve"> (2000). </w:t>
          </w:r>
          <w:r>
            <w:t xml:space="preserve">Por la cual se expide el código penal. </w:t>
          </w:r>
          <w:hyperlink r:id="rId68" w:history="1">
            <w:r w:rsidRPr="00B331F9">
              <w:rPr>
                <w:rStyle w:val="Hipervnculo"/>
              </w:rPr>
              <w:t>http://www.secretariasenado.gov.co/senado/basedoc/ley_0599_2000.html</w:t>
            </w:r>
          </w:hyperlink>
          <w:r>
            <w:t xml:space="preserve"> </w:t>
          </w:r>
        </w:p>
        <w:p w14:paraId="3370E9A5" w14:textId="77777777" w:rsidR="00E27C5F" w:rsidRDefault="00E27C5F" w:rsidP="00E27C5F">
          <w:pPr>
            <w:pStyle w:val="PrrAPA"/>
            <w:ind w:left="284" w:hanging="720"/>
          </w:pPr>
          <w:r w:rsidRPr="006177E4">
            <w:t>Ley 1066 de 2006</w:t>
          </w:r>
          <w:r>
            <w:t>.</w:t>
          </w:r>
          <w:r w:rsidRPr="006177E4">
            <w:t xml:space="preserve"> (2006). </w:t>
          </w:r>
          <w:r w:rsidRPr="00520464">
            <w:t>por la cual se dictan normas para la normalización de la cartera pública y se dictan otras disposiciones.</w:t>
          </w:r>
          <w:r>
            <w:t xml:space="preserve"> </w:t>
          </w:r>
          <w:hyperlink r:id="rId69" w:history="1">
            <w:r w:rsidRPr="00B331F9">
              <w:rPr>
                <w:rStyle w:val="Hipervnculo"/>
              </w:rPr>
              <w:t>https://www.suin-juriscol.gov.co/viewDocument.asp?id=1673244</w:t>
            </w:r>
          </w:hyperlink>
          <w:r>
            <w:t xml:space="preserve"> </w:t>
          </w:r>
        </w:p>
        <w:p w14:paraId="0DC01B43" w14:textId="77777777" w:rsidR="00E27C5F" w:rsidRDefault="00E27C5F" w:rsidP="00E27C5F">
          <w:pPr>
            <w:pStyle w:val="PrrAPA"/>
            <w:ind w:left="284" w:hanging="720"/>
          </w:pPr>
          <w:r w:rsidRPr="001807B0">
            <w:t>Ley 1116 de 2006. Por la cual se establece el régimen de insolvencia empresarial en la República de Colombia y se dictan otras disposiciones. 27 de diciembre de 2006. Diario Oficial No. 46.494. SUIN-</w:t>
          </w:r>
          <w:proofErr w:type="spellStart"/>
          <w:r w:rsidRPr="001807B0">
            <w:t>Juriscol</w:t>
          </w:r>
          <w:proofErr w:type="spellEnd"/>
          <w:r w:rsidRPr="001807B0">
            <w:t xml:space="preserve">. </w:t>
          </w:r>
          <w:hyperlink r:id="rId70" w:history="1">
            <w:r w:rsidRPr="00D97222">
              <w:rPr>
                <w:rStyle w:val="Hipervnculo"/>
              </w:rPr>
              <w:t>https://www.suin-juriscol.gov.co/viewDocument.asp?id=1674203</w:t>
            </w:r>
          </w:hyperlink>
        </w:p>
        <w:p w14:paraId="1DE29549" w14:textId="77777777" w:rsidR="00E27C5F" w:rsidRDefault="00E27C5F" w:rsidP="00E27C5F">
          <w:pPr>
            <w:pStyle w:val="PrrAPA"/>
            <w:ind w:left="284" w:hanging="720"/>
          </w:pPr>
          <w:r w:rsidRPr="006177E4">
            <w:t>Ley 1430 (2010).</w:t>
          </w:r>
          <w:r>
            <w:t xml:space="preserve"> </w:t>
          </w:r>
          <w:r w:rsidRPr="00520464">
            <w:t>Por medio de la cual se dictan normas tributarias de control y para la competitividad.</w:t>
          </w:r>
          <w:r w:rsidRPr="006177E4">
            <w:t xml:space="preserve"> </w:t>
          </w:r>
          <w:hyperlink r:id="rId71" w:history="1">
            <w:r w:rsidRPr="00B331F9">
              <w:rPr>
                <w:rStyle w:val="Hipervnculo"/>
              </w:rPr>
              <w:t>http://www.secretariasenado.gov.co/senado/basedoc/ley_1430_2010.html</w:t>
            </w:r>
          </w:hyperlink>
        </w:p>
        <w:p w14:paraId="1885D0FD" w14:textId="77777777" w:rsidR="00E27C5F" w:rsidRDefault="00E27C5F" w:rsidP="00E27C5F">
          <w:pPr>
            <w:pStyle w:val="PrrAPA"/>
            <w:ind w:left="284" w:hanging="720"/>
          </w:pPr>
          <w:r w:rsidRPr="006177E4">
            <w:t xml:space="preserve">Ley 1819 (2016). </w:t>
          </w:r>
          <w:r w:rsidRPr="00F6396E">
            <w:t>Por medio de la cual se adopta una reforma tributaria estructural, se fortalecen los mecanismos para la lucha contra la evasión y la elusión fiscal, y se dictan otras disposiciones.</w:t>
          </w:r>
          <w:r>
            <w:t xml:space="preserve"> </w:t>
          </w:r>
          <w:hyperlink r:id="rId72" w:history="1">
            <w:r w:rsidRPr="00B331F9">
              <w:rPr>
                <w:rStyle w:val="Hipervnculo"/>
              </w:rPr>
              <w:t>http://www.secretariasenado.gov.co/senado/basedoc/ley_1819_2016.html</w:t>
            </w:r>
          </w:hyperlink>
          <w:r>
            <w:t>}</w:t>
          </w:r>
        </w:p>
        <w:p w14:paraId="60AF279D" w14:textId="77777777" w:rsidR="00E27C5F" w:rsidRDefault="00E27C5F" w:rsidP="00E27C5F">
          <w:pPr>
            <w:pStyle w:val="PrrAPA"/>
            <w:ind w:left="284" w:hanging="720"/>
          </w:pPr>
          <w:r w:rsidRPr="006177E4">
            <w:t xml:space="preserve">Ley 1943 (2018). </w:t>
          </w:r>
          <w:r w:rsidRPr="00F6396E">
            <w:t>Por la cual se expiden normas de financiamiento para el restablecimiento del equilibrio del presupuesto general y se dictan otras disposiciones.</w:t>
          </w:r>
          <w:r>
            <w:t xml:space="preserve"> </w:t>
          </w:r>
          <w:hyperlink r:id="rId73" w:history="1">
            <w:r w:rsidRPr="00B331F9">
              <w:rPr>
                <w:rStyle w:val="Hipervnculo"/>
              </w:rPr>
              <w:t>http://www.secretariasenado.gov.co/senado/basedoc/ley_1943_2018.html</w:t>
            </w:r>
          </w:hyperlink>
          <w:r>
            <w:t xml:space="preserve"> </w:t>
          </w:r>
        </w:p>
        <w:p w14:paraId="3A8FAA98" w14:textId="77777777" w:rsidR="00E27C5F" w:rsidRDefault="00E27C5F" w:rsidP="00E27C5F">
          <w:pPr>
            <w:pStyle w:val="PrrAPA"/>
            <w:ind w:left="284" w:hanging="720"/>
          </w:pPr>
          <w:r w:rsidRPr="006177E4">
            <w:t>Ley 2010</w:t>
          </w:r>
          <w:r>
            <w:t xml:space="preserve">. </w:t>
          </w:r>
          <w:r w:rsidRPr="006177E4">
            <w:t>(2019).</w:t>
          </w:r>
          <w:r>
            <w:t xml:space="preserve"> P</w:t>
          </w:r>
          <w:r w:rsidRPr="00F6396E">
            <w:t>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r w:rsidRPr="006177E4">
            <w:t xml:space="preserve"> </w:t>
          </w:r>
          <w:hyperlink r:id="rId74" w:history="1">
            <w:r w:rsidRPr="00B331F9">
              <w:rPr>
                <w:rStyle w:val="Hipervnculo"/>
              </w:rPr>
              <w:t>https://www.suin-juriscol.gov.co/viewDocument.asp?id=30038705</w:t>
            </w:r>
          </w:hyperlink>
          <w:r>
            <w:t xml:space="preserve">  </w:t>
          </w:r>
        </w:p>
        <w:p w14:paraId="34906D06" w14:textId="77777777" w:rsidR="00E27C5F" w:rsidRDefault="00E27C5F" w:rsidP="00E27C5F">
          <w:pPr>
            <w:pStyle w:val="PrrAPA"/>
            <w:ind w:left="284" w:hanging="720"/>
          </w:pPr>
          <w:r w:rsidRPr="00551CDB">
            <w:t xml:space="preserve">Ley 2155 de 2021. Por medio de la cual se expide la Ley de Inversión Social y se dictan otras disposiciones. 14 de septiembre de 2021. Diario Oficial No. 51.797. </w:t>
          </w:r>
          <w:hyperlink r:id="rId75" w:history="1">
            <w:r w:rsidRPr="00D97222">
              <w:rPr>
                <w:rStyle w:val="Hipervnculo"/>
              </w:rPr>
              <w:t>https://www.suin-juriscol.gov.co/viewDocument.asp?id=30042704</w:t>
            </w:r>
          </w:hyperlink>
        </w:p>
        <w:p w14:paraId="23B356EC" w14:textId="77777777" w:rsidR="00E27C5F" w:rsidRDefault="00E27C5F" w:rsidP="00E27C5F">
          <w:pPr>
            <w:pStyle w:val="PrrAPA"/>
            <w:ind w:left="284" w:hanging="720"/>
          </w:pPr>
          <w:r w:rsidRPr="006177E4">
            <w:lastRenderedPageBreak/>
            <w:t xml:space="preserve">Ley 2277 (2022). </w:t>
          </w:r>
          <w:r w:rsidRPr="00F6396E">
            <w:t>Por medio de la cual se adopta una reforma tributaria para la igualdad y la justicia social y se dictan otras disposiciones.</w:t>
          </w:r>
          <w:r>
            <w:t xml:space="preserve"> </w:t>
          </w:r>
          <w:hyperlink r:id="rId76" w:history="1">
            <w:r w:rsidRPr="00B331F9">
              <w:rPr>
                <w:rStyle w:val="Hipervnculo"/>
              </w:rPr>
              <w:t>http://www.secretariasenado.gov.co/senado/basedoc/ley_2277_2022.htm</w:t>
            </w:r>
          </w:hyperlink>
          <w:r>
            <w:t xml:space="preserve">   </w:t>
          </w:r>
        </w:p>
        <w:p w14:paraId="321A6A1C" w14:textId="77777777" w:rsidR="00E27C5F" w:rsidRDefault="00E27C5F" w:rsidP="00E27C5F">
          <w:pPr>
            <w:pStyle w:val="PrrAPA"/>
            <w:ind w:left="284" w:hanging="720"/>
          </w:pPr>
          <w:r w:rsidRPr="006177E4">
            <w:t>Mendoza</w:t>
          </w:r>
          <w:r>
            <w:t>-</w:t>
          </w:r>
          <w:r w:rsidRPr="006177E4">
            <w:t>Vega, D. F. (2023). Lo que debe saber sobre declaraciones tributarias ineficaces en vigencia de la Ley 2277 de 2022.</w:t>
          </w:r>
        </w:p>
        <w:p w14:paraId="3A658DDD" w14:textId="77777777" w:rsidR="00E27C5F" w:rsidRDefault="00E27C5F" w:rsidP="00E27C5F">
          <w:pPr>
            <w:pStyle w:val="PrrAPA"/>
            <w:ind w:left="284" w:hanging="720"/>
          </w:pPr>
          <w:r w:rsidRPr="006177E4">
            <w:t>Musgrave, R. (1959a). Hacienda Pública. Teórica y Aplicada.</w:t>
          </w:r>
        </w:p>
        <w:p w14:paraId="65001B05" w14:textId="77777777" w:rsidR="00E27C5F" w:rsidRDefault="00E27C5F" w:rsidP="00E27C5F">
          <w:pPr>
            <w:pStyle w:val="PrrAPA"/>
            <w:ind w:left="284" w:hanging="720"/>
          </w:pPr>
          <w:r w:rsidRPr="006177E4">
            <w:t>OCDE. (2025). Administración tributaria 2024.</w:t>
          </w:r>
        </w:p>
        <w:p w14:paraId="50197073" w14:textId="77777777" w:rsidR="00E27C5F" w:rsidRDefault="00E27C5F" w:rsidP="00E27C5F">
          <w:pPr>
            <w:pStyle w:val="PrrAPA"/>
            <w:ind w:left="284" w:hanging="720"/>
          </w:pPr>
          <w:r>
            <w:t xml:space="preserve">Páez Aristizábal, M. H., &amp; Cabrera Garzón, A. M. (2020). </w:t>
          </w:r>
          <w:r>
            <w:rPr>
              <w:rStyle w:val="nfasis"/>
            </w:rPr>
            <w:t>Lineamientos de fiscalización y control para los cruces de información en el municipio de Ibagué</w:t>
          </w:r>
          <w:r>
            <w:t xml:space="preserve"> [Tesis de maestría, Universidad de Manizales]. Repositorio Institucional RIDUM. </w:t>
          </w:r>
          <w:hyperlink r:id="rId77" w:tgtFrame="_new" w:history="1">
            <w:r>
              <w:rPr>
                <w:rStyle w:val="Hipervnculo"/>
              </w:rPr>
              <w:t>https://ridum.umanizales.edu.co/items/b87e6da6-c70c-488b-b832-7c6cba710ef1</w:t>
            </w:r>
          </w:hyperlink>
        </w:p>
        <w:p w14:paraId="7AFBB940" w14:textId="77777777" w:rsidR="00E27C5F" w:rsidRDefault="00E27C5F" w:rsidP="00E27C5F">
          <w:pPr>
            <w:pStyle w:val="PrrAPA"/>
            <w:ind w:left="284" w:hanging="720"/>
          </w:pPr>
          <w:r w:rsidRPr="006177E4">
            <w:t>Peña</w:t>
          </w:r>
          <w:r>
            <w:t>-</w:t>
          </w:r>
          <w:r w:rsidRPr="006177E4">
            <w:t xml:space="preserve">Sánchez, J. (2016). </w:t>
          </w:r>
          <w:r>
            <w:t xml:space="preserve">La ineficiencia de la penalización tributaria en Colombia. </w:t>
          </w:r>
          <w:proofErr w:type="spellStart"/>
          <w:r w:rsidRPr="006177E4">
            <w:t>Vol</w:t>
          </w:r>
          <w:proofErr w:type="spellEnd"/>
          <w:r w:rsidRPr="006177E4">
            <w:t xml:space="preserve"> 3</w:t>
          </w:r>
          <w:r>
            <w:t>, pp.</w:t>
          </w:r>
          <w:r w:rsidRPr="006177E4">
            <w:t>108-117.</w:t>
          </w:r>
        </w:p>
        <w:p w14:paraId="25FEC569" w14:textId="77777777" w:rsidR="00E27C5F" w:rsidRDefault="00E27C5F" w:rsidP="00E27C5F">
          <w:pPr>
            <w:pStyle w:val="PrrAPA"/>
            <w:ind w:left="284" w:hanging="720"/>
          </w:pPr>
          <w:r w:rsidRPr="006177E4">
            <w:t>Ramsey, F. (1927). Imposición Óptima.</w:t>
          </w:r>
        </w:p>
        <w:p w14:paraId="39E81C0B" w14:textId="77777777" w:rsidR="00E27C5F" w:rsidRDefault="00E27C5F" w:rsidP="00E27C5F">
          <w:pPr>
            <w:pStyle w:val="PrrAPA"/>
            <w:ind w:left="284" w:hanging="720"/>
          </w:pPr>
          <w:r>
            <w:t xml:space="preserve">Restrepo, J. C. (2024). </w:t>
          </w:r>
          <w:r>
            <w:rPr>
              <w:rStyle w:val="nfasis"/>
            </w:rPr>
            <w:t>Hacienda pública</w:t>
          </w:r>
          <w:r>
            <w:t xml:space="preserve"> (12.ª ed.). Universidad Externado de Colombia. </w:t>
          </w:r>
          <w:hyperlink r:id="rId78" w:tgtFrame="_new" w:history="1">
            <w:r>
              <w:rPr>
                <w:rStyle w:val="Hipervnculo"/>
              </w:rPr>
              <w:t>https://publicaciones.uexternado.edu.co/gpd-hacienda-publica-9789585060807.html</w:t>
            </w:r>
          </w:hyperlink>
        </w:p>
        <w:p w14:paraId="1888B61A" w14:textId="77777777" w:rsidR="00E27C5F" w:rsidRDefault="00E27C5F" w:rsidP="00E27C5F">
          <w:pPr>
            <w:pStyle w:val="PrrAPA"/>
            <w:ind w:left="284" w:hanging="720"/>
          </w:pPr>
          <w:r w:rsidRPr="006177E4">
            <w:t>Reyes</w:t>
          </w:r>
          <w:r>
            <w:t>-</w:t>
          </w:r>
          <w:r w:rsidRPr="006177E4">
            <w:t>Casallas</w:t>
          </w:r>
          <w:r>
            <w:t>.</w:t>
          </w:r>
          <w:r w:rsidRPr="006177E4">
            <w:t xml:space="preserve"> L</w:t>
          </w:r>
          <w:r>
            <w:t>,</w:t>
          </w:r>
          <w:r w:rsidRPr="006177E4">
            <w:t xml:space="preserve"> S. (2023). Análisis del Impacto Económico de los Impuestos Nacionales en las Pequeñas y Medianas Empresas (PYMES) colombianas. Universidad de Ibagué.</w:t>
          </w:r>
        </w:p>
        <w:p w14:paraId="665920EB" w14:textId="77777777" w:rsidR="00E27C5F" w:rsidRDefault="00E27C5F" w:rsidP="00E27C5F">
          <w:pPr>
            <w:pStyle w:val="PrrAPA"/>
            <w:ind w:left="284" w:hanging="720"/>
          </w:pPr>
          <w:r w:rsidRPr="006177E4">
            <w:t>Rincón</w:t>
          </w:r>
          <w:r>
            <w:t>-</w:t>
          </w:r>
          <w:r w:rsidRPr="006177E4">
            <w:t xml:space="preserve">Palacio, A. P. (2018a). Problemática asociada a la consagración de la ineficacia de las declaraciones de retención en la fuente. Revista de Derecho Fiscal, (13), 273–312. </w:t>
          </w:r>
          <w:hyperlink r:id="rId79" w:history="1">
            <w:r w:rsidRPr="00B331F9">
              <w:rPr>
                <w:rStyle w:val="Hipervnculo"/>
              </w:rPr>
              <w:t>https://doi.org/10.18601/16926722.n13.10</w:t>
            </w:r>
          </w:hyperlink>
          <w:r>
            <w:t xml:space="preserve"> </w:t>
          </w:r>
        </w:p>
        <w:p w14:paraId="0450B290" w14:textId="77777777" w:rsidR="00E27C5F" w:rsidRDefault="00E27C5F" w:rsidP="00E27C5F">
          <w:pPr>
            <w:pStyle w:val="PrrAPA"/>
            <w:ind w:left="284" w:hanging="720"/>
          </w:pPr>
          <w:r w:rsidRPr="006177E4">
            <w:t>Rosen, H. (2005). Hacienda Pública.</w:t>
          </w:r>
        </w:p>
        <w:p w14:paraId="26DEF3F7" w14:textId="77777777" w:rsidR="00E27C5F" w:rsidRDefault="00E27C5F" w:rsidP="00E27C5F">
          <w:pPr>
            <w:pStyle w:val="PrrAPA"/>
            <w:ind w:left="284" w:hanging="720"/>
          </w:pPr>
          <w:r w:rsidRPr="006177E4">
            <w:t>Rueda</w:t>
          </w:r>
          <w:r>
            <w:t>-</w:t>
          </w:r>
          <w:r w:rsidRPr="006177E4">
            <w:t xml:space="preserve">Mantilla, D. (2017). Improcedencia de las sanciones por extemporaneidad y por no declarar cuando se presenta oportunamente la declaración de retención en la fuente sin pago total. Revista de Derecho Fiscal, (11), 53–70. </w:t>
          </w:r>
          <w:hyperlink r:id="rId80" w:history="1">
            <w:r w:rsidRPr="00B331F9">
              <w:rPr>
                <w:rStyle w:val="Hipervnculo"/>
              </w:rPr>
              <w:t>https://doi.org/10.18601/16926722.n11.03</w:t>
            </w:r>
          </w:hyperlink>
        </w:p>
        <w:p w14:paraId="5242004E" w14:textId="77777777" w:rsidR="00E27C5F" w:rsidRDefault="00E27C5F" w:rsidP="00E27C5F">
          <w:pPr>
            <w:pStyle w:val="PrrAPA"/>
            <w:ind w:left="284" w:hanging="720"/>
          </w:pPr>
          <w:r w:rsidRPr="006177E4">
            <w:t>Saldarriaga</w:t>
          </w:r>
          <w:r>
            <w:t>-</w:t>
          </w:r>
          <w:r w:rsidRPr="006177E4">
            <w:t xml:space="preserve">Ramírez, S. A. (2024). Ineficacia de las declaraciones de retención en la fuente. Un análisis comparativo frente a los cambios normativos de los años 2011 al 2023 y su relación con la debida gestión de cobro por parte de la DIAN seccional Villavicencio. </w:t>
          </w:r>
          <w:hyperlink r:id="rId81" w:history="1">
            <w:r w:rsidRPr="00B331F9">
              <w:rPr>
                <w:rStyle w:val="Hipervnculo"/>
              </w:rPr>
              <w:t>https://bdigital.uexternado.edu.co/entities/publication/3ec883d7-845e-490b-82b7-dabaf430d714</w:t>
            </w:r>
          </w:hyperlink>
          <w:r>
            <w:t xml:space="preserve"> </w:t>
          </w:r>
        </w:p>
        <w:p w14:paraId="4912854E" w14:textId="77777777" w:rsidR="00E27C5F" w:rsidRDefault="00E27C5F" w:rsidP="00E27C5F">
          <w:pPr>
            <w:pStyle w:val="PrrAPA"/>
            <w:ind w:left="284" w:hanging="720"/>
          </w:pPr>
          <w:r w:rsidRPr="006177E4">
            <w:t xml:space="preserve">Sentencia 73001-23-33-000-2019-00336-00 (2022). </w:t>
          </w:r>
          <w:hyperlink r:id="rId82" w:history="1">
            <w:r w:rsidRPr="00B331F9">
              <w:rPr>
                <w:rStyle w:val="Hipervnculo"/>
              </w:rPr>
              <w:t>https://portalhistorico.ramajudicial.gov.co/documents/84293914/98675837/2019-</w:t>
            </w:r>
            <w:r w:rsidRPr="00B331F9">
              <w:rPr>
                <w:rStyle w:val="Hipervnculo"/>
              </w:rPr>
              <w:lastRenderedPageBreak/>
              <w:t>336+ago.+18-22+sanci%C3%B3n+por+omitir+presentar+declaraci%C3%B3n+de+retenci%C3%B3n.pdf/59bca997-da96-4e10-aedd-59e83ff24cc8</w:t>
            </w:r>
          </w:hyperlink>
          <w:r>
            <w:t xml:space="preserve"> </w:t>
          </w:r>
        </w:p>
        <w:p w14:paraId="6690DA6C" w14:textId="77777777" w:rsidR="00E27C5F" w:rsidRDefault="00E27C5F" w:rsidP="00E27C5F">
          <w:pPr>
            <w:pStyle w:val="PrrAPA"/>
            <w:ind w:left="284" w:hanging="720"/>
          </w:pPr>
          <w:r w:rsidRPr="006177E4">
            <w:t>Sentencia C-102</w:t>
          </w:r>
          <w:r>
            <w:t>.</w:t>
          </w:r>
          <w:r w:rsidRPr="006177E4">
            <w:t xml:space="preserve"> (2015). </w:t>
          </w:r>
          <w:hyperlink r:id="rId83" w:history="1">
            <w:r w:rsidRPr="00B331F9">
              <w:rPr>
                <w:rStyle w:val="Hipervnculo"/>
              </w:rPr>
              <w:t>https://www.suin-juriscol.gov.co/viewDocument.asp?id=30020062</w:t>
            </w:r>
          </w:hyperlink>
        </w:p>
        <w:p w14:paraId="5E186050" w14:textId="77777777" w:rsidR="00E27C5F" w:rsidRDefault="00E27C5F" w:rsidP="00E27C5F">
          <w:pPr>
            <w:pStyle w:val="PrrAPA"/>
            <w:ind w:left="284" w:hanging="720"/>
          </w:pPr>
          <w:r w:rsidRPr="006177E4">
            <w:t xml:space="preserve">Sentencia C-203 (2021). </w:t>
          </w:r>
          <w:hyperlink r:id="rId84" w:history="1">
            <w:r w:rsidRPr="00B331F9">
              <w:rPr>
                <w:rStyle w:val="Hipervnculo"/>
              </w:rPr>
              <w:t>https://www.corteconstitucional.gov.co/relatoria/2021/C-203-21.htm</w:t>
            </w:r>
          </w:hyperlink>
        </w:p>
        <w:p w14:paraId="6833B94C" w14:textId="77777777" w:rsidR="00E27C5F" w:rsidRDefault="00E27C5F" w:rsidP="00E27C5F">
          <w:pPr>
            <w:pStyle w:val="PrrAPA"/>
            <w:ind w:left="284" w:hanging="720"/>
          </w:pPr>
          <w:r w:rsidRPr="006177E4">
            <w:t xml:space="preserve">Sentencia C-883 de 2011 (2011). </w:t>
          </w:r>
          <w:hyperlink r:id="rId85" w:history="1">
            <w:r w:rsidRPr="00B331F9">
              <w:rPr>
                <w:rStyle w:val="Hipervnculo"/>
              </w:rPr>
              <w:t>https://www.suin-juriscol.gov.co/viewDocument.asp?id=20043004</w:t>
            </w:r>
          </w:hyperlink>
          <w:r>
            <w:t xml:space="preserve"> </w:t>
          </w:r>
        </w:p>
        <w:p w14:paraId="23588974" w14:textId="77777777" w:rsidR="00E27C5F" w:rsidRDefault="00E27C5F" w:rsidP="00E27C5F">
          <w:pPr>
            <w:pStyle w:val="PrrAPA"/>
            <w:ind w:left="284" w:hanging="720"/>
          </w:pPr>
          <w:r w:rsidRPr="00551CDB">
            <w:t xml:space="preserve">Sentencia C-1144 de 2000. Corte Constitucional de Colombia. Magistrado ponente: Vladimiro Naranjo Mesa. 30 de agosto de 2000. </w:t>
          </w:r>
          <w:hyperlink r:id="rId86" w:history="1">
            <w:r w:rsidRPr="00D97222">
              <w:rPr>
                <w:rStyle w:val="Hipervnculo"/>
              </w:rPr>
              <w:t>https://www.corteconstitucional.gov.co/relatoria/2000/c-1144-00.htm</w:t>
            </w:r>
          </w:hyperlink>
        </w:p>
        <w:p w14:paraId="169DEFC0" w14:textId="77777777" w:rsidR="00E27C5F" w:rsidRDefault="00E27C5F" w:rsidP="00E27C5F">
          <w:pPr>
            <w:pStyle w:val="PrrAPA"/>
            <w:ind w:left="284" w:hanging="720"/>
          </w:pPr>
          <w:r w:rsidRPr="006177E4">
            <w:t xml:space="preserve">Stiglitz, J. </w:t>
          </w:r>
          <w:proofErr w:type="gramStart"/>
          <w:r w:rsidRPr="006177E4">
            <w:t>E .</w:t>
          </w:r>
          <w:proofErr w:type="gramEnd"/>
          <w:r w:rsidRPr="006177E4">
            <w:t xml:space="preserve"> (2002a). La economía del sector público. Antoni Bosh.</w:t>
          </w:r>
        </w:p>
        <w:p w14:paraId="44034C9A" w14:textId="77777777" w:rsidR="00E27C5F" w:rsidRDefault="00E27C5F" w:rsidP="00E27C5F">
          <w:pPr>
            <w:pStyle w:val="PrrAPA"/>
            <w:ind w:left="284" w:hanging="720"/>
          </w:pPr>
          <w:r w:rsidRPr="006177E4">
            <w:t>Tamayo</w:t>
          </w:r>
          <w:r>
            <w:t xml:space="preserve">. </w:t>
          </w:r>
          <w:r w:rsidRPr="006177E4">
            <w:t>T, M. (2001). El proceso de la investigación científica. Limusa.</w:t>
          </w:r>
        </w:p>
        <w:p w14:paraId="4D9E7E18" w14:textId="77777777" w:rsidR="00E27C5F" w:rsidRDefault="00E27C5F" w:rsidP="00E27C5F">
          <w:pPr>
            <w:pStyle w:val="PrrAPA"/>
            <w:ind w:left="284" w:hanging="720"/>
          </w:pPr>
          <w:r w:rsidRPr="006177E4">
            <w:t>N</w:t>
          </w:r>
          <w:r>
            <w:t>aciones Unidas</w:t>
          </w:r>
          <w:r w:rsidRPr="006177E4">
            <w:t xml:space="preserve">. (2030). Estrategias para abordar la evasión tributaria en América Latina y el Caribe: avances en su medición y panorama de las medidas recientes para reducir su magnitud. </w:t>
          </w:r>
          <w:hyperlink r:id="rId87" w:history="1">
            <w:r w:rsidRPr="00B331F9">
              <w:rPr>
                <w:rStyle w:val="Hipervnculo"/>
              </w:rPr>
              <w:t>www.cepal.org/apps</w:t>
            </w:r>
          </w:hyperlink>
          <w:r>
            <w:t xml:space="preserve"> </w:t>
          </w:r>
        </w:p>
        <w:p w14:paraId="545849DE" w14:textId="77777777" w:rsidR="00E27C5F" w:rsidRDefault="00E27C5F" w:rsidP="00E27C5F">
          <w:pPr>
            <w:pStyle w:val="PrrAPA"/>
            <w:ind w:left="284" w:hanging="720"/>
          </w:pPr>
          <w:r w:rsidRPr="006177E4">
            <w:t>Vargas</w:t>
          </w:r>
          <w:r>
            <w:t>,</w:t>
          </w:r>
          <w:r w:rsidRPr="006177E4">
            <w:t xml:space="preserve"> </w:t>
          </w:r>
          <w:r>
            <w:t xml:space="preserve">B. </w:t>
          </w:r>
          <w:r w:rsidRPr="006177E4">
            <w:t>X. (2007). ¿Cómo hacer investigación cualitativa?</w:t>
          </w:r>
        </w:p>
        <w:p w14:paraId="5A1699BF" w14:textId="77777777" w:rsidR="00E27C5F" w:rsidRDefault="00E27C5F" w:rsidP="00E27C5F">
          <w:pPr>
            <w:pStyle w:val="PrrAPA"/>
            <w:ind w:left="284" w:hanging="720"/>
          </w:pPr>
          <w:r w:rsidRPr="006177E4">
            <w:t>Villalobos, J. A. (2023a). La indispensable Reforma Tributaria en México para 2024. Política</w:t>
          </w:r>
          <w:r>
            <w:t xml:space="preserve"> g</w:t>
          </w:r>
          <w:r w:rsidRPr="006177E4">
            <w:t xml:space="preserve">lobalidad y </w:t>
          </w:r>
          <w:r>
            <w:t>c</w:t>
          </w:r>
          <w:r w:rsidRPr="006177E4">
            <w:t xml:space="preserve">iudadanía, 10(19), 108. </w:t>
          </w:r>
          <w:hyperlink r:id="rId88" w:history="1">
            <w:r w:rsidRPr="00B331F9">
              <w:rPr>
                <w:rStyle w:val="Hipervnculo"/>
              </w:rPr>
              <w:t>https://doi.org/10.29105/rpgyc10.19-247</w:t>
            </w:r>
          </w:hyperlink>
        </w:p>
        <w:p w14:paraId="301514E5" w14:textId="77777777" w:rsidR="00E27C5F" w:rsidRPr="006177E4" w:rsidRDefault="00E27C5F" w:rsidP="00E27C5F">
          <w:pPr>
            <w:pStyle w:val="PrrAPA"/>
            <w:ind w:left="284" w:hanging="720"/>
          </w:pPr>
          <w:r w:rsidRPr="006177E4">
            <w:t>Villalobos, J. A. (2023b). La indispensable Reforma Tributaria en México para 2024. Política,</w:t>
          </w:r>
          <w:r>
            <w:t xml:space="preserve"> g</w:t>
          </w:r>
          <w:r w:rsidRPr="006177E4">
            <w:t xml:space="preserve">lobalidad y </w:t>
          </w:r>
          <w:r>
            <w:t>c</w:t>
          </w:r>
          <w:r w:rsidRPr="006177E4">
            <w:t xml:space="preserve">iudadanía, 10(19), 108. </w:t>
          </w:r>
          <w:hyperlink r:id="rId89" w:history="1">
            <w:r w:rsidRPr="00B331F9">
              <w:rPr>
                <w:rStyle w:val="Hipervnculo"/>
              </w:rPr>
              <w:t>https://doi.org/10.29105/rpgyc10.19-247</w:t>
            </w:r>
          </w:hyperlink>
          <w:r>
            <w:t xml:space="preserve"> </w:t>
          </w:r>
        </w:p>
        <w:p w14:paraId="33CF6D3C" w14:textId="77777777" w:rsidR="00E27C5F" w:rsidRPr="006177E4" w:rsidRDefault="00E27C5F" w:rsidP="00E27C5F">
          <w:pPr>
            <w:spacing w:line="480" w:lineRule="auto"/>
            <w:ind w:hanging="720"/>
            <w:jc w:val="left"/>
            <w:rPr>
              <w:rFonts w:cs="Times New Roman"/>
              <w:bCs/>
              <w:szCs w:val="24"/>
            </w:rPr>
          </w:pPr>
          <w:r w:rsidRPr="006177E4">
            <w:rPr>
              <w:rFonts w:eastAsia="Times New Roman" w:cs="Times New Roman"/>
              <w:color w:val="000000"/>
              <w:szCs w:val="24"/>
            </w:rPr>
            <w:t> </w:t>
          </w:r>
        </w:p>
      </w:sdtContent>
    </w:sdt>
    <w:p w14:paraId="24DEFC2B" w14:textId="77777777" w:rsidR="00E27C5F" w:rsidRPr="00E27C5F" w:rsidRDefault="00E27C5F" w:rsidP="00E27C5F"/>
    <w:p w14:paraId="4C670BB2" w14:textId="4F0BEC3C" w:rsidR="00EB0661" w:rsidRDefault="00EB0661" w:rsidP="00263B16">
      <w:pPr>
        <w:pStyle w:val="Ttulo1"/>
        <w:numPr>
          <w:ilvl w:val="0"/>
          <w:numId w:val="0"/>
        </w:numPr>
        <w:ind w:left="432" w:hanging="432"/>
        <w:jc w:val="both"/>
        <w:rPr>
          <w:rFonts w:cs="Times New Roman"/>
          <w:szCs w:val="24"/>
        </w:rPr>
      </w:pPr>
    </w:p>
    <w:p w14:paraId="1772AB3E" w14:textId="25201D27" w:rsidR="00E27C5F" w:rsidRDefault="00E27C5F" w:rsidP="00E27C5F"/>
    <w:p w14:paraId="5C0B1A69" w14:textId="310125A8" w:rsidR="00E27C5F" w:rsidRDefault="00E27C5F" w:rsidP="00E27C5F"/>
    <w:p w14:paraId="140E6D02" w14:textId="0878AA71" w:rsidR="00E27C5F" w:rsidRDefault="00E27C5F" w:rsidP="00E27C5F"/>
    <w:p w14:paraId="182F53D2" w14:textId="6AAF5D8D" w:rsidR="00E27C5F" w:rsidRDefault="00E27C5F" w:rsidP="00E27C5F"/>
    <w:p w14:paraId="64A4E840" w14:textId="256ECD06" w:rsidR="00E27C5F" w:rsidRDefault="00E27C5F" w:rsidP="00E27C5F"/>
    <w:p w14:paraId="26BC16A1" w14:textId="18BCE1DA" w:rsidR="00E27C5F" w:rsidRDefault="00E27C5F" w:rsidP="00E27C5F"/>
    <w:p w14:paraId="213126FD" w14:textId="75B173A0" w:rsidR="00E27C5F" w:rsidRDefault="00E27C5F" w:rsidP="00E27C5F"/>
    <w:p w14:paraId="3A3903A2" w14:textId="384D24A9" w:rsidR="00A43A39" w:rsidRDefault="00A43A39" w:rsidP="00E27C5F"/>
    <w:p w14:paraId="028433D3" w14:textId="1D9A5C0A" w:rsidR="00A43A39" w:rsidRDefault="004B444A" w:rsidP="004B444A">
      <w:pPr>
        <w:pStyle w:val="Ttulo1"/>
      </w:pPr>
      <w:r w:rsidRPr="004B444A">
        <w:t>Declaración sobre el uso de herramientas de inteligencia artificial</w:t>
      </w:r>
    </w:p>
    <w:p w14:paraId="2B0895EE" w14:textId="6BDD3240" w:rsidR="00A43A39" w:rsidRPr="00332972" w:rsidRDefault="00A43A39" w:rsidP="00674D57">
      <w:pPr>
        <w:pStyle w:val="PrrAPA"/>
        <w:rPr>
          <w:lang w:eastAsia="es-CO"/>
        </w:rPr>
      </w:pPr>
      <w:r w:rsidRPr="00332972">
        <w:rPr>
          <w:lang w:eastAsia="es-CO"/>
        </w:rPr>
        <w:t xml:space="preserve">Para la elaboración del presente trabajo de </w:t>
      </w:r>
      <w:r w:rsidR="00332972" w:rsidRPr="00332972">
        <w:rPr>
          <w:lang w:eastAsia="es-CO"/>
        </w:rPr>
        <w:t>investigación para optar por e</w:t>
      </w:r>
      <w:r w:rsidR="00332972">
        <w:rPr>
          <w:lang w:eastAsia="es-CO"/>
        </w:rPr>
        <w:t>l</w:t>
      </w:r>
      <w:r w:rsidR="00332972" w:rsidRPr="00332972">
        <w:rPr>
          <w:lang w:eastAsia="es-CO"/>
        </w:rPr>
        <w:t xml:space="preserve"> título de magister</w:t>
      </w:r>
      <w:r w:rsidRPr="00332972">
        <w:rPr>
          <w:lang w:eastAsia="es-CO"/>
        </w:rPr>
        <w:t xml:space="preserve"> se utilizaron herramientas de inteligencia artificial como apoyo en la construcción </w:t>
      </w:r>
      <w:r w:rsidR="00332972">
        <w:rPr>
          <w:lang w:eastAsia="es-CO"/>
        </w:rPr>
        <w:t>de</w:t>
      </w:r>
      <w:r w:rsidRPr="00332972">
        <w:rPr>
          <w:lang w:eastAsia="es-CO"/>
        </w:rPr>
        <w:t xml:space="preserve"> gráficos. </w:t>
      </w:r>
      <w:r w:rsidR="00332972">
        <w:rPr>
          <w:lang w:eastAsia="es-CO"/>
        </w:rPr>
        <w:t>S</w:t>
      </w:r>
      <w:r w:rsidRPr="00332972">
        <w:rPr>
          <w:lang w:eastAsia="es-CO"/>
        </w:rPr>
        <w:t xml:space="preserve">e </w:t>
      </w:r>
      <w:r w:rsidR="00332972">
        <w:rPr>
          <w:lang w:eastAsia="es-CO"/>
        </w:rPr>
        <w:t xml:space="preserve">utilizaron </w:t>
      </w:r>
      <w:r w:rsidRPr="00332972">
        <w:rPr>
          <w:lang w:eastAsia="es-CO"/>
        </w:rPr>
        <w:t xml:space="preserve">Claude, </w:t>
      </w:r>
      <w:proofErr w:type="spellStart"/>
      <w:r w:rsidRPr="00332972">
        <w:rPr>
          <w:lang w:eastAsia="es-CO"/>
        </w:rPr>
        <w:t>ChatGPT</w:t>
      </w:r>
      <w:proofErr w:type="spellEnd"/>
      <w:r w:rsidRPr="00332972">
        <w:rPr>
          <w:lang w:eastAsia="es-CO"/>
        </w:rPr>
        <w:t xml:space="preserve">, </w:t>
      </w:r>
      <w:proofErr w:type="spellStart"/>
      <w:r w:rsidRPr="00332972">
        <w:rPr>
          <w:lang w:eastAsia="es-CO"/>
        </w:rPr>
        <w:t>Mermaid</w:t>
      </w:r>
      <w:proofErr w:type="spellEnd"/>
      <w:r w:rsidRPr="00332972">
        <w:rPr>
          <w:lang w:eastAsia="es-CO"/>
        </w:rPr>
        <w:t xml:space="preserve"> y </w:t>
      </w:r>
      <w:proofErr w:type="spellStart"/>
      <w:r w:rsidRPr="00332972">
        <w:rPr>
          <w:lang w:eastAsia="es-CO"/>
        </w:rPr>
        <w:t>Markmap</w:t>
      </w:r>
      <w:proofErr w:type="spellEnd"/>
      <w:r w:rsidRPr="00332972">
        <w:rPr>
          <w:lang w:eastAsia="es-CO"/>
        </w:rPr>
        <w:t xml:space="preserve"> como herramientas </w:t>
      </w:r>
      <w:r w:rsidR="00332972">
        <w:rPr>
          <w:lang w:eastAsia="es-CO"/>
        </w:rPr>
        <w:t xml:space="preserve">de apoyo </w:t>
      </w:r>
      <w:r w:rsidRPr="00332972">
        <w:rPr>
          <w:lang w:eastAsia="es-CO"/>
        </w:rPr>
        <w:t xml:space="preserve">para estructurar esquemas visuales, apoyar la representación gráfica de relaciones conceptuales y facilitar la presentación de </w:t>
      </w:r>
      <w:proofErr w:type="spellStart"/>
      <w:proofErr w:type="gramStart"/>
      <w:r w:rsidRPr="00332972">
        <w:rPr>
          <w:lang w:eastAsia="es-CO"/>
        </w:rPr>
        <w:t>contenidos.El</w:t>
      </w:r>
      <w:proofErr w:type="spellEnd"/>
      <w:proofErr w:type="gramEnd"/>
      <w:r w:rsidRPr="00332972">
        <w:rPr>
          <w:lang w:eastAsia="es-CO"/>
        </w:rPr>
        <w:t xml:space="preserve"> uso de estas herramientas tuvo un carácter complementario y de apoyo, sin sustituir el proceso investigativo</w:t>
      </w:r>
      <w:r w:rsidR="00332972">
        <w:rPr>
          <w:lang w:eastAsia="es-CO"/>
        </w:rPr>
        <w:t>.</w:t>
      </w:r>
    </w:p>
    <w:p w14:paraId="1A6BF290" w14:textId="3A4533E3" w:rsidR="00E27C5F" w:rsidRDefault="00E27C5F" w:rsidP="00E27C5F"/>
    <w:p w14:paraId="6643CA39" w14:textId="69BAC7B3" w:rsidR="00E27C5F" w:rsidRDefault="00E27C5F" w:rsidP="00E27C5F"/>
    <w:p w14:paraId="3D8C17F0" w14:textId="427F19F8" w:rsidR="00A43A39" w:rsidRDefault="00A43A39" w:rsidP="00E27C5F"/>
    <w:p w14:paraId="21141962" w14:textId="1B1E99B9" w:rsidR="00A43A39" w:rsidRDefault="00A43A39" w:rsidP="00E27C5F"/>
    <w:p w14:paraId="7FFC0EDE" w14:textId="03D3517D" w:rsidR="00A43A39" w:rsidRDefault="00A43A39" w:rsidP="00E27C5F"/>
    <w:p w14:paraId="5CE9DF2E" w14:textId="1323DF73" w:rsidR="00A43A39" w:rsidRDefault="00A43A39" w:rsidP="00E27C5F"/>
    <w:p w14:paraId="623FFC4B" w14:textId="4BBEA7F4" w:rsidR="00A43A39" w:rsidRDefault="00A43A39" w:rsidP="00E27C5F"/>
    <w:p w14:paraId="6C3E2C41" w14:textId="2834BA0B" w:rsidR="00A43A39" w:rsidRDefault="00A43A39" w:rsidP="00E27C5F"/>
    <w:p w14:paraId="09D1F85D" w14:textId="5731BC62" w:rsidR="00A43A39" w:rsidRDefault="00A43A39" w:rsidP="00E27C5F"/>
    <w:p w14:paraId="2A14E913" w14:textId="7F3E3FD6" w:rsidR="00A43A39" w:rsidRDefault="00A43A39" w:rsidP="00E27C5F"/>
    <w:p w14:paraId="1223EEF4" w14:textId="0792C403" w:rsidR="00A43A39" w:rsidRDefault="00A43A39" w:rsidP="00E27C5F"/>
    <w:p w14:paraId="24765180" w14:textId="6A216DFE" w:rsidR="00A43A39" w:rsidRDefault="00A43A39" w:rsidP="00E27C5F"/>
    <w:p w14:paraId="1F85A8F4" w14:textId="65AF5FE5" w:rsidR="00A43A39" w:rsidRDefault="00A43A39" w:rsidP="00E27C5F"/>
    <w:p w14:paraId="13FECA6E" w14:textId="30A8A991" w:rsidR="00A43A39" w:rsidRDefault="00A43A39" w:rsidP="00E27C5F"/>
    <w:p w14:paraId="517DDDB7" w14:textId="64AF9E9A" w:rsidR="00A43A39" w:rsidRDefault="00A43A39" w:rsidP="00E27C5F"/>
    <w:p w14:paraId="40647414" w14:textId="68C5FFF3" w:rsidR="00A43A39" w:rsidRDefault="00A43A39" w:rsidP="00E27C5F"/>
    <w:p w14:paraId="0EF90192" w14:textId="01BDEDEC" w:rsidR="00A43A39" w:rsidRDefault="00A43A39" w:rsidP="00E27C5F"/>
    <w:p w14:paraId="6E5D2CD5" w14:textId="078DC6C5" w:rsidR="00A43A39" w:rsidRDefault="00A43A39" w:rsidP="00E27C5F"/>
    <w:p w14:paraId="650F2072" w14:textId="365B1D2C" w:rsidR="00A43A39" w:rsidRDefault="00A43A39" w:rsidP="00E27C5F"/>
    <w:p w14:paraId="607AE5EB" w14:textId="65D34667" w:rsidR="00332972" w:rsidRDefault="00332972" w:rsidP="00E27C5F"/>
    <w:p w14:paraId="7540DC0B" w14:textId="54469126" w:rsidR="00332972" w:rsidRDefault="00332972" w:rsidP="00E27C5F"/>
    <w:p w14:paraId="323B4216" w14:textId="77777777" w:rsidR="00332972" w:rsidRDefault="00332972" w:rsidP="00E27C5F"/>
    <w:p w14:paraId="4E8DED22" w14:textId="35CF04F9" w:rsidR="00A43A39" w:rsidRDefault="00A43A39" w:rsidP="00E27C5F"/>
    <w:p w14:paraId="620345E4" w14:textId="4E90E8FE" w:rsidR="00705748" w:rsidRDefault="00705748" w:rsidP="00705748">
      <w:pPr>
        <w:pStyle w:val="Ttulo1"/>
      </w:pPr>
      <w:r>
        <w:t>Anexos</w:t>
      </w:r>
    </w:p>
    <w:p w14:paraId="4809116C" w14:textId="0CAF1DD1" w:rsidR="00705748" w:rsidRDefault="00705748" w:rsidP="00263B16">
      <w:pPr>
        <w:spacing w:line="480" w:lineRule="auto"/>
        <w:jc w:val="left"/>
        <w:rPr>
          <w:rFonts w:cs="Times New Roman"/>
          <w:szCs w:val="24"/>
        </w:rPr>
      </w:pPr>
      <w:r>
        <w:rPr>
          <w:rFonts w:cs="Times New Roman"/>
          <w:szCs w:val="24"/>
        </w:rPr>
        <w:t>Anexo A Validación Instrumento Entrevista</w:t>
      </w:r>
    </w:p>
    <w:p w14:paraId="65C4F8D9" w14:textId="6A7823F3" w:rsidR="00705748" w:rsidRDefault="00705748" w:rsidP="00263B16">
      <w:pPr>
        <w:spacing w:line="480" w:lineRule="auto"/>
        <w:jc w:val="left"/>
        <w:rPr>
          <w:rFonts w:cs="Times New Roman"/>
          <w:szCs w:val="24"/>
        </w:rPr>
      </w:pPr>
      <w:r>
        <w:rPr>
          <w:rFonts w:cs="Times New Roman"/>
          <w:szCs w:val="24"/>
        </w:rPr>
        <w:t>Anexo B Resultados Entrevistas</w:t>
      </w:r>
    </w:p>
    <w:p w14:paraId="3A61AF9B" w14:textId="07D1FB81" w:rsidR="00705748" w:rsidRDefault="00705748" w:rsidP="00263B16">
      <w:pPr>
        <w:spacing w:line="480" w:lineRule="auto"/>
        <w:jc w:val="left"/>
        <w:rPr>
          <w:rFonts w:cs="Times New Roman"/>
          <w:szCs w:val="24"/>
        </w:rPr>
      </w:pPr>
      <w:r>
        <w:rPr>
          <w:rFonts w:cs="Times New Roman"/>
          <w:szCs w:val="24"/>
        </w:rPr>
        <w:t>Anexo C Base de Datos Denuncias</w:t>
      </w:r>
    </w:p>
    <w:p w14:paraId="1DAA2595" w14:textId="77777777" w:rsidR="00705748" w:rsidRDefault="00705748" w:rsidP="00263B16">
      <w:pPr>
        <w:spacing w:line="480" w:lineRule="auto"/>
        <w:jc w:val="left"/>
        <w:rPr>
          <w:rFonts w:cs="Times New Roman"/>
          <w:szCs w:val="24"/>
        </w:rPr>
      </w:pPr>
    </w:p>
    <w:p w14:paraId="03C66203" w14:textId="77777777" w:rsidR="008041C0" w:rsidRPr="006177E4" w:rsidRDefault="008041C0" w:rsidP="00263B16">
      <w:pPr>
        <w:spacing w:line="480" w:lineRule="auto"/>
        <w:jc w:val="left"/>
        <w:rPr>
          <w:rFonts w:cs="Times New Roman"/>
          <w:szCs w:val="24"/>
        </w:rPr>
      </w:pPr>
      <w:r w:rsidRPr="00E27C5F">
        <w:rPr>
          <w:rFonts w:cs="Times New Roman"/>
          <w:szCs w:val="24"/>
        </w:rPr>
        <w:t>Caracterización de los expertos entrevistados</w:t>
      </w:r>
    </w:p>
    <w:p w14:paraId="54CF44A4" w14:textId="77777777" w:rsidR="00C55157" w:rsidRDefault="008F201B" w:rsidP="00263B16">
      <w:pPr>
        <w:pStyle w:val="Descripcin"/>
        <w:keepNext/>
        <w:spacing w:after="0" w:line="480" w:lineRule="auto"/>
        <w:jc w:val="both"/>
        <w:rPr>
          <w:rFonts w:cs="Times New Roman"/>
          <w:b/>
          <w:bCs/>
          <w:i w:val="0"/>
          <w:iCs w:val="0"/>
          <w:szCs w:val="24"/>
        </w:rPr>
      </w:pPr>
      <w:bookmarkStart w:id="213" w:name="_Toc227978311"/>
      <w:bookmarkStart w:id="214" w:name="_Toc229077709"/>
      <w:r w:rsidRPr="006177E4">
        <w:rPr>
          <w:rFonts w:cs="Times New Roman"/>
          <w:b/>
          <w:bCs/>
          <w:i w:val="0"/>
          <w:iCs w:val="0"/>
          <w:szCs w:val="24"/>
        </w:rPr>
        <w:t xml:space="preserve">Tabla </w:t>
      </w:r>
      <w:r w:rsidRPr="006177E4">
        <w:rPr>
          <w:rFonts w:cs="Times New Roman"/>
          <w:b/>
          <w:bCs/>
          <w:i w:val="0"/>
          <w:iCs w:val="0"/>
          <w:szCs w:val="24"/>
        </w:rPr>
        <w:fldChar w:fldCharType="begin"/>
      </w:r>
      <w:r w:rsidRPr="006177E4">
        <w:rPr>
          <w:rFonts w:cs="Times New Roman"/>
          <w:b/>
          <w:bCs/>
          <w:i w:val="0"/>
          <w:iCs w:val="0"/>
          <w:szCs w:val="24"/>
        </w:rPr>
        <w:instrText xml:space="preserve"> SEQ Tabla \* ARABIC </w:instrText>
      </w:r>
      <w:r w:rsidRPr="006177E4">
        <w:rPr>
          <w:rFonts w:cs="Times New Roman"/>
          <w:b/>
          <w:bCs/>
          <w:i w:val="0"/>
          <w:iCs w:val="0"/>
          <w:szCs w:val="24"/>
        </w:rPr>
        <w:fldChar w:fldCharType="separate"/>
      </w:r>
      <w:r w:rsidR="00D64F6E">
        <w:rPr>
          <w:rFonts w:cs="Times New Roman"/>
          <w:b/>
          <w:bCs/>
          <w:i w:val="0"/>
          <w:iCs w:val="0"/>
          <w:noProof/>
          <w:szCs w:val="24"/>
        </w:rPr>
        <w:t>10</w:t>
      </w:r>
      <w:bookmarkEnd w:id="213"/>
      <w:r w:rsidRPr="006177E4">
        <w:rPr>
          <w:rFonts w:cs="Times New Roman"/>
          <w:b/>
          <w:bCs/>
          <w:i w:val="0"/>
          <w:iCs w:val="0"/>
          <w:szCs w:val="24"/>
        </w:rPr>
        <w:fldChar w:fldCharType="end"/>
      </w:r>
      <w:bookmarkStart w:id="215" w:name="_Toc228250833"/>
      <w:r w:rsidR="00324DFC">
        <w:rPr>
          <w:rFonts w:cs="Times New Roman"/>
          <w:b/>
          <w:bCs/>
          <w:i w:val="0"/>
          <w:iCs w:val="0"/>
          <w:szCs w:val="24"/>
        </w:rPr>
        <w:t xml:space="preserve"> </w:t>
      </w:r>
    </w:p>
    <w:p w14:paraId="652A14CC" w14:textId="66DD59EA" w:rsidR="008F201B" w:rsidRPr="00324DFC" w:rsidRDefault="008F201B" w:rsidP="00263B16">
      <w:pPr>
        <w:pStyle w:val="Descripcin"/>
        <w:keepNext/>
        <w:spacing w:after="0" w:line="480" w:lineRule="auto"/>
        <w:jc w:val="both"/>
        <w:rPr>
          <w:rFonts w:cs="Times New Roman"/>
          <w:b/>
          <w:bCs/>
          <w:i w:val="0"/>
          <w:iCs w:val="0"/>
          <w:szCs w:val="24"/>
        </w:rPr>
      </w:pPr>
      <w:r w:rsidRPr="006177E4">
        <w:rPr>
          <w:rFonts w:eastAsia="Times New Roman" w:cs="Times New Roman"/>
          <w:kern w:val="36"/>
          <w:szCs w:val="24"/>
          <w:lang w:eastAsia="es-CO"/>
        </w:rPr>
        <w:t>Caracterización de los expertos entrevistados</w:t>
      </w:r>
      <w:bookmarkEnd w:id="215"/>
      <w:r w:rsidR="00324DFC">
        <w:rPr>
          <w:rFonts w:eastAsia="Times New Roman" w:cs="Times New Roman"/>
          <w:kern w:val="36"/>
          <w:szCs w:val="24"/>
          <w:lang w:eastAsia="es-CO"/>
        </w:rPr>
        <w:t>.</w:t>
      </w:r>
      <w:bookmarkEnd w:id="214"/>
    </w:p>
    <w:tbl>
      <w:tblPr>
        <w:tblStyle w:val="Tablanormal2"/>
        <w:tblW w:w="0" w:type="auto"/>
        <w:tblLook w:val="04A0" w:firstRow="1" w:lastRow="0" w:firstColumn="1" w:lastColumn="0" w:noHBand="0" w:noVBand="1"/>
      </w:tblPr>
      <w:tblGrid>
        <w:gridCol w:w="1670"/>
        <w:gridCol w:w="1349"/>
        <w:gridCol w:w="1531"/>
        <w:gridCol w:w="1669"/>
        <w:gridCol w:w="1764"/>
        <w:gridCol w:w="1377"/>
      </w:tblGrid>
      <w:tr w:rsidR="008041C0" w:rsidRPr="006177E4" w14:paraId="7DAA898D" w14:textId="77777777" w:rsidTr="00804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6CCB73" w14:textId="77777777" w:rsidR="008F201B" w:rsidRPr="006177E4" w:rsidRDefault="008F201B" w:rsidP="00263B16">
            <w:pPr>
              <w:spacing w:line="480" w:lineRule="auto"/>
              <w:jc w:val="center"/>
              <w:rPr>
                <w:rFonts w:eastAsia="Times New Roman" w:cs="Times New Roman"/>
                <w:b w:val="0"/>
                <w:bCs w:val="0"/>
                <w:szCs w:val="24"/>
                <w:lang w:eastAsia="es-CO"/>
              </w:rPr>
            </w:pPr>
            <w:r w:rsidRPr="006177E4">
              <w:rPr>
                <w:rFonts w:eastAsia="Times New Roman" w:cs="Times New Roman"/>
                <w:b w:val="0"/>
                <w:bCs w:val="0"/>
                <w:szCs w:val="24"/>
                <w:lang w:eastAsia="es-CO"/>
              </w:rPr>
              <w:t>Tipo de experto</w:t>
            </w:r>
          </w:p>
        </w:tc>
        <w:tc>
          <w:tcPr>
            <w:tcW w:w="0" w:type="auto"/>
            <w:hideMark/>
          </w:tcPr>
          <w:p w14:paraId="5AC5BF7C" w14:textId="77777777" w:rsidR="008F201B" w:rsidRPr="006177E4" w:rsidRDefault="008F201B" w:rsidP="00263B16">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eastAsia="es-CO"/>
              </w:rPr>
            </w:pPr>
            <w:r w:rsidRPr="006177E4">
              <w:rPr>
                <w:rFonts w:eastAsia="Times New Roman" w:cs="Times New Roman"/>
                <w:b w:val="0"/>
                <w:bCs w:val="0"/>
                <w:szCs w:val="24"/>
                <w:lang w:eastAsia="es-CO"/>
              </w:rPr>
              <w:t>Nombre</w:t>
            </w:r>
          </w:p>
        </w:tc>
        <w:tc>
          <w:tcPr>
            <w:tcW w:w="0" w:type="auto"/>
            <w:hideMark/>
          </w:tcPr>
          <w:p w14:paraId="6F4FE78A" w14:textId="77777777" w:rsidR="008F201B" w:rsidRPr="006177E4" w:rsidRDefault="008F201B" w:rsidP="00263B16">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eastAsia="es-CO"/>
              </w:rPr>
            </w:pPr>
            <w:r w:rsidRPr="006177E4">
              <w:rPr>
                <w:rFonts w:eastAsia="Times New Roman" w:cs="Times New Roman"/>
                <w:b w:val="0"/>
                <w:bCs w:val="0"/>
                <w:szCs w:val="24"/>
                <w:lang w:eastAsia="es-CO"/>
              </w:rPr>
              <w:t>Profesión</w:t>
            </w:r>
          </w:p>
        </w:tc>
        <w:tc>
          <w:tcPr>
            <w:tcW w:w="0" w:type="auto"/>
            <w:hideMark/>
          </w:tcPr>
          <w:p w14:paraId="67727DC2" w14:textId="77777777" w:rsidR="008F201B" w:rsidRPr="006177E4" w:rsidRDefault="008F201B" w:rsidP="00263B16">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eastAsia="es-CO"/>
              </w:rPr>
            </w:pPr>
            <w:r w:rsidRPr="006177E4">
              <w:rPr>
                <w:rFonts w:eastAsia="Times New Roman" w:cs="Times New Roman"/>
                <w:b w:val="0"/>
                <w:bCs w:val="0"/>
                <w:szCs w:val="24"/>
                <w:lang w:eastAsia="es-CO"/>
              </w:rPr>
              <w:t>Cargo</w:t>
            </w:r>
          </w:p>
        </w:tc>
        <w:tc>
          <w:tcPr>
            <w:tcW w:w="0" w:type="auto"/>
            <w:hideMark/>
          </w:tcPr>
          <w:p w14:paraId="2E4F7995" w14:textId="77777777" w:rsidR="008F201B" w:rsidRPr="006177E4" w:rsidRDefault="008F201B" w:rsidP="00263B16">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eastAsia="es-CO"/>
              </w:rPr>
            </w:pPr>
            <w:r w:rsidRPr="006177E4">
              <w:rPr>
                <w:rFonts w:eastAsia="Times New Roman" w:cs="Times New Roman"/>
                <w:b w:val="0"/>
                <w:bCs w:val="0"/>
                <w:szCs w:val="24"/>
                <w:lang w:eastAsia="es-CO"/>
              </w:rPr>
              <w:t>Institución</w:t>
            </w:r>
          </w:p>
        </w:tc>
        <w:tc>
          <w:tcPr>
            <w:tcW w:w="0" w:type="auto"/>
            <w:hideMark/>
          </w:tcPr>
          <w:p w14:paraId="39F81781" w14:textId="77777777" w:rsidR="008F201B" w:rsidRPr="006177E4" w:rsidRDefault="008F201B" w:rsidP="00263B16">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eastAsia="es-CO"/>
              </w:rPr>
            </w:pPr>
            <w:r w:rsidRPr="006177E4">
              <w:rPr>
                <w:rFonts w:eastAsia="Times New Roman" w:cs="Times New Roman"/>
                <w:b w:val="0"/>
                <w:bCs w:val="0"/>
                <w:szCs w:val="24"/>
                <w:lang w:eastAsia="es-CO"/>
              </w:rPr>
              <w:t>Años de experiencia</w:t>
            </w:r>
          </w:p>
        </w:tc>
      </w:tr>
      <w:tr w:rsidR="008041C0" w:rsidRPr="006177E4" w14:paraId="4F931537" w14:textId="77777777" w:rsidTr="00804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BD053"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Funcionario DIAN – Fiscalización</w:t>
            </w:r>
          </w:p>
        </w:tc>
        <w:tc>
          <w:tcPr>
            <w:tcW w:w="0" w:type="auto"/>
            <w:hideMark/>
          </w:tcPr>
          <w:p w14:paraId="4D23BB6C"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 xml:space="preserve">Piedad </w:t>
            </w:r>
            <w:proofErr w:type="spellStart"/>
            <w:r w:rsidRPr="006177E4">
              <w:rPr>
                <w:rFonts w:eastAsia="Times New Roman" w:cs="Times New Roman"/>
                <w:szCs w:val="24"/>
                <w:lang w:eastAsia="es-CO"/>
              </w:rPr>
              <w:t>Rugeles</w:t>
            </w:r>
            <w:proofErr w:type="spellEnd"/>
            <w:r w:rsidRPr="006177E4">
              <w:rPr>
                <w:rFonts w:eastAsia="Times New Roman" w:cs="Times New Roman"/>
                <w:szCs w:val="24"/>
                <w:lang w:eastAsia="es-CO"/>
              </w:rPr>
              <w:t xml:space="preserve"> Caro</w:t>
            </w:r>
          </w:p>
        </w:tc>
        <w:tc>
          <w:tcPr>
            <w:tcW w:w="0" w:type="auto"/>
            <w:hideMark/>
          </w:tcPr>
          <w:p w14:paraId="6ED9EBB5"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 Magíster en Tributación</w:t>
            </w:r>
          </w:p>
        </w:tc>
        <w:tc>
          <w:tcPr>
            <w:tcW w:w="0" w:type="auto"/>
            <w:hideMark/>
          </w:tcPr>
          <w:p w14:paraId="393477EA"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Gestor III</w:t>
            </w:r>
          </w:p>
        </w:tc>
        <w:tc>
          <w:tcPr>
            <w:tcW w:w="0" w:type="auto"/>
            <w:hideMark/>
          </w:tcPr>
          <w:p w14:paraId="2CE91AE9"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DIAN Seccional Ibagué</w:t>
            </w:r>
          </w:p>
        </w:tc>
        <w:tc>
          <w:tcPr>
            <w:tcW w:w="0" w:type="auto"/>
            <w:hideMark/>
          </w:tcPr>
          <w:p w14:paraId="05BA1A64"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34</w:t>
            </w:r>
          </w:p>
        </w:tc>
      </w:tr>
      <w:tr w:rsidR="008041C0" w:rsidRPr="006177E4" w14:paraId="6B270A38" w14:textId="77777777" w:rsidTr="008041C0">
        <w:tc>
          <w:tcPr>
            <w:cnfStyle w:val="001000000000" w:firstRow="0" w:lastRow="0" w:firstColumn="1" w:lastColumn="0" w:oddVBand="0" w:evenVBand="0" w:oddHBand="0" w:evenHBand="0" w:firstRowFirstColumn="0" w:firstRowLastColumn="0" w:lastRowFirstColumn="0" w:lastRowLastColumn="0"/>
            <w:tcW w:w="0" w:type="auto"/>
            <w:hideMark/>
          </w:tcPr>
          <w:p w14:paraId="58A1C33C"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Funcionario DIAN – Recaudo y Cobranzas</w:t>
            </w:r>
          </w:p>
        </w:tc>
        <w:tc>
          <w:tcPr>
            <w:tcW w:w="0" w:type="auto"/>
            <w:hideMark/>
          </w:tcPr>
          <w:p w14:paraId="50CBAFFC"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Adriana Paola Rincón Palacio</w:t>
            </w:r>
          </w:p>
        </w:tc>
        <w:tc>
          <w:tcPr>
            <w:tcW w:w="0" w:type="auto"/>
            <w:hideMark/>
          </w:tcPr>
          <w:p w14:paraId="312B328F"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Abogada – Magíster en Derecho Tributario</w:t>
            </w:r>
          </w:p>
        </w:tc>
        <w:tc>
          <w:tcPr>
            <w:tcW w:w="0" w:type="auto"/>
            <w:hideMark/>
          </w:tcPr>
          <w:p w14:paraId="613F73E2"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Inspector IV</w:t>
            </w:r>
          </w:p>
        </w:tc>
        <w:tc>
          <w:tcPr>
            <w:tcW w:w="0" w:type="auto"/>
            <w:hideMark/>
          </w:tcPr>
          <w:p w14:paraId="5A4DA06F"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DIAN</w:t>
            </w:r>
          </w:p>
        </w:tc>
        <w:tc>
          <w:tcPr>
            <w:tcW w:w="0" w:type="auto"/>
            <w:hideMark/>
          </w:tcPr>
          <w:p w14:paraId="6F109B69"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17</w:t>
            </w:r>
          </w:p>
        </w:tc>
      </w:tr>
      <w:tr w:rsidR="008041C0" w:rsidRPr="006177E4" w14:paraId="009FB3C5" w14:textId="77777777" w:rsidTr="00804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008F1"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lastRenderedPageBreak/>
              <w:t>Funcionario DIAN – Jurídica</w:t>
            </w:r>
          </w:p>
        </w:tc>
        <w:tc>
          <w:tcPr>
            <w:tcW w:w="0" w:type="auto"/>
            <w:hideMark/>
          </w:tcPr>
          <w:p w14:paraId="0923F679"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Carlos Enrique Ariza Sánchez</w:t>
            </w:r>
          </w:p>
        </w:tc>
        <w:tc>
          <w:tcPr>
            <w:tcW w:w="0" w:type="auto"/>
            <w:hideMark/>
          </w:tcPr>
          <w:p w14:paraId="43B3292B"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Abogado</w:t>
            </w:r>
          </w:p>
        </w:tc>
        <w:tc>
          <w:tcPr>
            <w:tcW w:w="0" w:type="auto"/>
            <w:hideMark/>
          </w:tcPr>
          <w:p w14:paraId="4B3F2CB7"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Inspector III</w:t>
            </w:r>
          </w:p>
        </w:tc>
        <w:tc>
          <w:tcPr>
            <w:tcW w:w="0" w:type="auto"/>
            <w:hideMark/>
          </w:tcPr>
          <w:p w14:paraId="51A33701"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DIAN</w:t>
            </w:r>
          </w:p>
        </w:tc>
        <w:tc>
          <w:tcPr>
            <w:tcW w:w="0" w:type="auto"/>
            <w:hideMark/>
          </w:tcPr>
          <w:p w14:paraId="7D8208FC"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34</w:t>
            </w:r>
          </w:p>
        </w:tc>
      </w:tr>
      <w:tr w:rsidR="008041C0" w:rsidRPr="006177E4" w14:paraId="650E396E" w14:textId="77777777" w:rsidTr="008041C0">
        <w:tc>
          <w:tcPr>
            <w:cnfStyle w:val="001000000000" w:firstRow="0" w:lastRow="0" w:firstColumn="1" w:lastColumn="0" w:oddVBand="0" w:evenVBand="0" w:oddHBand="0" w:evenHBand="0" w:firstRowFirstColumn="0" w:firstRowLastColumn="0" w:lastRowFirstColumn="0" w:lastRowLastColumn="0"/>
            <w:tcW w:w="0" w:type="auto"/>
            <w:hideMark/>
          </w:tcPr>
          <w:p w14:paraId="09C048BD"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Contador</w:t>
            </w:r>
          </w:p>
        </w:tc>
        <w:tc>
          <w:tcPr>
            <w:tcW w:w="0" w:type="auto"/>
            <w:hideMark/>
          </w:tcPr>
          <w:p w14:paraId="30B328AB"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Brenda Marcela Manjarrez Pico</w:t>
            </w:r>
          </w:p>
        </w:tc>
        <w:tc>
          <w:tcPr>
            <w:tcW w:w="0" w:type="auto"/>
            <w:hideMark/>
          </w:tcPr>
          <w:p w14:paraId="642BFB54"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Pública</w:t>
            </w:r>
          </w:p>
        </w:tc>
        <w:tc>
          <w:tcPr>
            <w:tcW w:w="0" w:type="auto"/>
            <w:hideMark/>
          </w:tcPr>
          <w:p w14:paraId="0655A77D"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Coordinadora de Impuestos</w:t>
            </w:r>
          </w:p>
        </w:tc>
        <w:tc>
          <w:tcPr>
            <w:tcW w:w="0" w:type="auto"/>
            <w:hideMark/>
          </w:tcPr>
          <w:p w14:paraId="1F0719AA"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Universidad ECCI</w:t>
            </w:r>
          </w:p>
        </w:tc>
        <w:tc>
          <w:tcPr>
            <w:tcW w:w="0" w:type="auto"/>
            <w:hideMark/>
          </w:tcPr>
          <w:p w14:paraId="6E704B86"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4</w:t>
            </w:r>
          </w:p>
        </w:tc>
      </w:tr>
      <w:tr w:rsidR="008041C0" w:rsidRPr="006177E4" w14:paraId="35CD8A23" w14:textId="77777777" w:rsidTr="00804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BE2493"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Contador</w:t>
            </w:r>
          </w:p>
        </w:tc>
        <w:tc>
          <w:tcPr>
            <w:tcW w:w="0" w:type="auto"/>
            <w:hideMark/>
          </w:tcPr>
          <w:p w14:paraId="328DFFA8"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Laura Juliana Jiménez Pineda</w:t>
            </w:r>
          </w:p>
        </w:tc>
        <w:tc>
          <w:tcPr>
            <w:tcW w:w="0" w:type="auto"/>
            <w:hideMark/>
          </w:tcPr>
          <w:p w14:paraId="0C95AB5F"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Pública</w:t>
            </w:r>
          </w:p>
        </w:tc>
        <w:tc>
          <w:tcPr>
            <w:tcW w:w="0" w:type="auto"/>
            <w:hideMark/>
          </w:tcPr>
          <w:p w14:paraId="64DC1F18"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Independiente</w:t>
            </w:r>
          </w:p>
        </w:tc>
        <w:tc>
          <w:tcPr>
            <w:tcW w:w="0" w:type="auto"/>
            <w:hideMark/>
          </w:tcPr>
          <w:p w14:paraId="6BA1D5C6"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Independiente</w:t>
            </w:r>
          </w:p>
        </w:tc>
        <w:tc>
          <w:tcPr>
            <w:tcW w:w="0" w:type="auto"/>
            <w:hideMark/>
          </w:tcPr>
          <w:p w14:paraId="3A930903"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5</w:t>
            </w:r>
          </w:p>
        </w:tc>
      </w:tr>
      <w:tr w:rsidR="008041C0" w:rsidRPr="006177E4" w14:paraId="4A7757ED" w14:textId="77777777" w:rsidTr="008041C0">
        <w:tc>
          <w:tcPr>
            <w:cnfStyle w:val="001000000000" w:firstRow="0" w:lastRow="0" w:firstColumn="1" w:lastColumn="0" w:oddVBand="0" w:evenVBand="0" w:oddHBand="0" w:evenHBand="0" w:firstRowFirstColumn="0" w:firstRowLastColumn="0" w:lastRowFirstColumn="0" w:lastRowLastColumn="0"/>
            <w:tcW w:w="0" w:type="auto"/>
            <w:hideMark/>
          </w:tcPr>
          <w:p w14:paraId="29393696" w14:textId="1D7EF29B"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 xml:space="preserve">Contador </w:t>
            </w:r>
          </w:p>
        </w:tc>
        <w:tc>
          <w:tcPr>
            <w:tcW w:w="0" w:type="auto"/>
            <w:hideMark/>
          </w:tcPr>
          <w:p w14:paraId="12EFD21D"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proofErr w:type="spellStart"/>
            <w:r w:rsidRPr="006177E4">
              <w:rPr>
                <w:rFonts w:eastAsia="Times New Roman" w:cs="Times New Roman"/>
                <w:szCs w:val="24"/>
                <w:lang w:eastAsia="es-CO"/>
              </w:rPr>
              <w:t>Anggy</w:t>
            </w:r>
            <w:proofErr w:type="spellEnd"/>
            <w:r w:rsidRPr="006177E4">
              <w:rPr>
                <w:rFonts w:eastAsia="Times New Roman" w:cs="Times New Roman"/>
                <w:szCs w:val="24"/>
                <w:lang w:eastAsia="es-CO"/>
              </w:rPr>
              <w:t xml:space="preserve"> Catalina López</w:t>
            </w:r>
          </w:p>
        </w:tc>
        <w:tc>
          <w:tcPr>
            <w:tcW w:w="0" w:type="auto"/>
            <w:hideMark/>
          </w:tcPr>
          <w:p w14:paraId="155C702A"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Pública</w:t>
            </w:r>
          </w:p>
        </w:tc>
        <w:tc>
          <w:tcPr>
            <w:tcW w:w="0" w:type="auto"/>
            <w:hideMark/>
          </w:tcPr>
          <w:p w14:paraId="1647B5A1"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Funcionario público</w:t>
            </w:r>
          </w:p>
        </w:tc>
        <w:tc>
          <w:tcPr>
            <w:tcW w:w="0" w:type="auto"/>
            <w:hideMark/>
          </w:tcPr>
          <w:p w14:paraId="580FA812"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DIAN – Girardot</w:t>
            </w:r>
          </w:p>
        </w:tc>
        <w:tc>
          <w:tcPr>
            <w:tcW w:w="0" w:type="auto"/>
            <w:hideMark/>
          </w:tcPr>
          <w:p w14:paraId="6BAF986C"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10</w:t>
            </w:r>
          </w:p>
        </w:tc>
      </w:tr>
      <w:tr w:rsidR="008041C0" w:rsidRPr="006177E4" w14:paraId="44FA6683" w14:textId="77777777" w:rsidTr="00804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750021"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Revisor Fiscal</w:t>
            </w:r>
          </w:p>
        </w:tc>
        <w:tc>
          <w:tcPr>
            <w:tcW w:w="0" w:type="auto"/>
            <w:hideMark/>
          </w:tcPr>
          <w:p w14:paraId="2692D472"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Diana Marcela López Ríos</w:t>
            </w:r>
          </w:p>
        </w:tc>
        <w:tc>
          <w:tcPr>
            <w:tcW w:w="0" w:type="auto"/>
            <w:hideMark/>
          </w:tcPr>
          <w:p w14:paraId="69ECE6D0"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Pública</w:t>
            </w:r>
          </w:p>
        </w:tc>
        <w:tc>
          <w:tcPr>
            <w:tcW w:w="0" w:type="auto"/>
            <w:hideMark/>
          </w:tcPr>
          <w:p w14:paraId="405FABC1"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Revisor Fiscal</w:t>
            </w:r>
          </w:p>
        </w:tc>
        <w:tc>
          <w:tcPr>
            <w:tcW w:w="0" w:type="auto"/>
            <w:hideMark/>
          </w:tcPr>
          <w:p w14:paraId="314CDE0F"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 xml:space="preserve">PH </w:t>
            </w:r>
            <w:proofErr w:type="spellStart"/>
            <w:r w:rsidRPr="006177E4">
              <w:rPr>
                <w:rFonts w:eastAsia="Times New Roman" w:cs="Times New Roman"/>
                <w:szCs w:val="24"/>
                <w:lang w:eastAsia="es-CO"/>
              </w:rPr>
              <w:t>Confamiliares</w:t>
            </w:r>
            <w:proofErr w:type="spellEnd"/>
          </w:p>
        </w:tc>
        <w:tc>
          <w:tcPr>
            <w:tcW w:w="0" w:type="auto"/>
            <w:hideMark/>
          </w:tcPr>
          <w:p w14:paraId="6CEFC235" w14:textId="77777777" w:rsidR="008F201B" w:rsidRPr="006177E4" w:rsidRDefault="008F201B"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4</w:t>
            </w:r>
          </w:p>
        </w:tc>
      </w:tr>
      <w:tr w:rsidR="008041C0" w:rsidRPr="006177E4" w14:paraId="3EBB1804" w14:textId="77777777" w:rsidTr="008041C0">
        <w:tc>
          <w:tcPr>
            <w:cnfStyle w:val="001000000000" w:firstRow="0" w:lastRow="0" w:firstColumn="1" w:lastColumn="0" w:oddVBand="0" w:evenVBand="0" w:oddHBand="0" w:evenHBand="0" w:firstRowFirstColumn="0" w:firstRowLastColumn="0" w:lastRowFirstColumn="0" w:lastRowLastColumn="0"/>
            <w:tcW w:w="0" w:type="auto"/>
            <w:hideMark/>
          </w:tcPr>
          <w:p w14:paraId="553B81C9" w14:textId="77777777" w:rsidR="008F201B" w:rsidRPr="006177E4" w:rsidRDefault="008F201B"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Revisor Fiscal</w:t>
            </w:r>
          </w:p>
        </w:tc>
        <w:tc>
          <w:tcPr>
            <w:tcW w:w="0" w:type="auto"/>
            <w:hideMark/>
          </w:tcPr>
          <w:p w14:paraId="66EEDFD2"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Angélica María Buitrago</w:t>
            </w:r>
          </w:p>
        </w:tc>
        <w:tc>
          <w:tcPr>
            <w:tcW w:w="0" w:type="auto"/>
            <w:hideMark/>
          </w:tcPr>
          <w:p w14:paraId="750D7964"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Pública</w:t>
            </w:r>
          </w:p>
        </w:tc>
        <w:tc>
          <w:tcPr>
            <w:tcW w:w="0" w:type="auto"/>
            <w:hideMark/>
          </w:tcPr>
          <w:p w14:paraId="20F6E612"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Revisor Fiscal</w:t>
            </w:r>
          </w:p>
        </w:tc>
        <w:tc>
          <w:tcPr>
            <w:tcW w:w="0" w:type="auto"/>
            <w:hideMark/>
          </w:tcPr>
          <w:p w14:paraId="3AE4F404"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Impulsa Suministros SAS</w:t>
            </w:r>
          </w:p>
        </w:tc>
        <w:tc>
          <w:tcPr>
            <w:tcW w:w="0" w:type="auto"/>
            <w:hideMark/>
          </w:tcPr>
          <w:p w14:paraId="7C720F1F" w14:textId="77777777" w:rsidR="008F201B" w:rsidRPr="006177E4" w:rsidRDefault="008F201B"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15</w:t>
            </w:r>
          </w:p>
        </w:tc>
      </w:tr>
      <w:tr w:rsidR="008041C0" w:rsidRPr="006177E4" w14:paraId="205AFF45" w14:textId="77777777" w:rsidTr="00804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F4225D" w14:textId="4274FB10" w:rsidR="008041C0" w:rsidRPr="006177E4" w:rsidRDefault="008041C0" w:rsidP="00263B16">
            <w:pPr>
              <w:spacing w:line="480" w:lineRule="auto"/>
              <w:rPr>
                <w:rFonts w:eastAsia="Times New Roman" w:cs="Times New Roman"/>
                <w:szCs w:val="24"/>
                <w:lang w:eastAsia="es-CO"/>
              </w:rPr>
            </w:pPr>
            <w:r w:rsidRPr="006177E4">
              <w:rPr>
                <w:rFonts w:eastAsia="Times New Roman" w:cs="Times New Roman"/>
                <w:b w:val="0"/>
                <w:bCs w:val="0"/>
                <w:szCs w:val="24"/>
                <w:lang w:eastAsia="es-CO"/>
              </w:rPr>
              <w:lastRenderedPageBreak/>
              <w:t>Revisor Fiscal</w:t>
            </w:r>
          </w:p>
        </w:tc>
        <w:tc>
          <w:tcPr>
            <w:tcW w:w="0" w:type="auto"/>
          </w:tcPr>
          <w:p w14:paraId="74D7105D" w14:textId="30B254C2"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Sofia Giraldo Moreno</w:t>
            </w:r>
          </w:p>
        </w:tc>
        <w:tc>
          <w:tcPr>
            <w:tcW w:w="0" w:type="auto"/>
          </w:tcPr>
          <w:p w14:paraId="799BC408" w14:textId="01EA1D16"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Contadora Pública</w:t>
            </w:r>
          </w:p>
        </w:tc>
        <w:tc>
          <w:tcPr>
            <w:tcW w:w="0" w:type="auto"/>
          </w:tcPr>
          <w:p w14:paraId="67BC57AC" w14:textId="0D6A9176"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Revisor Fiscal</w:t>
            </w:r>
          </w:p>
        </w:tc>
        <w:tc>
          <w:tcPr>
            <w:tcW w:w="0" w:type="auto"/>
          </w:tcPr>
          <w:p w14:paraId="3F7C498F" w14:textId="5E41A86D"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GM Auditores y Contadores, Socia- Gerente</w:t>
            </w:r>
          </w:p>
        </w:tc>
        <w:tc>
          <w:tcPr>
            <w:tcW w:w="0" w:type="auto"/>
          </w:tcPr>
          <w:p w14:paraId="1E1ED841" w14:textId="780B7F98"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6</w:t>
            </w:r>
          </w:p>
        </w:tc>
      </w:tr>
      <w:tr w:rsidR="008041C0" w:rsidRPr="006177E4" w14:paraId="3F0F7AA8" w14:textId="77777777" w:rsidTr="008041C0">
        <w:tc>
          <w:tcPr>
            <w:cnfStyle w:val="001000000000" w:firstRow="0" w:lastRow="0" w:firstColumn="1" w:lastColumn="0" w:oddVBand="0" w:evenVBand="0" w:oddHBand="0" w:evenHBand="0" w:firstRowFirstColumn="0" w:firstRowLastColumn="0" w:lastRowFirstColumn="0" w:lastRowLastColumn="0"/>
            <w:tcW w:w="0" w:type="auto"/>
            <w:hideMark/>
          </w:tcPr>
          <w:p w14:paraId="2A951FC1" w14:textId="77777777" w:rsidR="008041C0" w:rsidRPr="006177E4" w:rsidRDefault="008041C0"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Docente universitario</w:t>
            </w:r>
          </w:p>
        </w:tc>
        <w:tc>
          <w:tcPr>
            <w:tcW w:w="0" w:type="auto"/>
            <w:hideMark/>
          </w:tcPr>
          <w:p w14:paraId="35F001D6"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 xml:space="preserve">Julián </w:t>
            </w:r>
            <w:proofErr w:type="spellStart"/>
            <w:r w:rsidRPr="006177E4">
              <w:rPr>
                <w:rFonts w:eastAsia="Times New Roman" w:cs="Times New Roman"/>
                <w:szCs w:val="24"/>
                <w:lang w:eastAsia="es-CO"/>
              </w:rPr>
              <w:t>Peñagos</w:t>
            </w:r>
            <w:proofErr w:type="spellEnd"/>
            <w:r w:rsidRPr="006177E4">
              <w:rPr>
                <w:rFonts w:eastAsia="Times New Roman" w:cs="Times New Roman"/>
                <w:szCs w:val="24"/>
                <w:lang w:eastAsia="es-CO"/>
              </w:rPr>
              <w:t xml:space="preserve"> Correa</w:t>
            </w:r>
          </w:p>
        </w:tc>
        <w:tc>
          <w:tcPr>
            <w:tcW w:w="0" w:type="auto"/>
            <w:hideMark/>
          </w:tcPr>
          <w:p w14:paraId="53833699"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Abogado</w:t>
            </w:r>
          </w:p>
        </w:tc>
        <w:tc>
          <w:tcPr>
            <w:tcW w:w="0" w:type="auto"/>
            <w:hideMark/>
          </w:tcPr>
          <w:p w14:paraId="6BD26CD6"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Docente universitario</w:t>
            </w:r>
          </w:p>
        </w:tc>
        <w:tc>
          <w:tcPr>
            <w:tcW w:w="0" w:type="auto"/>
            <w:hideMark/>
          </w:tcPr>
          <w:p w14:paraId="02A6451B"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UTPC / U. Militar Nueva Granada</w:t>
            </w:r>
          </w:p>
        </w:tc>
        <w:tc>
          <w:tcPr>
            <w:tcW w:w="0" w:type="auto"/>
            <w:hideMark/>
          </w:tcPr>
          <w:p w14:paraId="3FB5DDEC"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35</w:t>
            </w:r>
          </w:p>
        </w:tc>
      </w:tr>
      <w:tr w:rsidR="008041C0" w:rsidRPr="006177E4" w14:paraId="136F2909" w14:textId="77777777" w:rsidTr="00804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E15A4B" w14:textId="77777777" w:rsidR="008041C0" w:rsidRPr="006177E4" w:rsidRDefault="008041C0"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Docente universitario</w:t>
            </w:r>
          </w:p>
        </w:tc>
        <w:tc>
          <w:tcPr>
            <w:tcW w:w="0" w:type="auto"/>
            <w:hideMark/>
          </w:tcPr>
          <w:p w14:paraId="1351D23B" w14:textId="77777777"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Guillermo Triviño Rodríguez</w:t>
            </w:r>
          </w:p>
        </w:tc>
        <w:tc>
          <w:tcPr>
            <w:tcW w:w="0" w:type="auto"/>
            <w:hideMark/>
          </w:tcPr>
          <w:p w14:paraId="44FAD2E3" w14:textId="77777777"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 Público</w:t>
            </w:r>
          </w:p>
        </w:tc>
        <w:tc>
          <w:tcPr>
            <w:tcW w:w="0" w:type="auto"/>
            <w:hideMark/>
          </w:tcPr>
          <w:p w14:paraId="657923CE" w14:textId="77777777"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Docente catedrático</w:t>
            </w:r>
          </w:p>
        </w:tc>
        <w:tc>
          <w:tcPr>
            <w:tcW w:w="0" w:type="auto"/>
            <w:hideMark/>
          </w:tcPr>
          <w:p w14:paraId="735F91C4" w14:textId="77777777"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Universidad de Manizales</w:t>
            </w:r>
          </w:p>
        </w:tc>
        <w:tc>
          <w:tcPr>
            <w:tcW w:w="0" w:type="auto"/>
            <w:hideMark/>
          </w:tcPr>
          <w:p w14:paraId="3467F6AD" w14:textId="77777777" w:rsidR="008041C0" w:rsidRPr="006177E4" w:rsidRDefault="008041C0" w:rsidP="00263B16">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35</w:t>
            </w:r>
          </w:p>
        </w:tc>
      </w:tr>
      <w:tr w:rsidR="008041C0" w:rsidRPr="006177E4" w14:paraId="4E864DCA" w14:textId="77777777" w:rsidTr="008041C0">
        <w:tc>
          <w:tcPr>
            <w:cnfStyle w:val="001000000000" w:firstRow="0" w:lastRow="0" w:firstColumn="1" w:lastColumn="0" w:oddVBand="0" w:evenVBand="0" w:oddHBand="0" w:evenHBand="0" w:firstRowFirstColumn="0" w:firstRowLastColumn="0" w:lastRowFirstColumn="0" w:lastRowLastColumn="0"/>
            <w:tcW w:w="0" w:type="auto"/>
            <w:hideMark/>
          </w:tcPr>
          <w:p w14:paraId="2A85FE1C" w14:textId="2A2DE7E5" w:rsidR="008041C0" w:rsidRPr="006177E4" w:rsidRDefault="008041C0" w:rsidP="00263B16">
            <w:pPr>
              <w:spacing w:line="480" w:lineRule="auto"/>
              <w:rPr>
                <w:rFonts w:eastAsia="Times New Roman" w:cs="Times New Roman"/>
                <w:b w:val="0"/>
                <w:bCs w:val="0"/>
                <w:szCs w:val="24"/>
                <w:lang w:eastAsia="es-CO"/>
              </w:rPr>
            </w:pPr>
            <w:r w:rsidRPr="006177E4">
              <w:rPr>
                <w:rFonts w:eastAsia="Times New Roman" w:cs="Times New Roman"/>
                <w:b w:val="0"/>
                <w:bCs w:val="0"/>
                <w:szCs w:val="24"/>
                <w:lang w:eastAsia="es-CO"/>
              </w:rPr>
              <w:t xml:space="preserve">Docente universitario </w:t>
            </w:r>
          </w:p>
        </w:tc>
        <w:tc>
          <w:tcPr>
            <w:tcW w:w="0" w:type="auto"/>
            <w:hideMark/>
          </w:tcPr>
          <w:p w14:paraId="717248B8"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 xml:space="preserve">Edwin Alexis </w:t>
            </w:r>
            <w:proofErr w:type="spellStart"/>
            <w:r w:rsidRPr="006177E4">
              <w:rPr>
                <w:rFonts w:eastAsia="Times New Roman" w:cs="Times New Roman"/>
                <w:szCs w:val="24"/>
                <w:lang w:eastAsia="es-CO"/>
              </w:rPr>
              <w:t>Manios</w:t>
            </w:r>
            <w:proofErr w:type="spellEnd"/>
            <w:r w:rsidRPr="006177E4">
              <w:rPr>
                <w:rFonts w:eastAsia="Times New Roman" w:cs="Times New Roman"/>
                <w:szCs w:val="24"/>
                <w:lang w:eastAsia="es-CO"/>
              </w:rPr>
              <w:t xml:space="preserve"> Acosta</w:t>
            </w:r>
          </w:p>
        </w:tc>
        <w:tc>
          <w:tcPr>
            <w:tcW w:w="0" w:type="auto"/>
            <w:hideMark/>
          </w:tcPr>
          <w:p w14:paraId="485C9ECC"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Contador Público – Magíster</w:t>
            </w:r>
          </w:p>
        </w:tc>
        <w:tc>
          <w:tcPr>
            <w:tcW w:w="0" w:type="auto"/>
            <w:hideMark/>
          </w:tcPr>
          <w:p w14:paraId="2444DDF0"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 xml:space="preserve">Docente / </w:t>
            </w:r>
            <w:proofErr w:type="gramStart"/>
            <w:r w:rsidRPr="006177E4">
              <w:rPr>
                <w:rFonts w:eastAsia="Times New Roman" w:cs="Times New Roman"/>
                <w:szCs w:val="24"/>
                <w:lang w:eastAsia="es-CO"/>
              </w:rPr>
              <w:t>Funcionario</w:t>
            </w:r>
            <w:proofErr w:type="gramEnd"/>
            <w:r w:rsidRPr="006177E4">
              <w:rPr>
                <w:rFonts w:eastAsia="Times New Roman" w:cs="Times New Roman"/>
                <w:szCs w:val="24"/>
                <w:lang w:eastAsia="es-CO"/>
              </w:rPr>
              <w:t xml:space="preserve"> DIAN</w:t>
            </w:r>
          </w:p>
        </w:tc>
        <w:tc>
          <w:tcPr>
            <w:tcW w:w="0" w:type="auto"/>
            <w:hideMark/>
          </w:tcPr>
          <w:p w14:paraId="01031443"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U. Ibagué / Externado</w:t>
            </w:r>
          </w:p>
        </w:tc>
        <w:tc>
          <w:tcPr>
            <w:tcW w:w="0" w:type="auto"/>
            <w:hideMark/>
          </w:tcPr>
          <w:p w14:paraId="6E2CFA2C" w14:textId="77777777" w:rsidR="008041C0" w:rsidRPr="006177E4" w:rsidRDefault="008041C0" w:rsidP="00263B16">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CO"/>
              </w:rPr>
            </w:pPr>
            <w:r w:rsidRPr="006177E4">
              <w:rPr>
                <w:rFonts w:eastAsia="Times New Roman" w:cs="Times New Roman"/>
                <w:szCs w:val="24"/>
                <w:lang w:eastAsia="es-CO"/>
              </w:rPr>
              <w:t>18</w:t>
            </w:r>
          </w:p>
        </w:tc>
      </w:tr>
    </w:tbl>
    <w:p w14:paraId="5CDE0C88" w14:textId="2C4332CD" w:rsidR="008F201B" w:rsidRDefault="008F201B" w:rsidP="00263B16">
      <w:pPr>
        <w:spacing w:line="480" w:lineRule="auto"/>
        <w:jc w:val="center"/>
        <w:rPr>
          <w:rFonts w:cs="Times New Roman"/>
          <w:b/>
          <w:bCs/>
          <w:szCs w:val="24"/>
        </w:rPr>
      </w:pPr>
    </w:p>
    <w:p w14:paraId="2900BEC9" w14:textId="0ABC3B76" w:rsidR="00705748" w:rsidRPr="00705748" w:rsidRDefault="00705748" w:rsidP="00705748">
      <w:pPr>
        <w:spacing w:line="480" w:lineRule="auto"/>
        <w:rPr>
          <w:rFonts w:cs="Times New Roman"/>
          <w:szCs w:val="24"/>
        </w:rPr>
      </w:pPr>
      <w:r w:rsidRPr="00705748">
        <w:rPr>
          <w:rFonts w:cs="Times New Roman"/>
          <w:szCs w:val="24"/>
        </w:rPr>
        <w:t>Fuente: Elaboración propia (Acero y López, 2026)</w:t>
      </w:r>
    </w:p>
    <w:sectPr w:rsidR="00705748" w:rsidRPr="00705748" w:rsidSect="00F913E9">
      <w:footerReference w:type="even" r:id="rId90"/>
      <w:footerReference w:type="default" r:id="rId91"/>
      <w:footerReference w:type="first" r:id="rId9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FE8CA" w14:textId="77777777" w:rsidR="00365054" w:rsidRDefault="00365054" w:rsidP="006B13CA">
      <w:pPr>
        <w:spacing w:line="240" w:lineRule="auto"/>
      </w:pPr>
      <w:r>
        <w:separator/>
      </w:r>
    </w:p>
  </w:endnote>
  <w:endnote w:type="continuationSeparator" w:id="0">
    <w:p w14:paraId="18767A8A" w14:textId="77777777" w:rsidR="00365054" w:rsidRDefault="00365054" w:rsidP="006B13CA">
      <w:pPr>
        <w:spacing w:line="240" w:lineRule="auto"/>
      </w:pPr>
      <w:r>
        <w:continuationSeparator/>
      </w:r>
    </w:p>
  </w:endnote>
  <w:endnote w:type="continuationNotice" w:id="1">
    <w:p w14:paraId="20433C82" w14:textId="77777777" w:rsidR="00365054" w:rsidRDefault="003650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06E8" w14:textId="1DAFA5BC" w:rsidR="00146B28" w:rsidRDefault="00146B28">
    <w:pPr>
      <w:pStyle w:val="Piedepgina"/>
    </w:pPr>
    <w:r>
      <w:rPr>
        <w:noProof/>
        <w:lang w:eastAsia="es-CO"/>
      </w:rPr>
      <mc:AlternateContent>
        <mc:Choice Requires="wps">
          <w:drawing>
            <wp:anchor distT="0" distB="0" distL="0" distR="0" simplePos="0" relativeHeight="251659264" behindDoc="0" locked="0" layoutInCell="1" allowOverlap="1" wp14:anchorId="7675EE84" wp14:editId="1AF380FB">
              <wp:simplePos x="635" y="635"/>
              <wp:positionH relativeFrom="page">
                <wp:align>right</wp:align>
              </wp:positionH>
              <wp:positionV relativeFrom="page">
                <wp:align>bottom</wp:align>
              </wp:positionV>
              <wp:extent cx="1858010" cy="422910"/>
              <wp:effectExtent l="0" t="0" r="0" b="0"/>
              <wp:wrapNone/>
              <wp:docPr id="1090846608" name="Cuadro de texto 2"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2A223FD7" w14:textId="7EF7D1E0" w:rsidR="00146B28" w:rsidRPr="00146B28" w:rsidRDefault="00146B28" w:rsidP="00146B28">
                          <w:pPr>
                            <w:rPr>
                              <w:rFonts w:ascii="Calibri" w:eastAsia="Calibri" w:hAnsi="Calibri" w:cs="Calibri"/>
                              <w:noProof/>
                              <w:color w:val="000000"/>
                              <w:sz w:val="20"/>
                              <w:szCs w:val="20"/>
                            </w:rPr>
                          </w:pPr>
                          <w:r w:rsidRPr="00146B28">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75EE84" id="_x0000_t202" coordsize="21600,21600" o:spt="202" path="m,l,21600r21600,l21600,xe">
              <v:stroke joinstyle="miter"/>
              <v:path gradientshapeok="t" o:connecttype="rect"/>
            </v:shapetype>
            <v:shape id="Cuadro de texto 2" o:spid="_x0000_s1026" type="#_x0000_t202" alt="Información Pública Clasificada " style="position:absolute;left:0;text-align:left;margin-left:95.1pt;margin-top:0;width:146.3pt;height:33.3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" filled="f" stroked="f">
              <v:textbox style="mso-fit-shape-to-text:t" inset="0,0,20pt,15pt">
                <w:txbxContent>
                  <w:p w14:paraId="2A223FD7" w14:textId="7EF7D1E0" w:rsidR="00146B28" w:rsidRPr="00146B28" w:rsidRDefault="00146B28" w:rsidP="00146B28">
                    <w:pPr>
                      <w:rPr>
                        <w:rFonts w:ascii="Calibri" w:eastAsia="Calibri" w:hAnsi="Calibri" w:cs="Calibri"/>
                        <w:noProof/>
                        <w:color w:val="000000"/>
                        <w:sz w:val="20"/>
                        <w:szCs w:val="20"/>
                      </w:rPr>
                    </w:pPr>
                    <w:r w:rsidRPr="00146B28">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A79FD" w14:textId="629AF976" w:rsidR="00146B28" w:rsidRDefault="00146B28">
    <w:pPr>
      <w:pStyle w:val="Piedepgina"/>
    </w:pPr>
    <w:r>
      <w:rPr>
        <w:noProof/>
        <w:lang w:eastAsia="es-CO"/>
      </w:rPr>
      <mc:AlternateContent>
        <mc:Choice Requires="wps">
          <w:drawing>
            <wp:anchor distT="0" distB="0" distL="0" distR="0" simplePos="0" relativeHeight="251660288" behindDoc="0" locked="0" layoutInCell="1" allowOverlap="1" wp14:anchorId="6E611648" wp14:editId="1BA86DBB">
              <wp:simplePos x="914400" y="9429750"/>
              <wp:positionH relativeFrom="page">
                <wp:align>right</wp:align>
              </wp:positionH>
              <wp:positionV relativeFrom="page">
                <wp:align>bottom</wp:align>
              </wp:positionV>
              <wp:extent cx="1858010" cy="422910"/>
              <wp:effectExtent l="0" t="0" r="0" b="0"/>
              <wp:wrapNone/>
              <wp:docPr id="1908702688" name="Cuadro de texto 3"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16431A63" w14:textId="27580748" w:rsidR="00146B28" w:rsidRPr="00146B28" w:rsidRDefault="00146B28" w:rsidP="00146B28">
                          <w:pPr>
                            <w:rPr>
                              <w:rFonts w:ascii="Calibri" w:eastAsia="Calibri" w:hAnsi="Calibri" w:cs="Calibri"/>
                              <w:noProof/>
                              <w:color w:val="000000"/>
                              <w:sz w:val="20"/>
                              <w:szCs w:val="20"/>
                            </w:rPr>
                          </w:pPr>
                          <w:r w:rsidRPr="00146B28">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611648" id="_x0000_t202" coordsize="21600,21600" o:spt="202" path="m,l,21600r21600,l21600,xe">
              <v:stroke joinstyle="miter"/>
              <v:path gradientshapeok="t" o:connecttype="rect"/>
            </v:shapetype>
            <v:shape id="Cuadro de texto 3" o:spid="_x0000_s1027" type="#_x0000_t202" alt="Información Pública Clasificada " style="position:absolute;left:0;text-align:left;margin-left:95.1pt;margin-top:0;width:146.3pt;height:33.3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" filled="f" stroked="f">
              <v:textbox style="mso-fit-shape-to-text:t" inset="0,0,20pt,15pt">
                <w:txbxContent>
                  <w:p w14:paraId="16431A63" w14:textId="27580748" w:rsidR="00146B28" w:rsidRPr="00146B28" w:rsidRDefault="00146B28" w:rsidP="00146B28">
                    <w:pPr>
                      <w:rPr>
                        <w:rFonts w:ascii="Calibri" w:eastAsia="Calibri" w:hAnsi="Calibri" w:cs="Calibri"/>
                        <w:noProof/>
                        <w:color w:val="000000"/>
                        <w:sz w:val="20"/>
                        <w:szCs w:val="20"/>
                      </w:rPr>
                    </w:pPr>
                    <w:r w:rsidRPr="00146B28">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D2E4" w14:textId="0456D3DF" w:rsidR="00146B28" w:rsidRDefault="00146B28">
    <w:pPr>
      <w:pStyle w:val="Piedepgina"/>
    </w:pPr>
    <w:r>
      <w:rPr>
        <w:noProof/>
        <w:lang w:eastAsia="es-CO"/>
      </w:rPr>
      <mc:AlternateContent>
        <mc:Choice Requires="wps">
          <w:drawing>
            <wp:anchor distT="0" distB="0" distL="0" distR="0" simplePos="0" relativeHeight="251658240" behindDoc="0" locked="0" layoutInCell="1" allowOverlap="1" wp14:anchorId="120AC065" wp14:editId="4B5FAA75">
              <wp:simplePos x="635" y="635"/>
              <wp:positionH relativeFrom="page">
                <wp:align>right</wp:align>
              </wp:positionH>
              <wp:positionV relativeFrom="page">
                <wp:align>bottom</wp:align>
              </wp:positionV>
              <wp:extent cx="1858010" cy="422910"/>
              <wp:effectExtent l="0" t="0" r="0" b="0"/>
              <wp:wrapNone/>
              <wp:docPr id="1608650751" name="Cuadro de texto 1"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5C6E7141" w14:textId="13FB9FA9" w:rsidR="00146B28" w:rsidRPr="00146B28" w:rsidRDefault="00146B28" w:rsidP="00146B28">
                          <w:pPr>
                            <w:rPr>
                              <w:rFonts w:ascii="Calibri" w:eastAsia="Calibri" w:hAnsi="Calibri" w:cs="Calibri"/>
                              <w:noProof/>
                              <w:color w:val="000000"/>
                              <w:sz w:val="20"/>
                              <w:szCs w:val="20"/>
                            </w:rPr>
                          </w:pPr>
                          <w:r w:rsidRPr="00146B28">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0AC065" id="_x0000_t202" coordsize="21600,21600" o:spt="202" path="m,l,21600r21600,l21600,xe">
              <v:stroke joinstyle="miter"/>
              <v:path gradientshapeok="t" o:connecttype="rect"/>
            </v:shapetype>
            <v:shape id="Cuadro de texto 1" o:spid="_x0000_s1028" type="#_x0000_t202" alt="Información Pública Clasificada " style="position:absolute;left:0;text-align:left;margin-left:95.1pt;margin-top:0;width:146.3pt;height:33.3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" filled="f" stroked="f">
              <v:textbox style="mso-fit-shape-to-text:t" inset="0,0,20pt,15pt">
                <w:txbxContent>
                  <w:p w14:paraId="5C6E7141" w14:textId="13FB9FA9" w:rsidR="00146B28" w:rsidRPr="00146B28" w:rsidRDefault="00146B28" w:rsidP="00146B28">
                    <w:pPr>
                      <w:rPr>
                        <w:rFonts w:ascii="Calibri" w:eastAsia="Calibri" w:hAnsi="Calibri" w:cs="Calibri"/>
                        <w:noProof/>
                        <w:color w:val="000000"/>
                        <w:sz w:val="20"/>
                        <w:szCs w:val="20"/>
                      </w:rPr>
                    </w:pPr>
                    <w:r w:rsidRPr="00146B28">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DF84B" w14:textId="77777777" w:rsidR="00FD6BD7" w:rsidRDefault="00FD6BD7">
    <w:pPr>
      <w:pStyle w:val="Piedepgina"/>
    </w:pPr>
    <w:r>
      <w:rPr>
        <w:noProof/>
        <w:lang w:eastAsia="es-CO"/>
      </w:rPr>
      <mc:AlternateContent>
        <mc:Choice Requires="wps">
          <w:drawing>
            <wp:anchor distT="0" distB="0" distL="0" distR="0" simplePos="0" relativeHeight="251671552" behindDoc="0" locked="0" layoutInCell="1" allowOverlap="1" wp14:anchorId="4291D3C7" wp14:editId="6F764EEF">
              <wp:simplePos x="635" y="635"/>
              <wp:positionH relativeFrom="page">
                <wp:align>right</wp:align>
              </wp:positionH>
              <wp:positionV relativeFrom="page">
                <wp:align>bottom</wp:align>
              </wp:positionV>
              <wp:extent cx="1858010" cy="422910"/>
              <wp:effectExtent l="0" t="0" r="0" b="0"/>
              <wp:wrapNone/>
              <wp:docPr id="15" name="Cuadro de texto 2"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54311564" w14:textId="77777777" w:rsidR="00FD6BD7" w:rsidRPr="009C61C6" w:rsidRDefault="00FD6BD7"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291D3C7" id="_x0000_t202" coordsize="21600,21600" o:spt="202" path="m,l,21600r21600,l21600,xe">
              <v:stroke joinstyle="miter"/>
              <v:path gradientshapeok="t" o:connecttype="rect"/>
            </v:shapetype>
            <v:shape id="_x0000_s1029" type="#_x0000_t202" alt="Información Pública Clasificada " style="position:absolute;left:0;text-align:left;margin-left:95.1pt;margin-top:0;width:146.3pt;height:33.3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" filled="f" stroked="f">
              <v:textbox style="mso-fit-shape-to-text:t" inset="0,0,20pt,15pt">
                <w:txbxContent>
                  <w:p w14:paraId="54311564" w14:textId="77777777" w:rsidR="00FD6BD7" w:rsidRPr="009C61C6" w:rsidRDefault="00FD6BD7"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9553" w14:textId="77777777" w:rsidR="00FD6BD7" w:rsidRDefault="00FD6BD7">
    <w:pPr>
      <w:pStyle w:val="Piedepgina"/>
    </w:pPr>
    <w:r>
      <w:rPr>
        <w:noProof/>
        <w:lang w:eastAsia="es-CO"/>
      </w:rPr>
      <mc:AlternateContent>
        <mc:Choice Requires="wps">
          <w:drawing>
            <wp:anchor distT="0" distB="0" distL="0" distR="0" simplePos="0" relativeHeight="251672576" behindDoc="0" locked="0" layoutInCell="1" allowOverlap="1" wp14:anchorId="28BF1844" wp14:editId="4612C2D8">
              <wp:simplePos x="914400" y="9429750"/>
              <wp:positionH relativeFrom="page">
                <wp:align>right</wp:align>
              </wp:positionH>
              <wp:positionV relativeFrom="page">
                <wp:align>bottom</wp:align>
              </wp:positionV>
              <wp:extent cx="1858010" cy="422910"/>
              <wp:effectExtent l="0" t="0" r="0" b="0"/>
              <wp:wrapNone/>
              <wp:docPr id="16" name="Cuadro de texto 3"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1A93A08D" w14:textId="77777777" w:rsidR="00FD6BD7" w:rsidRPr="009C61C6" w:rsidRDefault="00FD6BD7"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8BF1844" id="_x0000_t202" coordsize="21600,21600" o:spt="202" path="m,l,21600r21600,l21600,xe">
              <v:stroke joinstyle="miter"/>
              <v:path gradientshapeok="t" o:connecttype="rect"/>
            </v:shapetype>
            <v:shape id="_x0000_s1030" type="#_x0000_t202" alt="Información Pública Clasificada " style="position:absolute;left:0;text-align:left;margin-left:95.1pt;margin-top:0;width:146.3pt;height:33.3pt;z-index:2516725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" filled="f" stroked="f">
              <v:textbox style="mso-fit-shape-to-text:t" inset="0,0,20pt,15pt">
                <w:txbxContent>
                  <w:p w14:paraId="1A93A08D" w14:textId="77777777" w:rsidR="00FD6BD7" w:rsidRPr="009C61C6" w:rsidRDefault="00FD6BD7"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2BE9" w14:textId="77777777" w:rsidR="00FD6BD7" w:rsidRDefault="00FD6BD7">
    <w:pPr>
      <w:pStyle w:val="Piedepgina"/>
    </w:pPr>
    <w:r>
      <w:rPr>
        <w:noProof/>
        <w:lang w:eastAsia="es-CO"/>
      </w:rPr>
      <mc:AlternateContent>
        <mc:Choice Requires="wps">
          <w:drawing>
            <wp:anchor distT="0" distB="0" distL="0" distR="0" simplePos="0" relativeHeight="251670528" behindDoc="0" locked="0" layoutInCell="1" allowOverlap="1" wp14:anchorId="58C99FA6" wp14:editId="49FE9293">
              <wp:simplePos x="635" y="635"/>
              <wp:positionH relativeFrom="page">
                <wp:align>right</wp:align>
              </wp:positionH>
              <wp:positionV relativeFrom="page">
                <wp:align>bottom</wp:align>
              </wp:positionV>
              <wp:extent cx="1858010" cy="422910"/>
              <wp:effectExtent l="0" t="0" r="0" b="0"/>
              <wp:wrapNone/>
              <wp:docPr id="17" name="Cuadro de texto 1"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38903614" w14:textId="77777777" w:rsidR="00FD6BD7" w:rsidRPr="009C61C6" w:rsidRDefault="00FD6BD7"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8C99FA6" id="_x0000_t202" coordsize="21600,21600" o:spt="202" path="m,l,21600r21600,l21600,xe">
              <v:stroke joinstyle="miter"/>
              <v:path gradientshapeok="t" o:connecttype="rect"/>
            </v:shapetype>
            <v:shape id="_x0000_s1031" type="#_x0000_t202" alt="Información Pública Clasificada " style="position:absolute;left:0;text-align:left;margin-left:95.1pt;margin-top:0;width:146.3pt;height:33.3pt;z-index:251670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" filled="f" stroked="f">
              <v:textbox style="mso-fit-shape-to-text:t" inset="0,0,20pt,15pt">
                <w:txbxContent>
                  <w:p w14:paraId="38903614" w14:textId="77777777" w:rsidR="00FD6BD7" w:rsidRPr="009C61C6" w:rsidRDefault="00FD6BD7"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93F9" w14:textId="77777777" w:rsidR="008E01EA" w:rsidRDefault="008E01EA">
    <w:pPr>
      <w:pStyle w:val="Piedepgina"/>
    </w:pPr>
    <w:r>
      <w:rPr>
        <w:noProof/>
        <w:lang w:eastAsia="es-CO"/>
      </w:rPr>
      <mc:AlternateContent>
        <mc:Choice Requires="wps">
          <w:drawing>
            <wp:anchor distT="0" distB="0" distL="0" distR="0" simplePos="0" relativeHeight="251663360" behindDoc="0" locked="0" layoutInCell="1" allowOverlap="1" wp14:anchorId="6BB572EA" wp14:editId="2B066A81">
              <wp:simplePos x="635" y="635"/>
              <wp:positionH relativeFrom="page">
                <wp:align>right</wp:align>
              </wp:positionH>
              <wp:positionV relativeFrom="page">
                <wp:align>bottom</wp:align>
              </wp:positionV>
              <wp:extent cx="1858010" cy="422910"/>
              <wp:effectExtent l="0" t="0" r="0" b="0"/>
              <wp:wrapNone/>
              <wp:docPr id="996773355" name="Cuadro de texto 2"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051509C3" w14:textId="77777777" w:rsidR="008E01EA" w:rsidRPr="009C61C6" w:rsidRDefault="008E01EA"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B572EA" id="_x0000_t202" coordsize="21600,21600" o:spt="202" path="m,l,21600r21600,l21600,xe">
              <v:stroke joinstyle="miter"/>
              <v:path gradientshapeok="t" o:connecttype="rect"/>
            </v:shapetype>
            <v:shape id="_x0000_s1032" type="#_x0000_t202" alt="Información Pública Clasificada " style="position:absolute;left:0;text-align:left;margin-left:95.1pt;margin-top:0;width:146.3pt;height:33.3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" filled="f" stroked="f">
              <v:textbox style="mso-fit-shape-to-text:t" inset="0,0,20pt,15pt">
                <w:txbxContent>
                  <w:p w14:paraId="051509C3" w14:textId="77777777" w:rsidR="008E01EA" w:rsidRPr="009C61C6" w:rsidRDefault="008E01EA"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46CF" w14:textId="77777777" w:rsidR="008E01EA" w:rsidRDefault="008E01EA">
    <w:pPr>
      <w:pStyle w:val="Piedepgina"/>
    </w:pPr>
    <w:r>
      <w:rPr>
        <w:noProof/>
        <w:lang w:eastAsia="es-CO"/>
      </w:rPr>
      <mc:AlternateContent>
        <mc:Choice Requires="wps">
          <w:drawing>
            <wp:anchor distT="0" distB="0" distL="0" distR="0" simplePos="0" relativeHeight="251664384" behindDoc="0" locked="0" layoutInCell="1" allowOverlap="1" wp14:anchorId="30309521" wp14:editId="52D5EAA7">
              <wp:simplePos x="914400" y="9429750"/>
              <wp:positionH relativeFrom="page">
                <wp:align>right</wp:align>
              </wp:positionH>
              <wp:positionV relativeFrom="page">
                <wp:align>bottom</wp:align>
              </wp:positionV>
              <wp:extent cx="1858010" cy="422910"/>
              <wp:effectExtent l="0" t="0" r="0" b="0"/>
              <wp:wrapNone/>
              <wp:docPr id="1325304747" name="Cuadro de texto 3"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7011703F" w14:textId="77777777" w:rsidR="008E01EA" w:rsidRPr="009C61C6" w:rsidRDefault="008E01EA"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0309521" id="_x0000_t202" coordsize="21600,21600" o:spt="202" path="m,l,21600r21600,l21600,xe">
              <v:stroke joinstyle="miter"/>
              <v:path gradientshapeok="t" o:connecttype="rect"/>
            </v:shapetype>
            <v:shape id="_x0000_s1033" type="#_x0000_t202" alt="Información Pública Clasificada " style="position:absolute;left:0;text-align:left;margin-left:95.1pt;margin-top:0;width:146.3pt;height:33.3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" filled="f" stroked="f">
              <v:textbox style="mso-fit-shape-to-text:t" inset="0,0,20pt,15pt">
                <w:txbxContent>
                  <w:p w14:paraId="7011703F" w14:textId="77777777" w:rsidR="008E01EA" w:rsidRPr="009C61C6" w:rsidRDefault="008E01EA"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5ADB" w14:textId="77777777" w:rsidR="008E01EA" w:rsidRDefault="008E01EA">
    <w:pPr>
      <w:pStyle w:val="Piedepgina"/>
    </w:pPr>
    <w:r>
      <w:rPr>
        <w:noProof/>
        <w:lang w:eastAsia="es-CO"/>
      </w:rPr>
      <mc:AlternateContent>
        <mc:Choice Requires="wps">
          <w:drawing>
            <wp:anchor distT="0" distB="0" distL="0" distR="0" simplePos="0" relativeHeight="251662336" behindDoc="0" locked="0" layoutInCell="1" allowOverlap="1" wp14:anchorId="7397F66F" wp14:editId="27D60480">
              <wp:simplePos x="635" y="635"/>
              <wp:positionH relativeFrom="page">
                <wp:align>right</wp:align>
              </wp:positionH>
              <wp:positionV relativeFrom="page">
                <wp:align>bottom</wp:align>
              </wp:positionV>
              <wp:extent cx="1858010" cy="422910"/>
              <wp:effectExtent l="0" t="0" r="0" b="0"/>
              <wp:wrapNone/>
              <wp:docPr id="1582212206" name="Cuadro de texto 1" descr="Información Pública Clasificad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58010" cy="422910"/>
                      </a:xfrm>
                      <a:prstGeom prst="rect">
                        <a:avLst/>
                      </a:prstGeom>
                      <a:noFill/>
                      <a:ln>
                        <a:noFill/>
                      </a:ln>
                    </wps:spPr>
                    <wps:txbx>
                      <w:txbxContent>
                        <w:p w14:paraId="354FB63D" w14:textId="77777777" w:rsidR="008E01EA" w:rsidRPr="009C61C6" w:rsidRDefault="008E01EA"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97F66F" id="_x0000_t202" coordsize="21600,21600" o:spt="202" path="m,l,21600r21600,l21600,xe">
              <v:stroke joinstyle="miter"/>
              <v:path gradientshapeok="t" o:connecttype="rect"/>
            </v:shapetype>
            <v:shape id="_x0000_s1034" type="#_x0000_t202" alt="Información Pública Clasificada " style="position:absolute;left:0;text-align:left;margin-left:95.1pt;margin-top:0;width:146.3pt;height:33.3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" filled="f" stroked="f">
              <v:textbox style="mso-fit-shape-to-text:t" inset="0,0,20pt,15pt">
                <w:txbxContent>
                  <w:p w14:paraId="354FB63D" w14:textId="77777777" w:rsidR="008E01EA" w:rsidRPr="009C61C6" w:rsidRDefault="008E01EA" w:rsidP="009C61C6">
                    <w:pPr>
                      <w:rPr>
                        <w:rFonts w:ascii="Calibri" w:eastAsia="Calibri" w:hAnsi="Calibri" w:cs="Calibri"/>
                        <w:noProof/>
                        <w:color w:val="000000"/>
                        <w:sz w:val="20"/>
                        <w:szCs w:val="20"/>
                      </w:rPr>
                    </w:pPr>
                    <w:r w:rsidRPr="009C61C6">
                      <w:rPr>
                        <w:rFonts w:ascii="Calibri" w:eastAsia="Calibri" w:hAnsi="Calibri" w:cs="Calibri"/>
                        <w:noProof/>
                        <w:color w:val="000000"/>
                        <w:sz w:val="20"/>
                        <w:szCs w:val="20"/>
                      </w:rPr>
                      <w:t xml:space="preserve">Información Pública Clasificada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7A474" w14:textId="77777777" w:rsidR="00365054" w:rsidRDefault="00365054" w:rsidP="006B13CA">
      <w:pPr>
        <w:spacing w:line="240" w:lineRule="auto"/>
      </w:pPr>
      <w:r>
        <w:separator/>
      </w:r>
    </w:p>
  </w:footnote>
  <w:footnote w:type="continuationSeparator" w:id="0">
    <w:p w14:paraId="73543309" w14:textId="77777777" w:rsidR="00365054" w:rsidRDefault="00365054" w:rsidP="006B13CA">
      <w:pPr>
        <w:spacing w:line="240" w:lineRule="auto"/>
      </w:pPr>
      <w:r>
        <w:continuationSeparator/>
      </w:r>
    </w:p>
  </w:footnote>
  <w:footnote w:type="continuationNotice" w:id="1">
    <w:p w14:paraId="54E3CCFA" w14:textId="77777777" w:rsidR="00365054" w:rsidRDefault="00365054">
      <w:pPr>
        <w:spacing w:line="240" w:lineRule="auto"/>
      </w:pPr>
    </w:p>
  </w:footnote>
  <w:footnote w:id="2">
    <w:p w14:paraId="1D68C31D" w14:textId="77777777" w:rsidR="00866655" w:rsidRPr="0069317B" w:rsidRDefault="00866655" w:rsidP="00866655">
      <w:pPr>
        <w:pStyle w:val="Textonotapie"/>
        <w:rPr>
          <w:rFonts w:cs="Times New Roman"/>
          <w:sz w:val="18"/>
          <w:szCs w:val="18"/>
          <w:lang w:val="es-ES"/>
        </w:rPr>
      </w:pPr>
      <w:r w:rsidRPr="0069317B">
        <w:rPr>
          <w:rStyle w:val="Refdenotaalpie"/>
          <w:rFonts w:cs="Times New Roman"/>
          <w:sz w:val="18"/>
          <w:szCs w:val="18"/>
        </w:rPr>
        <w:footnoteRef/>
      </w:r>
      <w:r w:rsidRPr="0069317B">
        <w:rPr>
          <w:rFonts w:cs="Times New Roman"/>
          <w:sz w:val="18"/>
          <w:szCs w:val="18"/>
        </w:rPr>
        <w:t xml:space="preserve"> </w:t>
      </w:r>
      <w:r w:rsidRPr="00AF08BE">
        <w:rPr>
          <w:rFonts w:cs="Times New Roman"/>
          <w:sz w:val="18"/>
          <w:szCs w:val="18"/>
          <w:lang w:val="es-ES"/>
        </w:rPr>
        <w:t>La DIAN es una Unidad Administrativa Especial, que recauda y controla el cumplimiento de las obligaciones tributarias</w:t>
      </w:r>
      <w:r>
        <w:rPr>
          <w:rFonts w:cs="Times New Roman"/>
          <w:sz w:val="18"/>
          <w:szCs w:val="18"/>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C496" w14:textId="77777777" w:rsidR="00674D57" w:rsidRDefault="00674D57" w:rsidP="00674D57">
    <w:pPr>
      <w:pStyle w:val="Encabezado"/>
    </w:pPr>
    <w:r w:rsidRPr="00674D57">
      <w:rPr>
        <w:rFonts w:cs="Times New Roman"/>
        <w:sz w:val="20"/>
        <w:szCs w:val="20"/>
      </w:rPr>
      <w:t>INEFICACIA DE LAS DECLARACIONES DE RETENCIÓN EN LA FUENTE…</w:t>
    </w:r>
    <w:r>
      <w:rPr>
        <w:rFonts w:cs="Times New Roman"/>
        <w:b/>
        <w:bCs/>
        <w:szCs w:val="24"/>
      </w:rPr>
      <w:tab/>
    </w:r>
    <w:r>
      <w:t xml:space="preserve"> </w:t>
    </w:r>
    <w:sdt>
      <w:sdtPr>
        <w:id w:val="-220053312"/>
        <w:docPartObj>
          <w:docPartGallery w:val="Page Numbers (Top of Page)"/>
          <w:docPartUnique/>
        </w:docPartObj>
      </w:sdtPr>
      <w:sdtContent>
        <w:r>
          <w:fldChar w:fldCharType="begin"/>
        </w:r>
        <w:r>
          <w:instrText>PAGE   \* MERGEFORMAT</w:instrText>
        </w:r>
        <w:r>
          <w:fldChar w:fldCharType="separate"/>
        </w:r>
        <w:r w:rsidRPr="00700B69">
          <w:rPr>
            <w:noProof/>
            <w:lang w:val="es-ES"/>
          </w:rPr>
          <w:t>2</w:t>
        </w:r>
        <w:r>
          <w:fldChar w:fldCharType="end"/>
        </w:r>
      </w:sdtContent>
    </w:sdt>
  </w:p>
  <w:p w14:paraId="75FC7512" w14:textId="77777777" w:rsidR="00674D57" w:rsidRDefault="00674D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9FC"/>
    <w:multiLevelType w:val="multilevel"/>
    <w:tmpl w:val="4A84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46133"/>
    <w:multiLevelType w:val="multilevel"/>
    <w:tmpl w:val="80C484C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92F48"/>
    <w:multiLevelType w:val="hybridMultilevel"/>
    <w:tmpl w:val="9F806E4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4672555"/>
    <w:multiLevelType w:val="hybridMultilevel"/>
    <w:tmpl w:val="E7B82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41D94"/>
    <w:multiLevelType w:val="hybridMultilevel"/>
    <w:tmpl w:val="C826F1E6"/>
    <w:lvl w:ilvl="0" w:tplc="080A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8EB60BC"/>
    <w:multiLevelType w:val="multilevel"/>
    <w:tmpl w:val="CA5E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C59F7"/>
    <w:multiLevelType w:val="multilevel"/>
    <w:tmpl w:val="20D0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E0D45"/>
    <w:multiLevelType w:val="multilevel"/>
    <w:tmpl w:val="8454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62B6B"/>
    <w:multiLevelType w:val="multilevel"/>
    <w:tmpl w:val="DCDA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409DD"/>
    <w:multiLevelType w:val="multilevel"/>
    <w:tmpl w:val="30F46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EA5E47"/>
    <w:multiLevelType w:val="multilevel"/>
    <w:tmpl w:val="28C6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4070C6"/>
    <w:multiLevelType w:val="multilevel"/>
    <w:tmpl w:val="59FEF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967AC"/>
    <w:multiLevelType w:val="hybridMultilevel"/>
    <w:tmpl w:val="E5126BB4"/>
    <w:lvl w:ilvl="0" w:tplc="240A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300A53"/>
    <w:multiLevelType w:val="multilevel"/>
    <w:tmpl w:val="7980993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1857"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1A624E6C"/>
    <w:multiLevelType w:val="multilevel"/>
    <w:tmpl w:val="8E5284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5B77AB"/>
    <w:multiLevelType w:val="multilevel"/>
    <w:tmpl w:val="6B18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34603"/>
    <w:multiLevelType w:val="multilevel"/>
    <w:tmpl w:val="4630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B50A26"/>
    <w:multiLevelType w:val="multilevel"/>
    <w:tmpl w:val="EFF6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6140CB"/>
    <w:multiLevelType w:val="multilevel"/>
    <w:tmpl w:val="EB9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C45F92"/>
    <w:multiLevelType w:val="multilevel"/>
    <w:tmpl w:val="7AA2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7958C5"/>
    <w:multiLevelType w:val="multilevel"/>
    <w:tmpl w:val="7DB2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013F19"/>
    <w:multiLevelType w:val="multilevel"/>
    <w:tmpl w:val="DAFA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50227A"/>
    <w:multiLevelType w:val="hybridMultilevel"/>
    <w:tmpl w:val="DD220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FB1E46"/>
    <w:multiLevelType w:val="multilevel"/>
    <w:tmpl w:val="3972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0210EA"/>
    <w:multiLevelType w:val="multilevel"/>
    <w:tmpl w:val="3BA0B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8A1D8B"/>
    <w:multiLevelType w:val="multilevel"/>
    <w:tmpl w:val="1398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2B7F05"/>
    <w:multiLevelType w:val="multilevel"/>
    <w:tmpl w:val="544C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E347C"/>
    <w:multiLevelType w:val="multilevel"/>
    <w:tmpl w:val="8B40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A26B38"/>
    <w:multiLevelType w:val="multilevel"/>
    <w:tmpl w:val="80C484CE"/>
    <w:lvl w:ilvl="0">
      <w:start w:val="1"/>
      <w:numFmt w:val="lowerLetter"/>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9" w15:restartNumberingAfterBreak="0">
    <w:nsid w:val="4F0C4CE8"/>
    <w:multiLevelType w:val="multilevel"/>
    <w:tmpl w:val="2EAA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457E91"/>
    <w:multiLevelType w:val="multilevel"/>
    <w:tmpl w:val="BD22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F9073C"/>
    <w:multiLevelType w:val="multilevel"/>
    <w:tmpl w:val="96B4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A77DB"/>
    <w:multiLevelType w:val="multilevel"/>
    <w:tmpl w:val="C8B4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E7685"/>
    <w:multiLevelType w:val="multilevel"/>
    <w:tmpl w:val="3B9A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96AE2"/>
    <w:multiLevelType w:val="multilevel"/>
    <w:tmpl w:val="5A84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D5991"/>
    <w:multiLevelType w:val="multilevel"/>
    <w:tmpl w:val="8E6E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D3794B"/>
    <w:multiLevelType w:val="multilevel"/>
    <w:tmpl w:val="F62E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230BC7"/>
    <w:multiLevelType w:val="hybridMultilevel"/>
    <w:tmpl w:val="E9B0AF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F4915A8"/>
    <w:multiLevelType w:val="multilevel"/>
    <w:tmpl w:val="1D00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9F1F05"/>
    <w:multiLevelType w:val="multilevel"/>
    <w:tmpl w:val="87C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511B49"/>
    <w:multiLevelType w:val="multilevel"/>
    <w:tmpl w:val="E27E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7A3BB8"/>
    <w:multiLevelType w:val="multilevel"/>
    <w:tmpl w:val="919E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91FA0"/>
    <w:multiLevelType w:val="hybridMultilevel"/>
    <w:tmpl w:val="D22CA35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79127F55"/>
    <w:multiLevelType w:val="multilevel"/>
    <w:tmpl w:val="4E405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A4567F"/>
    <w:multiLevelType w:val="hybridMultilevel"/>
    <w:tmpl w:val="45A074F2"/>
    <w:lvl w:ilvl="0" w:tplc="0409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A456F1D"/>
    <w:multiLevelType w:val="multilevel"/>
    <w:tmpl w:val="D516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A2711"/>
    <w:multiLevelType w:val="multilevel"/>
    <w:tmpl w:val="F4A0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E14B91"/>
    <w:multiLevelType w:val="multilevel"/>
    <w:tmpl w:val="983E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4F6A7B"/>
    <w:multiLevelType w:val="multilevel"/>
    <w:tmpl w:val="7C4A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844659">
    <w:abstractNumId w:val="37"/>
  </w:num>
  <w:num w:numId="2" w16cid:durableId="1682511346">
    <w:abstractNumId w:val="2"/>
  </w:num>
  <w:num w:numId="3" w16cid:durableId="174391764">
    <w:abstractNumId w:val="42"/>
  </w:num>
  <w:num w:numId="4" w16cid:durableId="579950049">
    <w:abstractNumId w:val="1"/>
  </w:num>
  <w:num w:numId="5" w16cid:durableId="726730669">
    <w:abstractNumId w:val="12"/>
  </w:num>
  <w:num w:numId="6" w16cid:durableId="1604222374">
    <w:abstractNumId w:val="28"/>
  </w:num>
  <w:num w:numId="7" w16cid:durableId="1292246150">
    <w:abstractNumId w:val="47"/>
  </w:num>
  <w:num w:numId="8" w16cid:durableId="976449446">
    <w:abstractNumId w:val="34"/>
  </w:num>
  <w:num w:numId="9" w16cid:durableId="949702796">
    <w:abstractNumId w:val="6"/>
  </w:num>
  <w:num w:numId="10" w16cid:durableId="471142498">
    <w:abstractNumId w:val="31"/>
  </w:num>
  <w:num w:numId="11" w16cid:durableId="1135753709">
    <w:abstractNumId w:val="29"/>
  </w:num>
  <w:num w:numId="12" w16cid:durableId="1823040095">
    <w:abstractNumId w:val="10"/>
  </w:num>
  <w:num w:numId="13" w16cid:durableId="1800606451">
    <w:abstractNumId w:val="20"/>
  </w:num>
  <w:num w:numId="14" w16cid:durableId="731973739">
    <w:abstractNumId w:val="40"/>
  </w:num>
  <w:num w:numId="15" w16cid:durableId="1225874856">
    <w:abstractNumId w:val="0"/>
  </w:num>
  <w:num w:numId="16" w16cid:durableId="366876029">
    <w:abstractNumId w:val="19"/>
  </w:num>
  <w:num w:numId="17" w16cid:durableId="929849934">
    <w:abstractNumId w:val="8"/>
  </w:num>
  <w:num w:numId="18" w16cid:durableId="764106468">
    <w:abstractNumId w:val="5"/>
  </w:num>
  <w:num w:numId="19" w16cid:durableId="1971207980">
    <w:abstractNumId w:val="46"/>
  </w:num>
  <w:num w:numId="20" w16cid:durableId="327908588">
    <w:abstractNumId w:val="23"/>
  </w:num>
  <w:num w:numId="21" w16cid:durableId="1478112824">
    <w:abstractNumId w:val="7"/>
  </w:num>
  <w:num w:numId="22" w16cid:durableId="1908683447">
    <w:abstractNumId w:val="4"/>
  </w:num>
  <w:num w:numId="23" w16cid:durableId="1204172255">
    <w:abstractNumId w:val="43"/>
  </w:num>
  <w:num w:numId="24" w16cid:durableId="696542780">
    <w:abstractNumId w:val="24"/>
  </w:num>
  <w:num w:numId="25" w16cid:durableId="1391343554">
    <w:abstractNumId w:val="9"/>
  </w:num>
  <w:num w:numId="26" w16cid:durableId="188762820">
    <w:abstractNumId w:val="41"/>
  </w:num>
  <w:num w:numId="27" w16cid:durableId="1563708532">
    <w:abstractNumId w:val="35"/>
  </w:num>
  <w:num w:numId="28" w16cid:durableId="921833349">
    <w:abstractNumId w:val="25"/>
  </w:num>
  <w:num w:numId="29" w16cid:durableId="399642060">
    <w:abstractNumId w:val="11"/>
  </w:num>
  <w:num w:numId="30" w16cid:durableId="1343892568">
    <w:abstractNumId w:val="45"/>
  </w:num>
  <w:num w:numId="31" w16cid:durableId="790902457">
    <w:abstractNumId w:val="15"/>
  </w:num>
  <w:num w:numId="32" w16cid:durableId="2017612976">
    <w:abstractNumId w:val="33"/>
  </w:num>
  <w:num w:numId="33" w16cid:durableId="1070467638">
    <w:abstractNumId w:val="39"/>
  </w:num>
  <w:num w:numId="34" w16cid:durableId="527958263">
    <w:abstractNumId w:val="18"/>
  </w:num>
  <w:num w:numId="35" w16cid:durableId="1205219846">
    <w:abstractNumId w:val="48"/>
  </w:num>
  <w:num w:numId="36" w16cid:durableId="1271429212">
    <w:abstractNumId w:val="26"/>
  </w:num>
  <w:num w:numId="37" w16cid:durableId="1050835753">
    <w:abstractNumId w:val="30"/>
  </w:num>
  <w:num w:numId="38" w16cid:durableId="888884673">
    <w:abstractNumId w:val="21"/>
  </w:num>
  <w:num w:numId="39" w16cid:durableId="1485513756">
    <w:abstractNumId w:val="36"/>
  </w:num>
  <w:num w:numId="40" w16cid:durableId="1074355174">
    <w:abstractNumId w:val="38"/>
  </w:num>
  <w:num w:numId="41" w16cid:durableId="1856378372">
    <w:abstractNumId w:val="27"/>
  </w:num>
  <w:num w:numId="42" w16cid:durableId="609969412">
    <w:abstractNumId w:val="16"/>
  </w:num>
  <w:num w:numId="43" w16cid:durableId="1230533766">
    <w:abstractNumId w:val="17"/>
  </w:num>
  <w:num w:numId="44" w16cid:durableId="1719238565">
    <w:abstractNumId w:val="32"/>
  </w:num>
  <w:num w:numId="45" w16cid:durableId="462578456">
    <w:abstractNumId w:val="44"/>
  </w:num>
  <w:num w:numId="46" w16cid:durableId="156238199">
    <w:abstractNumId w:val="22"/>
  </w:num>
  <w:num w:numId="47" w16cid:durableId="1487353342">
    <w:abstractNumId w:val="14"/>
  </w:num>
  <w:num w:numId="48" w16cid:durableId="1418333224">
    <w:abstractNumId w:val="3"/>
  </w:num>
  <w:num w:numId="49" w16cid:durableId="7891292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18F6"/>
    <w:rsid w:val="0000200D"/>
    <w:rsid w:val="000026B3"/>
    <w:rsid w:val="00002AEB"/>
    <w:rsid w:val="00003517"/>
    <w:rsid w:val="0000378A"/>
    <w:rsid w:val="00003E44"/>
    <w:rsid w:val="00004292"/>
    <w:rsid w:val="00004323"/>
    <w:rsid w:val="00004767"/>
    <w:rsid w:val="00005807"/>
    <w:rsid w:val="00005C02"/>
    <w:rsid w:val="00005FDE"/>
    <w:rsid w:val="000068F4"/>
    <w:rsid w:val="00006F1C"/>
    <w:rsid w:val="000075D2"/>
    <w:rsid w:val="0001015C"/>
    <w:rsid w:val="00010B31"/>
    <w:rsid w:val="000117A2"/>
    <w:rsid w:val="00011B48"/>
    <w:rsid w:val="00011DAD"/>
    <w:rsid w:val="000121C4"/>
    <w:rsid w:val="0001245C"/>
    <w:rsid w:val="00012945"/>
    <w:rsid w:val="00012A83"/>
    <w:rsid w:val="000133C6"/>
    <w:rsid w:val="00013854"/>
    <w:rsid w:val="00013939"/>
    <w:rsid w:val="0001432A"/>
    <w:rsid w:val="000149B9"/>
    <w:rsid w:val="00014D74"/>
    <w:rsid w:val="00014ECF"/>
    <w:rsid w:val="000159CF"/>
    <w:rsid w:val="000165BD"/>
    <w:rsid w:val="000165FE"/>
    <w:rsid w:val="00016A97"/>
    <w:rsid w:val="0001719F"/>
    <w:rsid w:val="00017BDD"/>
    <w:rsid w:val="00017C6F"/>
    <w:rsid w:val="00021821"/>
    <w:rsid w:val="000218DC"/>
    <w:rsid w:val="000225D7"/>
    <w:rsid w:val="00022A38"/>
    <w:rsid w:val="00022FF2"/>
    <w:rsid w:val="00023831"/>
    <w:rsid w:val="00023E14"/>
    <w:rsid w:val="00023E3D"/>
    <w:rsid w:val="00023E51"/>
    <w:rsid w:val="00023E81"/>
    <w:rsid w:val="00023F68"/>
    <w:rsid w:val="000246AC"/>
    <w:rsid w:val="00025273"/>
    <w:rsid w:val="000255AA"/>
    <w:rsid w:val="00025CB7"/>
    <w:rsid w:val="00026489"/>
    <w:rsid w:val="00026946"/>
    <w:rsid w:val="000269F2"/>
    <w:rsid w:val="000276B8"/>
    <w:rsid w:val="00027AAD"/>
    <w:rsid w:val="0003009A"/>
    <w:rsid w:val="000300D0"/>
    <w:rsid w:val="00032346"/>
    <w:rsid w:val="000341BB"/>
    <w:rsid w:val="0003439B"/>
    <w:rsid w:val="00034D14"/>
    <w:rsid w:val="00035AF1"/>
    <w:rsid w:val="0003707B"/>
    <w:rsid w:val="00037510"/>
    <w:rsid w:val="00037CCA"/>
    <w:rsid w:val="0004007D"/>
    <w:rsid w:val="00040218"/>
    <w:rsid w:val="000411DB"/>
    <w:rsid w:val="00042C24"/>
    <w:rsid w:val="000433C2"/>
    <w:rsid w:val="0004371A"/>
    <w:rsid w:val="000443AF"/>
    <w:rsid w:val="00044512"/>
    <w:rsid w:val="0004479A"/>
    <w:rsid w:val="00044AD7"/>
    <w:rsid w:val="00045866"/>
    <w:rsid w:val="00045F03"/>
    <w:rsid w:val="00046203"/>
    <w:rsid w:val="00046523"/>
    <w:rsid w:val="0004764D"/>
    <w:rsid w:val="00050146"/>
    <w:rsid w:val="0005049E"/>
    <w:rsid w:val="0005060E"/>
    <w:rsid w:val="00050C18"/>
    <w:rsid w:val="00050F72"/>
    <w:rsid w:val="00050FCB"/>
    <w:rsid w:val="000511AB"/>
    <w:rsid w:val="00052017"/>
    <w:rsid w:val="000522A5"/>
    <w:rsid w:val="0005328A"/>
    <w:rsid w:val="00053F1C"/>
    <w:rsid w:val="00054E87"/>
    <w:rsid w:val="00054EAD"/>
    <w:rsid w:val="000552A8"/>
    <w:rsid w:val="00055358"/>
    <w:rsid w:val="0005544D"/>
    <w:rsid w:val="000559D7"/>
    <w:rsid w:val="00055A2D"/>
    <w:rsid w:val="0005625F"/>
    <w:rsid w:val="00056B6A"/>
    <w:rsid w:val="00057DB2"/>
    <w:rsid w:val="00060439"/>
    <w:rsid w:val="00060EA5"/>
    <w:rsid w:val="000618DF"/>
    <w:rsid w:val="00062E2C"/>
    <w:rsid w:val="00063325"/>
    <w:rsid w:val="000633E2"/>
    <w:rsid w:val="00063439"/>
    <w:rsid w:val="00063C87"/>
    <w:rsid w:val="00063E95"/>
    <w:rsid w:val="000653B9"/>
    <w:rsid w:val="000662AD"/>
    <w:rsid w:val="00066424"/>
    <w:rsid w:val="000665C5"/>
    <w:rsid w:val="00066FA8"/>
    <w:rsid w:val="000673E5"/>
    <w:rsid w:val="0006796E"/>
    <w:rsid w:val="00067D80"/>
    <w:rsid w:val="00067ED1"/>
    <w:rsid w:val="00070375"/>
    <w:rsid w:val="000705D0"/>
    <w:rsid w:val="000716AE"/>
    <w:rsid w:val="00071EA5"/>
    <w:rsid w:val="0007541C"/>
    <w:rsid w:val="00075A4C"/>
    <w:rsid w:val="00076649"/>
    <w:rsid w:val="00076775"/>
    <w:rsid w:val="00076F06"/>
    <w:rsid w:val="000773ED"/>
    <w:rsid w:val="000779BA"/>
    <w:rsid w:val="00077AEC"/>
    <w:rsid w:val="000803B6"/>
    <w:rsid w:val="00080A72"/>
    <w:rsid w:val="00080EBB"/>
    <w:rsid w:val="0008159C"/>
    <w:rsid w:val="0008171B"/>
    <w:rsid w:val="00081CD7"/>
    <w:rsid w:val="00081F42"/>
    <w:rsid w:val="000821E6"/>
    <w:rsid w:val="0008236F"/>
    <w:rsid w:val="00082F5C"/>
    <w:rsid w:val="00082FBA"/>
    <w:rsid w:val="00084518"/>
    <w:rsid w:val="00084DCA"/>
    <w:rsid w:val="00085C23"/>
    <w:rsid w:val="00085F3A"/>
    <w:rsid w:val="00086544"/>
    <w:rsid w:val="000865BF"/>
    <w:rsid w:val="00086D22"/>
    <w:rsid w:val="00087317"/>
    <w:rsid w:val="000878D1"/>
    <w:rsid w:val="00087FDF"/>
    <w:rsid w:val="0009042F"/>
    <w:rsid w:val="00090769"/>
    <w:rsid w:val="00090E5F"/>
    <w:rsid w:val="00090EB0"/>
    <w:rsid w:val="00090F6D"/>
    <w:rsid w:val="000920E4"/>
    <w:rsid w:val="00092140"/>
    <w:rsid w:val="0009215E"/>
    <w:rsid w:val="000921EB"/>
    <w:rsid w:val="000926C1"/>
    <w:rsid w:val="00092B6B"/>
    <w:rsid w:val="00092C73"/>
    <w:rsid w:val="000939CA"/>
    <w:rsid w:val="00094833"/>
    <w:rsid w:val="00095F40"/>
    <w:rsid w:val="00096F78"/>
    <w:rsid w:val="00097E78"/>
    <w:rsid w:val="000A151D"/>
    <w:rsid w:val="000A1F65"/>
    <w:rsid w:val="000A2CE7"/>
    <w:rsid w:val="000A2D09"/>
    <w:rsid w:val="000A4798"/>
    <w:rsid w:val="000A55C9"/>
    <w:rsid w:val="000A5BF9"/>
    <w:rsid w:val="000A5D8B"/>
    <w:rsid w:val="000A6043"/>
    <w:rsid w:val="000A6F4F"/>
    <w:rsid w:val="000A7291"/>
    <w:rsid w:val="000A759F"/>
    <w:rsid w:val="000A7650"/>
    <w:rsid w:val="000B06C9"/>
    <w:rsid w:val="000B08E6"/>
    <w:rsid w:val="000B10ED"/>
    <w:rsid w:val="000B1E57"/>
    <w:rsid w:val="000B27FE"/>
    <w:rsid w:val="000B29B1"/>
    <w:rsid w:val="000B2A29"/>
    <w:rsid w:val="000B2BE1"/>
    <w:rsid w:val="000B36D2"/>
    <w:rsid w:val="000B4174"/>
    <w:rsid w:val="000B42C5"/>
    <w:rsid w:val="000B44CB"/>
    <w:rsid w:val="000B4B92"/>
    <w:rsid w:val="000B58FD"/>
    <w:rsid w:val="000B5CCC"/>
    <w:rsid w:val="000B6263"/>
    <w:rsid w:val="000B6285"/>
    <w:rsid w:val="000B7FA2"/>
    <w:rsid w:val="000C06E0"/>
    <w:rsid w:val="000C07D3"/>
    <w:rsid w:val="000C0EF4"/>
    <w:rsid w:val="000C1085"/>
    <w:rsid w:val="000C1E86"/>
    <w:rsid w:val="000C34FC"/>
    <w:rsid w:val="000C3608"/>
    <w:rsid w:val="000C3E45"/>
    <w:rsid w:val="000C3FEF"/>
    <w:rsid w:val="000C43B6"/>
    <w:rsid w:val="000C4EF7"/>
    <w:rsid w:val="000C4F35"/>
    <w:rsid w:val="000C4F8D"/>
    <w:rsid w:val="000C5589"/>
    <w:rsid w:val="000C5799"/>
    <w:rsid w:val="000C59BD"/>
    <w:rsid w:val="000C619C"/>
    <w:rsid w:val="000C675D"/>
    <w:rsid w:val="000C7C3E"/>
    <w:rsid w:val="000C7DF8"/>
    <w:rsid w:val="000C7EE1"/>
    <w:rsid w:val="000D1065"/>
    <w:rsid w:val="000D2475"/>
    <w:rsid w:val="000D33DF"/>
    <w:rsid w:val="000D3AFF"/>
    <w:rsid w:val="000D4A0E"/>
    <w:rsid w:val="000D5C23"/>
    <w:rsid w:val="000D6A5F"/>
    <w:rsid w:val="000D6CF9"/>
    <w:rsid w:val="000D6E75"/>
    <w:rsid w:val="000D74A8"/>
    <w:rsid w:val="000D7AB4"/>
    <w:rsid w:val="000D7E93"/>
    <w:rsid w:val="000E07BB"/>
    <w:rsid w:val="000E0B00"/>
    <w:rsid w:val="000E0B9D"/>
    <w:rsid w:val="000E154D"/>
    <w:rsid w:val="000E1FEC"/>
    <w:rsid w:val="000E23B8"/>
    <w:rsid w:val="000E2FF9"/>
    <w:rsid w:val="000E365B"/>
    <w:rsid w:val="000E3C76"/>
    <w:rsid w:val="000E65A0"/>
    <w:rsid w:val="000E7587"/>
    <w:rsid w:val="000E795B"/>
    <w:rsid w:val="000F0157"/>
    <w:rsid w:val="000F018A"/>
    <w:rsid w:val="000F198E"/>
    <w:rsid w:val="000F1B7F"/>
    <w:rsid w:val="000F1CD7"/>
    <w:rsid w:val="000F230E"/>
    <w:rsid w:val="000F24D4"/>
    <w:rsid w:val="000F291F"/>
    <w:rsid w:val="000F2962"/>
    <w:rsid w:val="000F323A"/>
    <w:rsid w:val="000F53C1"/>
    <w:rsid w:val="000F5AFE"/>
    <w:rsid w:val="000F5D09"/>
    <w:rsid w:val="000F667B"/>
    <w:rsid w:val="000F68C2"/>
    <w:rsid w:val="000F6AED"/>
    <w:rsid w:val="000F7579"/>
    <w:rsid w:val="00101C37"/>
    <w:rsid w:val="001035FD"/>
    <w:rsid w:val="00104183"/>
    <w:rsid w:val="001049DD"/>
    <w:rsid w:val="00106230"/>
    <w:rsid w:val="00106C72"/>
    <w:rsid w:val="001076D0"/>
    <w:rsid w:val="001079F3"/>
    <w:rsid w:val="0011138C"/>
    <w:rsid w:val="00111814"/>
    <w:rsid w:val="00111860"/>
    <w:rsid w:val="00111E2B"/>
    <w:rsid w:val="00112737"/>
    <w:rsid w:val="001132B1"/>
    <w:rsid w:val="0011335D"/>
    <w:rsid w:val="0011381F"/>
    <w:rsid w:val="0011500B"/>
    <w:rsid w:val="00115036"/>
    <w:rsid w:val="00115372"/>
    <w:rsid w:val="001154EA"/>
    <w:rsid w:val="00115BB3"/>
    <w:rsid w:val="00115F16"/>
    <w:rsid w:val="00115F29"/>
    <w:rsid w:val="00115F36"/>
    <w:rsid w:val="001161A3"/>
    <w:rsid w:val="00116710"/>
    <w:rsid w:val="001169D7"/>
    <w:rsid w:val="00116A57"/>
    <w:rsid w:val="001174C4"/>
    <w:rsid w:val="00117BDA"/>
    <w:rsid w:val="001203CE"/>
    <w:rsid w:val="00120DE9"/>
    <w:rsid w:val="00121C3F"/>
    <w:rsid w:val="00121FE5"/>
    <w:rsid w:val="001221E9"/>
    <w:rsid w:val="00123DE7"/>
    <w:rsid w:val="00124253"/>
    <w:rsid w:val="00124797"/>
    <w:rsid w:val="0012484C"/>
    <w:rsid w:val="00124B0A"/>
    <w:rsid w:val="00125BE7"/>
    <w:rsid w:val="00126190"/>
    <w:rsid w:val="001266D4"/>
    <w:rsid w:val="0012691F"/>
    <w:rsid w:val="00126B15"/>
    <w:rsid w:val="00127427"/>
    <w:rsid w:val="00127901"/>
    <w:rsid w:val="00127CE5"/>
    <w:rsid w:val="00127FDC"/>
    <w:rsid w:val="001323D9"/>
    <w:rsid w:val="001326FA"/>
    <w:rsid w:val="00132BD9"/>
    <w:rsid w:val="00132F61"/>
    <w:rsid w:val="001330A6"/>
    <w:rsid w:val="001332F6"/>
    <w:rsid w:val="00133C72"/>
    <w:rsid w:val="001340A3"/>
    <w:rsid w:val="00134376"/>
    <w:rsid w:val="00134ADF"/>
    <w:rsid w:val="001353AF"/>
    <w:rsid w:val="00135C01"/>
    <w:rsid w:val="001362BB"/>
    <w:rsid w:val="00137AC9"/>
    <w:rsid w:val="00140912"/>
    <w:rsid w:val="00140CD7"/>
    <w:rsid w:val="00141270"/>
    <w:rsid w:val="00141603"/>
    <w:rsid w:val="00143717"/>
    <w:rsid w:val="00143814"/>
    <w:rsid w:val="001439B3"/>
    <w:rsid w:val="00144028"/>
    <w:rsid w:val="00144454"/>
    <w:rsid w:val="001445A7"/>
    <w:rsid w:val="001447F7"/>
    <w:rsid w:val="0014480F"/>
    <w:rsid w:val="00145DF8"/>
    <w:rsid w:val="001463B5"/>
    <w:rsid w:val="00146B28"/>
    <w:rsid w:val="00146BF7"/>
    <w:rsid w:val="00146FA9"/>
    <w:rsid w:val="00147863"/>
    <w:rsid w:val="001509FE"/>
    <w:rsid w:val="001511DD"/>
    <w:rsid w:val="001512CC"/>
    <w:rsid w:val="00151E0E"/>
    <w:rsid w:val="00152147"/>
    <w:rsid w:val="00152400"/>
    <w:rsid w:val="00152DA7"/>
    <w:rsid w:val="00153296"/>
    <w:rsid w:val="0015345A"/>
    <w:rsid w:val="001535F0"/>
    <w:rsid w:val="00154B52"/>
    <w:rsid w:val="00155CB5"/>
    <w:rsid w:val="001572E0"/>
    <w:rsid w:val="001579AE"/>
    <w:rsid w:val="00157EE5"/>
    <w:rsid w:val="00157F67"/>
    <w:rsid w:val="001603F5"/>
    <w:rsid w:val="001605DC"/>
    <w:rsid w:val="00160CB1"/>
    <w:rsid w:val="0016138A"/>
    <w:rsid w:val="001619F7"/>
    <w:rsid w:val="00162717"/>
    <w:rsid w:val="001636B4"/>
    <w:rsid w:val="0016391F"/>
    <w:rsid w:val="00163E6E"/>
    <w:rsid w:val="00164F02"/>
    <w:rsid w:val="001654CB"/>
    <w:rsid w:val="00167E35"/>
    <w:rsid w:val="00170C49"/>
    <w:rsid w:val="00171B80"/>
    <w:rsid w:val="00171C90"/>
    <w:rsid w:val="00172417"/>
    <w:rsid w:val="00172C95"/>
    <w:rsid w:val="00173993"/>
    <w:rsid w:val="00174262"/>
    <w:rsid w:val="001744B2"/>
    <w:rsid w:val="00174CC9"/>
    <w:rsid w:val="00174ED4"/>
    <w:rsid w:val="0017555B"/>
    <w:rsid w:val="00175894"/>
    <w:rsid w:val="00175ADA"/>
    <w:rsid w:val="001761A3"/>
    <w:rsid w:val="00176E01"/>
    <w:rsid w:val="0017737E"/>
    <w:rsid w:val="001814D8"/>
    <w:rsid w:val="00181595"/>
    <w:rsid w:val="00181C5A"/>
    <w:rsid w:val="00181F1F"/>
    <w:rsid w:val="0018265E"/>
    <w:rsid w:val="00182E09"/>
    <w:rsid w:val="0018382B"/>
    <w:rsid w:val="001840D6"/>
    <w:rsid w:val="00184AD2"/>
    <w:rsid w:val="00184D86"/>
    <w:rsid w:val="001855AB"/>
    <w:rsid w:val="00185DE7"/>
    <w:rsid w:val="00186B2C"/>
    <w:rsid w:val="001874E0"/>
    <w:rsid w:val="00187B93"/>
    <w:rsid w:val="0019002D"/>
    <w:rsid w:val="001906E3"/>
    <w:rsid w:val="001910FD"/>
    <w:rsid w:val="001913F2"/>
    <w:rsid w:val="00191941"/>
    <w:rsid w:val="0019211D"/>
    <w:rsid w:val="001924C0"/>
    <w:rsid w:val="00193431"/>
    <w:rsid w:val="001934F2"/>
    <w:rsid w:val="00193584"/>
    <w:rsid w:val="001935DD"/>
    <w:rsid w:val="00193975"/>
    <w:rsid w:val="00193DA3"/>
    <w:rsid w:val="00194C3C"/>
    <w:rsid w:val="00194D77"/>
    <w:rsid w:val="00194E0B"/>
    <w:rsid w:val="0019526B"/>
    <w:rsid w:val="00195877"/>
    <w:rsid w:val="001965BB"/>
    <w:rsid w:val="00197035"/>
    <w:rsid w:val="001979EA"/>
    <w:rsid w:val="001A09B3"/>
    <w:rsid w:val="001A0D58"/>
    <w:rsid w:val="001A0F05"/>
    <w:rsid w:val="001A1652"/>
    <w:rsid w:val="001A241A"/>
    <w:rsid w:val="001A2F50"/>
    <w:rsid w:val="001A31FA"/>
    <w:rsid w:val="001A3A59"/>
    <w:rsid w:val="001A3EC0"/>
    <w:rsid w:val="001A413C"/>
    <w:rsid w:val="001A44F9"/>
    <w:rsid w:val="001A4B5C"/>
    <w:rsid w:val="001A4DFA"/>
    <w:rsid w:val="001A5063"/>
    <w:rsid w:val="001A5143"/>
    <w:rsid w:val="001A517D"/>
    <w:rsid w:val="001A5390"/>
    <w:rsid w:val="001A5C05"/>
    <w:rsid w:val="001A5DCA"/>
    <w:rsid w:val="001A6A4D"/>
    <w:rsid w:val="001A6C86"/>
    <w:rsid w:val="001A731E"/>
    <w:rsid w:val="001A7594"/>
    <w:rsid w:val="001A7602"/>
    <w:rsid w:val="001A7962"/>
    <w:rsid w:val="001A79BB"/>
    <w:rsid w:val="001A7A0E"/>
    <w:rsid w:val="001B0ADE"/>
    <w:rsid w:val="001B1A97"/>
    <w:rsid w:val="001B22CE"/>
    <w:rsid w:val="001B294C"/>
    <w:rsid w:val="001B310A"/>
    <w:rsid w:val="001B3AF7"/>
    <w:rsid w:val="001B3BCE"/>
    <w:rsid w:val="001B3DC7"/>
    <w:rsid w:val="001B4765"/>
    <w:rsid w:val="001B4837"/>
    <w:rsid w:val="001B49EA"/>
    <w:rsid w:val="001B4AE3"/>
    <w:rsid w:val="001B4E42"/>
    <w:rsid w:val="001B4EBC"/>
    <w:rsid w:val="001B53F6"/>
    <w:rsid w:val="001B5549"/>
    <w:rsid w:val="001B6232"/>
    <w:rsid w:val="001B6291"/>
    <w:rsid w:val="001B71E2"/>
    <w:rsid w:val="001B7E85"/>
    <w:rsid w:val="001B7F5E"/>
    <w:rsid w:val="001C012F"/>
    <w:rsid w:val="001C10DF"/>
    <w:rsid w:val="001C1905"/>
    <w:rsid w:val="001C1B76"/>
    <w:rsid w:val="001C3054"/>
    <w:rsid w:val="001C4668"/>
    <w:rsid w:val="001C49B5"/>
    <w:rsid w:val="001C4A7C"/>
    <w:rsid w:val="001C5436"/>
    <w:rsid w:val="001C60D2"/>
    <w:rsid w:val="001C6FD5"/>
    <w:rsid w:val="001C6FE7"/>
    <w:rsid w:val="001C725C"/>
    <w:rsid w:val="001C7615"/>
    <w:rsid w:val="001D010E"/>
    <w:rsid w:val="001D01C8"/>
    <w:rsid w:val="001D06D3"/>
    <w:rsid w:val="001D0EBF"/>
    <w:rsid w:val="001D1679"/>
    <w:rsid w:val="001D1A33"/>
    <w:rsid w:val="001D1DB8"/>
    <w:rsid w:val="001D300C"/>
    <w:rsid w:val="001D3581"/>
    <w:rsid w:val="001D35C2"/>
    <w:rsid w:val="001D36A9"/>
    <w:rsid w:val="001D3A0A"/>
    <w:rsid w:val="001D3BE1"/>
    <w:rsid w:val="001D4181"/>
    <w:rsid w:val="001D4469"/>
    <w:rsid w:val="001D49A4"/>
    <w:rsid w:val="001D4FC0"/>
    <w:rsid w:val="001D53F1"/>
    <w:rsid w:val="001D5555"/>
    <w:rsid w:val="001D569C"/>
    <w:rsid w:val="001D6BB7"/>
    <w:rsid w:val="001D70CF"/>
    <w:rsid w:val="001D7266"/>
    <w:rsid w:val="001D7993"/>
    <w:rsid w:val="001E12BD"/>
    <w:rsid w:val="001E15A4"/>
    <w:rsid w:val="001E1D60"/>
    <w:rsid w:val="001E1DD5"/>
    <w:rsid w:val="001E2178"/>
    <w:rsid w:val="001E2AE1"/>
    <w:rsid w:val="001E2FA0"/>
    <w:rsid w:val="001E3007"/>
    <w:rsid w:val="001E34BE"/>
    <w:rsid w:val="001E3CAE"/>
    <w:rsid w:val="001E41C5"/>
    <w:rsid w:val="001E47CB"/>
    <w:rsid w:val="001E59B5"/>
    <w:rsid w:val="001E5D93"/>
    <w:rsid w:val="001E73D3"/>
    <w:rsid w:val="001E74E3"/>
    <w:rsid w:val="001E7FEA"/>
    <w:rsid w:val="001F0531"/>
    <w:rsid w:val="001F09AE"/>
    <w:rsid w:val="001F10DC"/>
    <w:rsid w:val="001F2489"/>
    <w:rsid w:val="001F2665"/>
    <w:rsid w:val="001F2745"/>
    <w:rsid w:val="001F28F6"/>
    <w:rsid w:val="001F3212"/>
    <w:rsid w:val="001F3238"/>
    <w:rsid w:val="001F389C"/>
    <w:rsid w:val="001F3B38"/>
    <w:rsid w:val="001F3D50"/>
    <w:rsid w:val="001F5753"/>
    <w:rsid w:val="001F69E8"/>
    <w:rsid w:val="001F6D5A"/>
    <w:rsid w:val="001F6FEE"/>
    <w:rsid w:val="001F7371"/>
    <w:rsid w:val="002007D0"/>
    <w:rsid w:val="002008C0"/>
    <w:rsid w:val="00201685"/>
    <w:rsid w:val="00201A2F"/>
    <w:rsid w:val="002022B2"/>
    <w:rsid w:val="00202B32"/>
    <w:rsid w:val="00202C90"/>
    <w:rsid w:val="0020370C"/>
    <w:rsid w:val="0020392D"/>
    <w:rsid w:val="0020421A"/>
    <w:rsid w:val="00204AA0"/>
    <w:rsid w:val="002059F8"/>
    <w:rsid w:val="00205C0C"/>
    <w:rsid w:val="00205CF7"/>
    <w:rsid w:val="00205DA9"/>
    <w:rsid w:val="0020669A"/>
    <w:rsid w:val="00206E88"/>
    <w:rsid w:val="00207005"/>
    <w:rsid w:val="00207007"/>
    <w:rsid w:val="00207F5F"/>
    <w:rsid w:val="0021000C"/>
    <w:rsid w:val="0021079F"/>
    <w:rsid w:val="00210CEE"/>
    <w:rsid w:val="00211103"/>
    <w:rsid w:val="0021115B"/>
    <w:rsid w:val="002120AF"/>
    <w:rsid w:val="00213BB3"/>
    <w:rsid w:val="0021463F"/>
    <w:rsid w:val="0021489D"/>
    <w:rsid w:val="00214AB2"/>
    <w:rsid w:val="00215999"/>
    <w:rsid w:val="00215AB6"/>
    <w:rsid w:val="002161F8"/>
    <w:rsid w:val="002172B9"/>
    <w:rsid w:val="002172D4"/>
    <w:rsid w:val="00217731"/>
    <w:rsid w:val="00217895"/>
    <w:rsid w:val="002179E1"/>
    <w:rsid w:val="002207D2"/>
    <w:rsid w:val="002208F5"/>
    <w:rsid w:val="00221A52"/>
    <w:rsid w:val="00221E40"/>
    <w:rsid w:val="00222275"/>
    <w:rsid w:val="002225AA"/>
    <w:rsid w:val="0022289C"/>
    <w:rsid w:val="002245B6"/>
    <w:rsid w:val="002247C4"/>
    <w:rsid w:val="0022578A"/>
    <w:rsid w:val="00225844"/>
    <w:rsid w:val="00225CC2"/>
    <w:rsid w:val="00225FEC"/>
    <w:rsid w:val="002260BA"/>
    <w:rsid w:val="002261C3"/>
    <w:rsid w:val="002261C7"/>
    <w:rsid w:val="00226C91"/>
    <w:rsid w:val="00226E6B"/>
    <w:rsid w:val="00227869"/>
    <w:rsid w:val="0023016F"/>
    <w:rsid w:val="00230DA4"/>
    <w:rsid w:val="00231295"/>
    <w:rsid w:val="00232D79"/>
    <w:rsid w:val="00232F60"/>
    <w:rsid w:val="0023389F"/>
    <w:rsid w:val="00234395"/>
    <w:rsid w:val="0023480B"/>
    <w:rsid w:val="00234912"/>
    <w:rsid w:val="0023515A"/>
    <w:rsid w:val="002352B3"/>
    <w:rsid w:val="00235D1B"/>
    <w:rsid w:val="00236CEF"/>
    <w:rsid w:val="00237182"/>
    <w:rsid w:val="002373E8"/>
    <w:rsid w:val="00237980"/>
    <w:rsid w:val="00237B4C"/>
    <w:rsid w:val="002407C0"/>
    <w:rsid w:val="002407C5"/>
    <w:rsid w:val="00241064"/>
    <w:rsid w:val="002412E2"/>
    <w:rsid w:val="00242040"/>
    <w:rsid w:val="002421AA"/>
    <w:rsid w:val="00242354"/>
    <w:rsid w:val="00242A53"/>
    <w:rsid w:val="00243402"/>
    <w:rsid w:val="00243DC6"/>
    <w:rsid w:val="00243EEE"/>
    <w:rsid w:val="002445A2"/>
    <w:rsid w:val="00244A28"/>
    <w:rsid w:val="00244A6F"/>
    <w:rsid w:val="002455BD"/>
    <w:rsid w:val="00245629"/>
    <w:rsid w:val="00245F79"/>
    <w:rsid w:val="00246281"/>
    <w:rsid w:val="002508E4"/>
    <w:rsid w:val="00250B6E"/>
    <w:rsid w:val="00250D00"/>
    <w:rsid w:val="002511D4"/>
    <w:rsid w:val="00251453"/>
    <w:rsid w:val="00251925"/>
    <w:rsid w:val="00251EDF"/>
    <w:rsid w:val="00251FD1"/>
    <w:rsid w:val="002539F9"/>
    <w:rsid w:val="0025421F"/>
    <w:rsid w:val="00254CA0"/>
    <w:rsid w:val="002557AD"/>
    <w:rsid w:val="00255A01"/>
    <w:rsid w:val="00255E83"/>
    <w:rsid w:val="00255E8A"/>
    <w:rsid w:val="0025631B"/>
    <w:rsid w:val="002566B9"/>
    <w:rsid w:val="00256A41"/>
    <w:rsid w:val="00256B43"/>
    <w:rsid w:val="002572A5"/>
    <w:rsid w:val="00257918"/>
    <w:rsid w:val="00257CD5"/>
    <w:rsid w:val="00260155"/>
    <w:rsid w:val="00260527"/>
    <w:rsid w:val="0026088E"/>
    <w:rsid w:val="002620DD"/>
    <w:rsid w:val="00262C42"/>
    <w:rsid w:val="00262DEC"/>
    <w:rsid w:val="00263B16"/>
    <w:rsid w:val="00263DD2"/>
    <w:rsid w:val="002649F5"/>
    <w:rsid w:val="00264A55"/>
    <w:rsid w:val="0026504F"/>
    <w:rsid w:val="00265E5A"/>
    <w:rsid w:val="00266044"/>
    <w:rsid w:val="002667C5"/>
    <w:rsid w:val="00267630"/>
    <w:rsid w:val="00267680"/>
    <w:rsid w:val="002679D4"/>
    <w:rsid w:val="00267F5F"/>
    <w:rsid w:val="00270300"/>
    <w:rsid w:val="00271C03"/>
    <w:rsid w:val="002724BA"/>
    <w:rsid w:val="00272CC8"/>
    <w:rsid w:val="00272E99"/>
    <w:rsid w:val="002731AF"/>
    <w:rsid w:val="00274588"/>
    <w:rsid w:val="00274B9A"/>
    <w:rsid w:val="002758E4"/>
    <w:rsid w:val="002758E9"/>
    <w:rsid w:val="00275DB6"/>
    <w:rsid w:val="00276033"/>
    <w:rsid w:val="0027647F"/>
    <w:rsid w:val="0027653F"/>
    <w:rsid w:val="00276D14"/>
    <w:rsid w:val="00276E52"/>
    <w:rsid w:val="00280A49"/>
    <w:rsid w:val="00281000"/>
    <w:rsid w:val="002814CF"/>
    <w:rsid w:val="00281507"/>
    <w:rsid w:val="00281516"/>
    <w:rsid w:val="0028161B"/>
    <w:rsid w:val="00281800"/>
    <w:rsid w:val="00282A55"/>
    <w:rsid w:val="00283288"/>
    <w:rsid w:val="00284B4B"/>
    <w:rsid w:val="00285913"/>
    <w:rsid w:val="002865CD"/>
    <w:rsid w:val="00286DC7"/>
    <w:rsid w:val="00291DDA"/>
    <w:rsid w:val="00292695"/>
    <w:rsid w:val="002929F1"/>
    <w:rsid w:val="00293702"/>
    <w:rsid w:val="002946E2"/>
    <w:rsid w:val="00294E7A"/>
    <w:rsid w:val="002959EF"/>
    <w:rsid w:val="00296453"/>
    <w:rsid w:val="0029692D"/>
    <w:rsid w:val="00296D5F"/>
    <w:rsid w:val="002973C0"/>
    <w:rsid w:val="002974D3"/>
    <w:rsid w:val="0029761A"/>
    <w:rsid w:val="00297908"/>
    <w:rsid w:val="00297DA0"/>
    <w:rsid w:val="002A0385"/>
    <w:rsid w:val="002A07F7"/>
    <w:rsid w:val="002A0F02"/>
    <w:rsid w:val="002A1D23"/>
    <w:rsid w:val="002A1EE1"/>
    <w:rsid w:val="002A33A2"/>
    <w:rsid w:val="002A375D"/>
    <w:rsid w:val="002A44D7"/>
    <w:rsid w:val="002A48E2"/>
    <w:rsid w:val="002A4B6E"/>
    <w:rsid w:val="002A557B"/>
    <w:rsid w:val="002A5855"/>
    <w:rsid w:val="002A5A3D"/>
    <w:rsid w:val="002A6696"/>
    <w:rsid w:val="002A6F49"/>
    <w:rsid w:val="002A7358"/>
    <w:rsid w:val="002A745C"/>
    <w:rsid w:val="002A7D99"/>
    <w:rsid w:val="002B08BC"/>
    <w:rsid w:val="002B0C51"/>
    <w:rsid w:val="002B0F73"/>
    <w:rsid w:val="002B1384"/>
    <w:rsid w:val="002B1D15"/>
    <w:rsid w:val="002B2DB3"/>
    <w:rsid w:val="002B2DCC"/>
    <w:rsid w:val="002B3245"/>
    <w:rsid w:val="002B43B2"/>
    <w:rsid w:val="002B58F9"/>
    <w:rsid w:val="002B5A90"/>
    <w:rsid w:val="002B61FF"/>
    <w:rsid w:val="002B644C"/>
    <w:rsid w:val="002B66D7"/>
    <w:rsid w:val="002B7F22"/>
    <w:rsid w:val="002C184E"/>
    <w:rsid w:val="002C3C65"/>
    <w:rsid w:val="002C3CCE"/>
    <w:rsid w:val="002C4060"/>
    <w:rsid w:val="002C41B7"/>
    <w:rsid w:val="002C4C75"/>
    <w:rsid w:val="002C4FCA"/>
    <w:rsid w:val="002C5815"/>
    <w:rsid w:val="002C5B81"/>
    <w:rsid w:val="002C5D7B"/>
    <w:rsid w:val="002C62B3"/>
    <w:rsid w:val="002C663D"/>
    <w:rsid w:val="002C6822"/>
    <w:rsid w:val="002C7088"/>
    <w:rsid w:val="002C714D"/>
    <w:rsid w:val="002C71F7"/>
    <w:rsid w:val="002C753E"/>
    <w:rsid w:val="002C77E6"/>
    <w:rsid w:val="002D033A"/>
    <w:rsid w:val="002D066F"/>
    <w:rsid w:val="002D1B4C"/>
    <w:rsid w:val="002D1D55"/>
    <w:rsid w:val="002D252F"/>
    <w:rsid w:val="002D2CDB"/>
    <w:rsid w:val="002D2E46"/>
    <w:rsid w:val="002D3195"/>
    <w:rsid w:val="002D3281"/>
    <w:rsid w:val="002D343C"/>
    <w:rsid w:val="002D3550"/>
    <w:rsid w:val="002D3ABC"/>
    <w:rsid w:val="002D4053"/>
    <w:rsid w:val="002D4108"/>
    <w:rsid w:val="002D449A"/>
    <w:rsid w:val="002D4868"/>
    <w:rsid w:val="002D4872"/>
    <w:rsid w:val="002D4973"/>
    <w:rsid w:val="002D6319"/>
    <w:rsid w:val="002D752A"/>
    <w:rsid w:val="002D77E4"/>
    <w:rsid w:val="002D7A73"/>
    <w:rsid w:val="002E0627"/>
    <w:rsid w:val="002E09EC"/>
    <w:rsid w:val="002E12AE"/>
    <w:rsid w:val="002E16B2"/>
    <w:rsid w:val="002E1DB6"/>
    <w:rsid w:val="002E2215"/>
    <w:rsid w:val="002E26F9"/>
    <w:rsid w:val="002E38EA"/>
    <w:rsid w:val="002E546F"/>
    <w:rsid w:val="002E5CF5"/>
    <w:rsid w:val="002E60E8"/>
    <w:rsid w:val="002E6310"/>
    <w:rsid w:val="002E6F04"/>
    <w:rsid w:val="002F0368"/>
    <w:rsid w:val="002F11AC"/>
    <w:rsid w:val="002F121E"/>
    <w:rsid w:val="002F21F1"/>
    <w:rsid w:val="002F2F1F"/>
    <w:rsid w:val="002F3187"/>
    <w:rsid w:val="002F3DE8"/>
    <w:rsid w:val="002F4089"/>
    <w:rsid w:val="002F47A2"/>
    <w:rsid w:val="002F4CDB"/>
    <w:rsid w:val="002F552B"/>
    <w:rsid w:val="002F5788"/>
    <w:rsid w:val="002F6115"/>
    <w:rsid w:val="002F64DD"/>
    <w:rsid w:val="002F6A08"/>
    <w:rsid w:val="002F7768"/>
    <w:rsid w:val="002F7EDF"/>
    <w:rsid w:val="00300BAC"/>
    <w:rsid w:val="00300F18"/>
    <w:rsid w:val="00301D19"/>
    <w:rsid w:val="00301EF0"/>
    <w:rsid w:val="003027EE"/>
    <w:rsid w:val="003028E4"/>
    <w:rsid w:val="0030296E"/>
    <w:rsid w:val="00303701"/>
    <w:rsid w:val="003040E2"/>
    <w:rsid w:val="00304C53"/>
    <w:rsid w:val="00304CA5"/>
    <w:rsid w:val="00305906"/>
    <w:rsid w:val="003060FA"/>
    <w:rsid w:val="0030664D"/>
    <w:rsid w:val="00306676"/>
    <w:rsid w:val="00306A82"/>
    <w:rsid w:val="0031002B"/>
    <w:rsid w:val="00310B4E"/>
    <w:rsid w:val="00310E80"/>
    <w:rsid w:val="00311644"/>
    <w:rsid w:val="0031226B"/>
    <w:rsid w:val="0031327D"/>
    <w:rsid w:val="003151E3"/>
    <w:rsid w:val="00315763"/>
    <w:rsid w:val="0031579B"/>
    <w:rsid w:val="00317330"/>
    <w:rsid w:val="00317D48"/>
    <w:rsid w:val="003200C2"/>
    <w:rsid w:val="003205EF"/>
    <w:rsid w:val="00320738"/>
    <w:rsid w:val="00320810"/>
    <w:rsid w:val="0032090A"/>
    <w:rsid w:val="003209B2"/>
    <w:rsid w:val="00320AE8"/>
    <w:rsid w:val="00320F6C"/>
    <w:rsid w:val="003218C9"/>
    <w:rsid w:val="00321AC0"/>
    <w:rsid w:val="00321EEA"/>
    <w:rsid w:val="00321F5F"/>
    <w:rsid w:val="003220D2"/>
    <w:rsid w:val="00322C7E"/>
    <w:rsid w:val="00323A22"/>
    <w:rsid w:val="00324DFC"/>
    <w:rsid w:val="0032511D"/>
    <w:rsid w:val="00325206"/>
    <w:rsid w:val="00325784"/>
    <w:rsid w:val="00325B0E"/>
    <w:rsid w:val="0032640F"/>
    <w:rsid w:val="003265BD"/>
    <w:rsid w:val="00326F26"/>
    <w:rsid w:val="003275BC"/>
    <w:rsid w:val="003278AA"/>
    <w:rsid w:val="00327B67"/>
    <w:rsid w:val="00327D09"/>
    <w:rsid w:val="00330431"/>
    <w:rsid w:val="003309E1"/>
    <w:rsid w:val="00331B30"/>
    <w:rsid w:val="00332262"/>
    <w:rsid w:val="00332447"/>
    <w:rsid w:val="0033245C"/>
    <w:rsid w:val="00332972"/>
    <w:rsid w:val="0033350D"/>
    <w:rsid w:val="00333751"/>
    <w:rsid w:val="0033427D"/>
    <w:rsid w:val="003345E9"/>
    <w:rsid w:val="00334978"/>
    <w:rsid w:val="003352C4"/>
    <w:rsid w:val="00336510"/>
    <w:rsid w:val="00337419"/>
    <w:rsid w:val="00337679"/>
    <w:rsid w:val="003376CC"/>
    <w:rsid w:val="00337811"/>
    <w:rsid w:val="0033786D"/>
    <w:rsid w:val="00337CFC"/>
    <w:rsid w:val="003406AA"/>
    <w:rsid w:val="00340E73"/>
    <w:rsid w:val="003410DC"/>
    <w:rsid w:val="00341BA2"/>
    <w:rsid w:val="00341DD7"/>
    <w:rsid w:val="003450A9"/>
    <w:rsid w:val="003455B1"/>
    <w:rsid w:val="0034618A"/>
    <w:rsid w:val="00346753"/>
    <w:rsid w:val="00346A66"/>
    <w:rsid w:val="00346E16"/>
    <w:rsid w:val="0034710F"/>
    <w:rsid w:val="00347726"/>
    <w:rsid w:val="00347A20"/>
    <w:rsid w:val="00347F56"/>
    <w:rsid w:val="0035079C"/>
    <w:rsid w:val="00350DFF"/>
    <w:rsid w:val="00350E5C"/>
    <w:rsid w:val="00350EA1"/>
    <w:rsid w:val="0035140B"/>
    <w:rsid w:val="0035154A"/>
    <w:rsid w:val="00351685"/>
    <w:rsid w:val="00351845"/>
    <w:rsid w:val="003527D3"/>
    <w:rsid w:val="003530A0"/>
    <w:rsid w:val="00353513"/>
    <w:rsid w:val="00353659"/>
    <w:rsid w:val="003536EC"/>
    <w:rsid w:val="00353951"/>
    <w:rsid w:val="003539E0"/>
    <w:rsid w:val="00353F2F"/>
    <w:rsid w:val="00354653"/>
    <w:rsid w:val="00357B69"/>
    <w:rsid w:val="003602EB"/>
    <w:rsid w:val="00360BF1"/>
    <w:rsid w:val="00360CB7"/>
    <w:rsid w:val="003611B0"/>
    <w:rsid w:val="00361755"/>
    <w:rsid w:val="00361BB6"/>
    <w:rsid w:val="00361F6D"/>
    <w:rsid w:val="00361F75"/>
    <w:rsid w:val="00362598"/>
    <w:rsid w:val="00363071"/>
    <w:rsid w:val="00363F99"/>
    <w:rsid w:val="003645CE"/>
    <w:rsid w:val="00364684"/>
    <w:rsid w:val="0036491A"/>
    <w:rsid w:val="00365054"/>
    <w:rsid w:val="00365808"/>
    <w:rsid w:val="00365B58"/>
    <w:rsid w:val="00365FBA"/>
    <w:rsid w:val="00366655"/>
    <w:rsid w:val="003701D6"/>
    <w:rsid w:val="00370457"/>
    <w:rsid w:val="00371EA2"/>
    <w:rsid w:val="00371F1E"/>
    <w:rsid w:val="00372586"/>
    <w:rsid w:val="0037277A"/>
    <w:rsid w:val="00373125"/>
    <w:rsid w:val="0037349C"/>
    <w:rsid w:val="00375957"/>
    <w:rsid w:val="00377F9C"/>
    <w:rsid w:val="00380177"/>
    <w:rsid w:val="00380A49"/>
    <w:rsid w:val="0038182A"/>
    <w:rsid w:val="00381870"/>
    <w:rsid w:val="00381F51"/>
    <w:rsid w:val="003827D5"/>
    <w:rsid w:val="00382CC8"/>
    <w:rsid w:val="00382EAD"/>
    <w:rsid w:val="00383BCF"/>
    <w:rsid w:val="00384143"/>
    <w:rsid w:val="0038550D"/>
    <w:rsid w:val="00385661"/>
    <w:rsid w:val="0038592A"/>
    <w:rsid w:val="0038757B"/>
    <w:rsid w:val="00390911"/>
    <w:rsid w:val="00390C71"/>
    <w:rsid w:val="0039102D"/>
    <w:rsid w:val="00391693"/>
    <w:rsid w:val="00391917"/>
    <w:rsid w:val="00391D38"/>
    <w:rsid w:val="00392C6F"/>
    <w:rsid w:val="00393008"/>
    <w:rsid w:val="00393512"/>
    <w:rsid w:val="0039378F"/>
    <w:rsid w:val="00393B43"/>
    <w:rsid w:val="00393E94"/>
    <w:rsid w:val="0039411E"/>
    <w:rsid w:val="003965D9"/>
    <w:rsid w:val="003969E6"/>
    <w:rsid w:val="00396C15"/>
    <w:rsid w:val="00397063"/>
    <w:rsid w:val="003973C8"/>
    <w:rsid w:val="003975DF"/>
    <w:rsid w:val="003A01C1"/>
    <w:rsid w:val="003A16CB"/>
    <w:rsid w:val="003A1C15"/>
    <w:rsid w:val="003A215D"/>
    <w:rsid w:val="003A2688"/>
    <w:rsid w:val="003A271C"/>
    <w:rsid w:val="003A32B0"/>
    <w:rsid w:val="003A4276"/>
    <w:rsid w:val="003A4748"/>
    <w:rsid w:val="003A48D6"/>
    <w:rsid w:val="003A4EEA"/>
    <w:rsid w:val="003A5864"/>
    <w:rsid w:val="003A6114"/>
    <w:rsid w:val="003A6D6F"/>
    <w:rsid w:val="003A6DE4"/>
    <w:rsid w:val="003A6E8C"/>
    <w:rsid w:val="003A70F9"/>
    <w:rsid w:val="003A7DC5"/>
    <w:rsid w:val="003B012B"/>
    <w:rsid w:val="003B1096"/>
    <w:rsid w:val="003B1800"/>
    <w:rsid w:val="003B1ACC"/>
    <w:rsid w:val="003B200D"/>
    <w:rsid w:val="003B2BBF"/>
    <w:rsid w:val="003B3BB5"/>
    <w:rsid w:val="003B4693"/>
    <w:rsid w:val="003B59EE"/>
    <w:rsid w:val="003B5DB3"/>
    <w:rsid w:val="003B61D1"/>
    <w:rsid w:val="003B629D"/>
    <w:rsid w:val="003B703F"/>
    <w:rsid w:val="003B71EC"/>
    <w:rsid w:val="003C04D9"/>
    <w:rsid w:val="003C0770"/>
    <w:rsid w:val="003C132A"/>
    <w:rsid w:val="003C206C"/>
    <w:rsid w:val="003C248C"/>
    <w:rsid w:val="003C2C0F"/>
    <w:rsid w:val="003C3351"/>
    <w:rsid w:val="003C4403"/>
    <w:rsid w:val="003C48DC"/>
    <w:rsid w:val="003C5390"/>
    <w:rsid w:val="003C5EC0"/>
    <w:rsid w:val="003C6434"/>
    <w:rsid w:val="003C6B60"/>
    <w:rsid w:val="003C73E4"/>
    <w:rsid w:val="003C757D"/>
    <w:rsid w:val="003C7890"/>
    <w:rsid w:val="003C7D93"/>
    <w:rsid w:val="003C7DE8"/>
    <w:rsid w:val="003C7F0C"/>
    <w:rsid w:val="003D02F3"/>
    <w:rsid w:val="003D0903"/>
    <w:rsid w:val="003D0AE4"/>
    <w:rsid w:val="003D1003"/>
    <w:rsid w:val="003D1806"/>
    <w:rsid w:val="003D1E4F"/>
    <w:rsid w:val="003D1F2F"/>
    <w:rsid w:val="003D2E5C"/>
    <w:rsid w:val="003D316E"/>
    <w:rsid w:val="003D3A0C"/>
    <w:rsid w:val="003D4984"/>
    <w:rsid w:val="003D4E75"/>
    <w:rsid w:val="003D5073"/>
    <w:rsid w:val="003D5B4A"/>
    <w:rsid w:val="003D6F39"/>
    <w:rsid w:val="003D704C"/>
    <w:rsid w:val="003D7E1C"/>
    <w:rsid w:val="003E02D6"/>
    <w:rsid w:val="003E06D7"/>
    <w:rsid w:val="003E0D83"/>
    <w:rsid w:val="003E0F0A"/>
    <w:rsid w:val="003E1249"/>
    <w:rsid w:val="003E13A6"/>
    <w:rsid w:val="003E203F"/>
    <w:rsid w:val="003E213E"/>
    <w:rsid w:val="003E338A"/>
    <w:rsid w:val="003E3753"/>
    <w:rsid w:val="003E39D5"/>
    <w:rsid w:val="003E4161"/>
    <w:rsid w:val="003E431D"/>
    <w:rsid w:val="003E4DDF"/>
    <w:rsid w:val="003E5C87"/>
    <w:rsid w:val="003E633F"/>
    <w:rsid w:val="003E6D56"/>
    <w:rsid w:val="003E7254"/>
    <w:rsid w:val="003E7702"/>
    <w:rsid w:val="003E7A8D"/>
    <w:rsid w:val="003E7DB6"/>
    <w:rsid w:val="003F1024"/>
    <w:rsid w:val="003F3506"/>
    <w:rsid w:val="003F3A38"/>
    <w:rsid w:val="003F50EB"/>
    <w:rsid w:val="003F5664"/>
    <w:rsid w:val="003F5BCA"/>
    <w:rsid w:val="003F71BC"/>
    <w:rsid w:val="003F73B2"/>
    <w:rsid w:val="003F7A1B"/>
    <w:rsid w:val="003F7E09"/>
    <w:rsid w:val="00400527"/>
    <w:rsid w:val="004006B9"/>
    <w:rsid w:val="00400FD3"/>
    <w:rsid w:val="0040101F"/>
    <w:rsid w:val="00401026"/>
    <w:rsid w:val="004012C8"/>
    <w:rsid w:val="00401E30"/>
    <w:rsid w:val="00402080"/>
    <w:rsid w:val="004021C7"/>
    <w:rsid w:val="0040253F"/>
    <w:rsid w:val="00403BD6"/>
    <w:rsid w:val="00403D8F"/>
    <w:rsid w:val="004040AA"/>
    <w:rsid w:val="0040425F"/>
    <w:rsid w:val="00404C01"/>
    <w:rsid w:val="0040504F"/>
    <w:rsid w:val="0040534C"/>
    <w:rsid w:val="004055C3"/>
    <w:rsid w:val="00405CBF"/>
    <w:rsid w:val="00406449"/>
    <w:rsid w:val="0040655E"/>
    <w:rsid w:val="0040709E"/>
    <w:rsid w:val="0041001D"/>
    <w:rsid w:val="004100B5"/>
    <w:rsid w:val="004103CC"/>
    <w:rsid w:val="00410431"/>
    <w:rsid w:val="004107B0"/>
    <w:rsid w:val="004119B4"/>
    <w:rsid w:val="00412C60"/>
    <w:rsid w:val="00413175"/>
    <w:rsid w:val="00413ABE"/>
    <w:rsid w:val="00414047"/>
    <w:rsid w:val="004143B1"/>
    <w:rsid w:val="004147DE"/>
    <w:rsid w:val="00415100"/>
    <w:rsid w:val="00416AC6"/>
    <w:rsid w:val="0041728B"/>
    <w:rsid w:val="00417FB0"/>
    <w:rsid w:val="0042048F"/>
    <w:rsid w:val="00420E31"/>
    <w:rsid w:val="00422526"/>
    <w:rsid w:val="004251EC"/>
    <w:rsid w:val="00425344"/>
    <w:rsid w:val="0042601E"/>
    <w:rsid w:val="00426B56"/>
    <w:rsid w:val="004278F4"/>
    <w:rsid w:val="00427F9A"/>
    <w:rsid w:val="00430755"/>
    <w:rsid w:val="004310EB"/>
    <w:rsid w:val="0043135D"/>
    <w:rsid w:val="00431452"/>
    <w:rsid w:val="00431B5B"/>
    <w:rsid w:val="00432436"/>
    <w:rsid w:val="00432AE1"/>
    <w:rsid w:val="00432C53"/>
    <w:rsid w:val="00432CB4"/>
    <w:rsid w:val="004331E4"/>
    <w:rsid w:val="00433342"/>
    <w:rsid w:val="00433CA4"/>
    <w:rsid w:val="004341B2"/>
    <w:rsid w:val="004341C0"/>
    <w:rsid w:val="0043458C"/>
    <w:rsid w:val="0043499E"/>
    <w:rsid w:val="00435376"/>
    <w:rsid w:val="0043546B"/>
    <w:rsid w:val="00435836"/>
    <w:rsid w:val="00436226"/>
    <w:rsid w:val="00436FA1"/>
    <w:rsid w:val="004370FE"/>
    <w:rsid w:val="00437C16"/>
    <w:rsid w:val="004400C8"/>
    <w:rsid w:val="0044014A"/>
    <w:rsid w:val="004401B1"/>
    <w:rsid w:val="00440660"/>
    <w:rsid w:val="004406B1"/>
    <w:rsid w:val="004409D3"/>
    <w:rsid w:val="00440DD0"/>
    <w:rsid w:val="004418DE"/>
    <w:rsid w:val="00441F33"/>
    <w:rsid w:val="004428CD"/>
    <w:rsid w:val="00442948"/>
    <w:rsid w:val="0044344E"/>
    <w:rsid w:val="00443C40"/>
    <w:rsid w:val="00444F84"/>
    <w:rsid w:val="0044541E"/>
    <w:rsid w:val="00445515"/>
    <w:rsid w:val="004469AE"/>
    <w:rsid w:val="00450744"/>
    <w:rsid w:val="004510C5"/>
    <w:rsid w:val="00451BFB"/>
    <w:rsid w:val="0045211E"/>
    <w:rsid w:val="00452A4C"/>
    <w:rsid w:val="00452B2A"/>
    <w:rsid w:val="00453721"/>
    <w:rsid w:val="004537BE"/>
    <w:rsid w:val="00453A4B"/>
    <w:rsid w:val="00453DBF"/>
    <w:rsid w:val="004546DE"/>
    <w:rsid w:val="0045564C"/>
    <w:rsid w:val="00456415"/>
    <w:rsid w:val="00456D01"/>
    <w:rsid w:val="00457E32"/>
    <w:rsid w:val="004603C0"/>
    <w:rsid w:val="00460774"/>
    <w:rsid w:val="00461F23"/>
    <w:rsid w:val="00462827"/>
    <w:rsid w:val="00463622"/>
    <w:rsid w:val="00463C3B"/>
    <w:rsid w:val="00463DA4"/>
    <w:rsid w:val="004644D4"/>
    <w:rsid w:val="004645DA"/>
    <w:rsid w:val="00464C08"/>
    <w:rsid w:val="00465317"/>
    <w:rsid w:val="004659D3"/>
    <w:rsid w:val="004662B9"/>
    <w:rsid w:val="004662E1"/>
    <w:rsid w:val="00466B5A"/>
    <w:rsid w:val="00466BDB"/>
    <w:rsid w:val="00466F20"/>
    <w:rsid w:val="00467378"/>
    <w:rsid w:val="00467D47"/>
    <w:rsid w:val="00471862"/>
    <w:rsid w:val="004720C6"/>
    <w:rsid w:val="0047262E"/>
    <w:rsid w:val="00472694"/>
    <w:rsid w:val="0047271B"/>
    <w:rsid w:val="004728F9"/>
    <w:rsid w:val="00472CDA"/>
    <w:rsid w:val="00472F54"/>
    <w:rsid w:val="00473BD4"/>
    <w:rsid w:val="0047436B"/>
    <w:rsid w:val="00474E33"/>
    <w:rsid w:val="0047588F"/>
    <w:rsid w:val="00475ED8"/>
    <w:rsid w:val="00477AF7"/>
    <w:rsid w:val="00480209"/>
    <w:rsid w:val="004806AC"/>
    <w:rsid w:val="00480B41"/>
    <w:rsid w:val="0048121C"/>
    <w:rsid w:val="004821D1"/>
    <w:rsid w:val="00482D21"/>
    <w:rsid w:val="00483280"/>
    <w:rsid w:val="00483717"/>
    <w:rsid w:val="00483738"/>
    <w:rsid w:val="00483744"/>
    <w:rsid w:val="00484503"/>
    <w:rsid w:val="004846B4"/>
    <w:rsid w:val="00484FA5"/>
    <w:rsid w:val="00485A4D"/>
    <w:rsid w:val="00485E70"/>
    <w:rsid w:val="004867EA"/>
    <w:rsid w:val="004868A8"/>
    <w:rsid w:val="00486C27"/>
    <w:rsid w:val="0048705A"/>
    <w:rsid w:val="0048755B"/>
    <w:rsid w:val="0048790F"/>
    <w:rsid w:val="004879BE"/>
    <w:rsid w:val="00490465"/>
    <w:rsid w:val="00490C0A"/>
    <w:rsid w:val="00491222"/>
    <w:rsid w:val="004914FB"/>
    <w:rsid w:val="0049178A"/>
    <w:rsid w:val="00491CC4"/>
    <w:rsid w:val="00493193"/>
    <w:rsid w:val="00493573"/>
    <w:rsid w:val="004950D5"/>
    <w:rsid w:val="00495CF8"/>
    <w:rsid w:val="004A0F6E"/>
    <w:rsid w:val="004A18E4"/>
    <w:rsid w:val="004A1B68"/>
    <w:rsid w:val="004A1C6C"/>
    <w:rsid w:val="004A2149"/>
    <w:rsid w:val="004A3548"/>
    <w:rsid w:val="004A36BB"/>
    <w:rsid w:val="004A3702"/>
    <w:rsid w:val="004A3AEE"/>
    <w:rsid w:val="004A45F7"/>
    <w:rsid w:val="004A46AD"/>
    <w:rsid w:val="004A48D6"/>
    <w:rsid w:val="004A4B92"/>
    <w:rsid w:val="004A4FE2"/>
    <w:rsid w:val="004A5790"/>
    <w:rsid w:val="004A5CF1"/>
    <w:rsid w:val="004A65B2"/>
    <w:rsid w:val="004A6940"/>
    <w:rsid w:val="004A7F17"/>
    <w:rsid w:val="004B1555"/>
    <w:rsid w:val="004B3744"/>
    <w:rsid w:val="004B3781"/>
    <w:rsid w:val="004B404B"/>
    <w:rsid w:val="004B444A"/>
    <w:rsid w:val="004B46B5"/>
    <w:rsid w:val="004B49E7"/>
    <w:rsid w:val="004B532C"/>
    <w:rsid w:val="004B5433"/>
    <w:rsid w:val="004B5BF7"/>
    <w:rsid w:val="004B5D10"/>
    <w:rsid w:val="004B603B"/>
    <w:rsid w:val="004B6C7D"/>
    <w:rsid w:val="004B7045"/>
    <w:rsid w:val="004B7A71"/>
    <w:rsid w:val="004C00BA"/>
    <w:rsid w:val="004C0805"/>
    <w:rsid w:val="004C0F9D"/>
    <w:rsid w:val="004C11CA"/>
    <w:rsid w:val="004C1710"/>
    <w:rsid w:val="004C1942"/>
    <w:rsid w:val="004C1984"/>
    <w:rsid w:val="004C1F26"/>
    <w:rsid w:val="004C2530"/>
    <w:rsid w:val="004C27C4"/>
    <w:rsid w:val="004C4061"/>
    <w:rsid w:val="004C4878"/>
    <w:rsid w:val="004C5708"/>
    <w:rsid w:val="004C5DBB"/>
    <w:rsid w:val="004C5EE3"/>
    <w:rsid w:val="004C6A9A"/>
    <w:rsid w:val="004C6B10"/>
    <w:rsid w:val="004C6B18"/>
    <w:rsid w:val="004C7A7A"/>
    <w:rsid w:val="004C7DC0"/>
    <w:rsid w:val="004D1071"/>
    <w:rsid w:val="004D2547"/>
    <w:rsid w:val="004D280B"/>
    <w:rsid w:val="004D2F21"/>
    <w:rsid w:val="004D4231"/>
    <w:rsid w:val="004E0AA6"/>
    <w:rsid w:val="004E0AAE"/>
    <w:rsid w:val="004E0C6F"/>
    <w:rsid w:val="004E108D"/>
    <w:rsid w:val="004E1220"/>
    <w:rsid w:val="004E191E"/>
    <w:rsid w:val="004E1C99"/>
    <w:rsid w:val="004E1DC6"/>
    <w:rsid w:val="004E1E3C"/>
    <w:rsid w:val="004E1EF7"/>
    <w:rsid w:val="004E268B"/>
    <w:rsid w:val="004E26F9"/>
    <w:rsid w:val="004E271D"/>
    <w:rsid w:val="004E30C0"/>
    <w:rsid w:val="004E32C2"/>
    <w:rsid w:val="004E473B"/>
    <w:rsid w:val="004E4A17"/>
    <w:rsid w:val="004E4C0A"/>
    <w:rsid w:val="004E4D3F"/>
    <w:rsid w:val="004E4F1A"/>
    <w:rsid w:val="004E4F46"/>
    <w:rsid w:val="004E4FEE"/>
    <w:rsid w:val="004E537D"/>
    <w:rsid w:val="004E5E86"/>
    <w:rsid w:val="004E648C"/>
    <w:rsid w:val="004E6E82"/>
    <w:rsid w:val="004E7040"/>
    <w:rsid w:val="004E7641"/>
    <w:rsid w:val="004E7775"/>
    <w:rsid w:val="004E7CEA"/>
    <w:rsid w:val="004F1A58"/>
    <w:rsid w:val="004F2494"/>
    <w:rsid w:val="004F2682"/>
    <w:rsid w:val="004F2A68"/>
    <w:rsid w:val="004F2E4E"/>
    <w:rsid w:val="004F33EA"/>
    <w:rsid w:val="004F34DE"/>
    <w:rsid w:val="004F368C"/>
    <w:rsid w:val="004F45F6"/>
    <w:rsid w:val="004F480A"/>
    <w:rsid w:val="004F4DC3"/>
    <w:rsid w:val="004F575E"/>
    <w:rsid w:val="004F5A5F"/>
    <w:rsid w:val="004F5DE7"/>
    <w:rsid w:val="004F631C"/>
    <w:rsid w:val="004F695A"/>
    <w:rsid w:val="004F6C1A"/>
    <w:rsid w:val="004F6C48"/>
    <w:rsid w:val="004F7095"/>
    <w:rsid w:val="004F729E"/>
    <w:rsid w:val="004F7EFC"/>
    <w:rsid w:val="004F7FAD"/>
    <w:rsid w:val="00500981"/>
    <w:rsid w:val="00500A27"/>
    <w:rsid w:val="00500C4A"/>
    <w:rsid w:val="0050106C"/>
    <w:rsid w:val="00501688"/>
    <w:rsid w:val="00502FF1"/>
    <w:rsid w:val="00503465"/>
    <w:rsid w:val="005035D0"/>
    <w:rsid w:val="005046EF"/>
    <w:rsid w:val="00504EA2"/>
    <w:rsid w:val="00505532"/>
    <w:rsid w:val="00505942"/>
    <w:rsid w:val="00510280"/>
    <w:rsid w:val="00510645"/>
    <w:rsid w:val="00511D06"/>
    <w:rsid w:val="0051326A"/>
    <w:rsid w:val="00513FCC"/>
    <w:rsid w:val="00515357"/>
    <w:rsid w:val="00515C1E"/>
    <w:rsid w:val="00515F88"/>
    <w:rsid w:val="00516536"/>
    <w:rsid w:val="0051660D"/>
    <w:rsid w:val="005171D8"/>
    <w:rsid w:val="00517313"/>
    <w:rsid w:val="00517D23"/>
    <w:rsid w:val="00520464"/>
    <w:rsid w:val="005211A6"/>
    <w:rsid w:val="0052141C"/>
    <w:rsid w:val="00522E71"/>
    <w:rsid w:val="005230FE"/>
    <w:rsid w:val="00523726"/>
    <w:rsid w:val="00524195"/>
    <w:rsid w:val="005243E9"/>
    <w:rsid w:val="00524D3C"/>
    <w:rsid w:val="00525649"/>
    <w:rsid w:val="0052585E"/>
    <w:rsid w:val="0052600E"/>
    <w:rsid w:val="00526C6C"/>
    <w:rsid w:val="005273A0"/>
    <w:rsid w:val="005273F0"/>
    <w:rsid w:val="00530F67"/>
    <w:rsid w:val="00531341"/>
    <w:rsid w:val="00531736"/>
    <w:rsid w:val="0053280B"/>
    <w:rsid w:val="00532D46"/>
    <w:rsid w:val="005339D0"/>
    <w:rsid w:val="00533EC8"/>
    <w:rsid w:val="00534A5D"/>
    <w:rsid w:val="00535988"/>
    <w:rsid w:val="005359A7"/>
    <w:rsid w:val="005378F5"/>
    <w:rsid w:val="005379E4"/>
    <w:rsid w:val="005405C1"/>
    <w:rsid w:val="00540772"/>
    <w:rsid w:val="0054121A"/>
    <w:rsid w:val="005419ED"/>
    <w:rsid w:val="00541A23"/>
    <w:rsid w:val="00541BE6"/>
    <w:rsid w:val="00541C9D"/>
    <w:rsid w:val="005424C5"/>
    <w:rsid w:val="00542867"/>
    <w:rsid w:val="00542DDE"/>
    <w:rsid w:val="005436EE"/>
    <w:rsid w:val="00543FED"/>
    <w:rsid w:val="005442F9"/>
    <w:rsid w:val="00544995"/>
    <w:rsid w:val="00545BEE"/>
    <w:rsid w:val="00545F25"/>
    <w:rsid w:val="00546A36"/>
    <w:rsid w:val="00546EAC"/>
    <w:rsid w:val="0054704E"/>
    <w:rsid w:val="00547593"/>
    <w:rsid w:val="00547802"/>
    <w:rsid w:val="00551D79"/>
    <w:rsid w:val="00551DE8"/>
    <w:rsid w:val="00551F90"/>
    <w:rsid w:val="00552A88"/>
    <w:rsid w:val="00553A44"/>
    <w:rsid w:val="00553F51"/>
    <w:rsid w:val="00553F5A"/>
    <w:rsid w:val="00553F88"/>
    <w:rsid w:val="00554A74"/>
    <w:rsid w:val="00554B17"/>
    <w:rsid w:val="005555C5"/>
    <w:rsid w:val="00555B82"/>
    <w:rsid w:val="00555D5A"/>
    <w:rsid w:val="005563B7"/>
    <w:rsid w:val="005564C4"/>
    <w:rsid w:val="0055673B"/>
    <w:rsid w:val="005578B3"/>
    <w:rsid w:val="0056100C"/>
    <w:rsid w:val="005614BE"/>
    <w:rsid w:val="0056222C"/>
    <w:rsid w:val="005623D4"/>
    <w:rsid w:val="00562454"/>
    <w:rsid w:val="00563062"/>
    <w:rsid w:val="00563BF6"/>
    <w:rsid w:val="00564536"/>
    <w:rsid w:val="005648FE"/>
    <w:rsid w:val="00564A67"/>
    <w:rsid w:val="00564D58"/>
    <w:rsid w:val="005651F2"/>
    <w:rsid w:val="005660B8"/>
    <w:rsid w:val="00566B96"/>
    <w:rsid w:val="005677E2"/>
    <w:rsid w:val="00570340"/>
    <w:rsid w:val="00570B5E"/>
    <w:rsid w:val="00570B93"/>
    <w:rsid w:val="005716A2"/>
    <w:rsid w:val="0057228D"/>
    <w:rsid w:val="00572C56"/>
    <w:rsid w:val="005734AF"/>
    <w:rsid w:val="00573C21"/>
    <w:rsid w:val="00574209"/>
    <w:rsid w:val="005745C7"/>
    <w:rsid w:val="0057594C"/>
    <w:rsid w:val="00575CB3"/>
    <w:rsid w:val="00575FD0"/>
    <w:rsid w:val="005760E5"/>
    <w:rsid w:val="005763C5"/>
    <w:rsid w:val="005768C4"/>
    <w:rsid w:val="00576DAC"/>
    <w:rsid w:val="00577292"/>
    <w:rsid w:val="005776DF"/>
    <w:rsid w:val="00577D0A"/>
    <w:rsid w:val="00580DEB"/>
    <w:rsid w:val="0058194F"/>
    <w:rsid w:val="00581AD2"/>
    <w:rsid w:val="00581D13"/>
    <w:rsid w:val="00583DC5"/>
    <w:rsid w:val="00583F82"/>
    <w:rsid w:val="00584238"/>
    <w:rsid w:val="0058427C"/>
    <w:rsid w:val="00584913"/>
    <w:rsid w:val="00585045"/>
    <w:rsid w:val="00586020"/>
    <w:rsid w:val="00586389"/>
    <w:rsid w:val="0058648D"/>
    <w:rsid w:val="00586B3B"/>
    <w:rsid w:val="00587206"/>
    <w:rsid w:val="00587BC1"/>
    <w:rsid w:val="00590932"/>
    <w:rsid w:val="00590C39"/>
    <w:rsid w:val="00591566"/>
    <w:rsid w:val="0059202D"/>
    <w:rsid w:val="005921E7"/>
    <w:rsid w:val="00592D11"/>
    <w:rsid w:val="005932BD"/>
    <w:rsid w:val="00593ABD"/>
    <w:rsid w:val="0059406C"/>
    <w:rsid w:val="005949E5"/>
    <w:rsid w:val="005960ED"/>
    <w:rsid w:val="005963A8"/>
    <w:rsid w:val="00596A34"/>
    <w:rsid w:val="00596E8C"/>
    <w:rsid w:val="005A0512"/>
    <w:rsid w:val="005A0E6E"/>
    <w:rsid w:val="005A17BD"/>
    <w:rsid w:val="005A1AB1"/>
    <w:rsid w:val="005A1D1B"/>
    <w:rsid w:val="005A283D"/>
    <w:rsid w:val="005A2953"/>
    <w:rsid w:val="005A3D02"/>
    <w:rsid w:val="005A4A4C"/>
    <w:rsid w:val="005A4DA3"/>
    <w:rsid w:val="005A5395"/>
    <w:rsid w:val="005A5807"/>
    <w:rsid w:val="005A5DF5"/>
    <w:rsid w:val="005A5F45"/>
    <w:rsid w:val="005A6748"/>
    <w:rsid w:val="005A6FD3"/>
    <w:rsid w:val="005B066E"/>
    <w:rsid w:val="005B177F"/>
    <w:rsid w:val="005B17DF"/>
    <w:rsid w:val="005B2645"/>
    <w:rsid w:val="005B2689"/>
    <w:rsid w:val="005B2749"/>
    <w:rsid w:val="005B4401"/>
    <w:rsid w:val="005B46B6"/>
    <w:rsid w:val="005B4DCC"/>
    <w:rsid w:val="005B4F7D"/>
    <w:rsid w:val="005B56E3"/>
    <w:rsid w:val="005B5B5A"/>
    <w:rsid w:val="005B6CD0"/>
    <w:rsid w:val="005B7E96"/>
    <w:rsid w:val="005C0EA4"/>
    <w:rsid w:val="005C12D4"/>
    <w:rsid w:val="005C1713"/>
    <w:rsid w:val="005C231D"/>
    <w:rsid w:val="005C34A7"/>
    <w:rsid w:val="005C3D7C"/>
    <w:rsid w:val="005C3EA1"/>
    <w:rsid w:val="005C41E6"/>
    <w:rsid w:val="005C5D06"/>
    <w:rsid w:val="005C6491"/>
    <w:rsid w:val="005C6A48"/>
    <w:rsid w:val="005C6B6F"/>
    <w:rsid w:val="005C71C1"/>
    <w:rsid w:val="005C73DA"/>
    <w:rsid w:val="005D02D5"/>
    <w:rsid w:val="005D0308"/>
    <w:rsid w:val="005D1A45"/>
    <w:rsid w:val="005D1E9D"/>
    <w:rsid w:val="005D2AA9"/>
    <w:rsid w:val="005D39CA"/>
    <w:rsid w:val="005D3F2A"/>
    <w:rsid w:val="005D4AC1"/>
    <w:rsid w:val="005D5455"/>
    <w:rsid w:val="005D6116"/>
    <w:rsid w:val="005D689F"/>
    <w:rsid w:val="005D6CE2"/>
    <w:rsid w:val="005D71B9"/>
    <w:rsid w:val="005D71FE"/>
    <w:rsid w:val="005D73D9"/>
    <w:rsid w:val="005D799B"/>
    <w:rsid w:val="005D7A8D"/>
    <w:rsid w:val="005D7E6A"/>
    <w:rsid w:val="005E21FE"/>
    <w:rsid w:val="005E2C25"/>
    <w:rsid w:val="005E32AC"/>
    <w:rsid w:val="005E33D5"/>
    <w:rsid w:val="005E3568"/>
    <w:rsid w:val="005E40F3"/>
    <w:rsid w:val="005E4B9F"/>
    <w:rsid w:val="005E57D4"/>
    <w:rsid w:val="005E6F55"/>
    <w:rsid w:val="005E714B"/>
    <w:rsid w:val="005E7D33"/>
    <w:rsid w:val="005F03D0"/>
    <w:rsid w:val="005F078A"/>
    <w:rsid w:val="005F0B5A"/>
    <w:rsid w:val="005F0BB8"/>
    <w:rsid w:val="005F1F61"/>
    <w:rsid w:val="005F204B"/>
    <w:rsid w:val="005F2E47"/>
    <w:rsid w:val="005F2FBC"/>
    <w:rsid w:val="005F38F9"/>
    <w:rsid w:val="005F3ADF"/>
    <w:rsid w:val="005F3C98"/>
    <w:rsid w:val="005F4F60"/>
    <w:rsid w:val="005F5EFA"/>
    <w:rsid w:val="005F6256"/>
    <w:rsid w:val="005F6266"/>
    <w:rsid w:val="005F6610"/>
    <w:rsid w:val="005F771B"/>
    <w:rsid w:val="005F7747"/>
    <w:rsid w:val="005F7AEA"/>
    <w:rsid w:val="005F7C07"/>
    <w:rsid w:val="0060175E"/>
    <w:rsid w:val="0060220B"/>
    <w:rsid w:val="006025D8"/>
    <w:rsid w:val="006028B5"/>
    <w:rsid w:val="00603821"/>
    <w:rsid w:val="00603B4E"/>
    <w:rsid w:val="006049CE"/>
    <w:rsid w:val="006052B0"/>
    <w:rsid w:val="00605A63"/>
    <w:rsid w:val="00605BD5"/>
    <w:rsid w:val="00605E8E"/>
    <w:rsid w:val="00607173"/>
    <w:rsid w:val="00607752"/>
    <w:rsid w:val="00610B94"/>
    <w:rsid w:val="00610C0C"/>
    <w:rsid w:val="00610FB1"/>
    <w:rsid w:val="0061115E"/>
    <w:rsid w:val="00611283"/>
    <w:rsid w:val="00611D76"/>
    <w:rsid w:val="00612A45"/>
    <w:rsid w:val="006130CE"/>
    <w:rsid w:val="00613332"/>
    <w:rsid w:val="006137C6"/>
    <w:rsid w:val="00613D86"/>
    <w:rsid w:val="00614436"/>
    <w:rsid w:val="0061551E"/>
    <w:rsid w:val="00615619"/>
    <w:rsid w:val="006156F1"/>
    <w:rsid w:val="00616204"/>
    <w:rsid w:val="0061678F"/>
    <w:rsid w:val="0061680E"/>
    <w:rsid w:val="00616C3C"/>
    <w:rsid w:val="006177E4"/>
    <w:rsid w:val="00617F77"/>
    <w:rsid w:val="0062077E"/>
    <w:rsid w:val="00620EA0"/>
    <w:rsid w:val="006210F5"/>
    <w:rsid w:val="006212BE"/>
    <w:rsid w:val="006214F2"/>
    <w:rsid w:val="00621B2B"/>
    <w:rsid w:val="0062212A"/>
    <w:rsid w:val="0062275A"/>
    <w:rsid w:val="006227C8"/>
    <w:rsid w:val="006227CF"/>
    <w:rsid w:val="00622AF5"/>
    <w:rsid w:val="00622CC4"/>
    <w:rsid w:val="0062497F"/>
    <w:rsid w:val="006252AE"/>
    <w:rsid w:val="00625635"/>
    <w:rsid w:val="0062607C"/>
    <w:rsid w:val="0062707A"/>
    <w:rsid w:val="006271D8"/>
    <w:rsid w:val="00627200"/>
    <w:rsid w:val="00627811"/>
    <w:rsid w:val="00627829"/>
    <w:rsid w:val="00627CB2"/>
    <w:rsid w:val="006301EA"/>
    <w:rsid w:val="00630454"/>
    <w:rsid w:val="00630BE9"/>
    <w:rsid w:val="006312EB"/>
    <w:rsid w:val="006313DB"/>
    <w:rsid w:val="0063160F"/>
    <w:rsid w:val="00633125"/>
    <w:rsid w:val="0063314C"/>
    <w:rsid w:val="00633408"/>
    <w:rsid w:val="0063360D"/>
    <w:rsid w:val="00634A04"/>
    <w:rsid w:val="00634F78"/>
    <w:rsid w:val="006358A2"/>
    <w:rsid w:val="0063601D"/>
    <w:rsid w:val="0063673D"/>
    <w:rsid w:val="0063685E"/>
    <w:rsid w:val="00636D4A"/>
    <w:rsid w:val="00636E0D"/>
    <w:rsid w:val="00637944"/>
    <w:rsid w:val="0064086F"/>
    <w:rsid w:val="00640B3E"/>
    <w:rsid w:val="00640C92"/>
    <w:rsid w:val="006415CD"/>
    <w:rsid w:val="0064168A"/>
    <w:rsid w:val="00641B4F"/>
    <w:rsid w:val="00642BC5"/>
    <w:rsid w:val="0064331C"/>
    <w:rsid w:val="0064387A"/>
    <w:rsid w:val="00645593"/>
    <w:rsid w:val="00646BF3"/>
    <w:rsid w:val="0064753A"/>
    <w:rsid w:val="00647E6E"/>
    <w:rsid w:val="0065103A"/>
    <w:rsid w:val="00651BB0"/>
    <w:rsid w:val="006528F7"/>
    <w:rsid w:val="00652F25"/>
    <w:rsid w:val="00652F8B"/>
    <w:rsid w:val="00653046"/>
    <w:rsid w:val="00653849"/>
    <w:rsid w:val="00654DB5"/>
    <w:rsid w:val="00655272"/>
    <w:rsid w:val="006566F3"/>
    <w:rsid w:val="0065676B"/>
    <w:rsid w:val="00656F98"/>
    <w:rsid w:val="00656FC7"/>
    <w:rsid w:val="00657226"/>
    <w:rsid w:val="006578A6"/>
    <w:rsid w:val="00657A5D"/>
    <w:rsid w:val="00657FE3"/>
    <w:rsid w:val="00660532"/>
    <w:rsid w:val="0066098F"/>
    <w:rsid w:val="006612AD"/>
    <w:rsid w:val="00661ED3"/>
    <w:rsid w:val="0066236C"/>
    <w:rsid w:val="006624F1"/>
    <w:rsid w:val="0066377A"/>
    <w:rsid w:val="00663D68"/>
    <w:rsid w:val="00664518"/>
    <w:rsid w:val="006648D7"/>
    <w:rsid w:val="00665475"/>
    <w:rsid w:val="00665949"/>
    <w:rsid w:val="00666A31"/>
    <w:rsid w:val="00666D80"/>
    <w:rsid w:val="00666E78"/>
    <w:rsid w:val="00667335"/>
    <w:rsid w:val="0066778F"/>
    <w:rsid w:val="00667FC8"/>
    <w:rsid w:val="00670427"/>
    <w:rsid w:val="00671340"/>
    <w:rsid w:val="00671606"/>
    <w:rsid w:val="00671FB5"/>
    <w:rsid w:val="00672B85"/>
    <w:rsid w:val="00673364"/>
    <w:rsid w:val="00674D57"/>
    <w:rsid w:val="00674E71"/>
    <w:rsid w:val="006757EB"/>
    <w:rsid w:val="006759C0"/>
    <w:rsid w:val="006764CF"/>
    <w:rsid w:val="006771CD"/>
    <w:rsid w:val="00677377"/>
    <w:rsid w:val="00677934"/>
    <w:rsid w:val="0067798F"/>
    <w:rsid w:val="00680938"/>
    <w:rsid w:val="00680B51"/>
    <w:rsid w:val="006810E9"/>
    <w:rsid w:val="0068185A"/>
    <w:rsid w:val="006820DF"/>
    <w:rsid w:val="00683651"/>
    <w:rsid w:val="00683861"/>
    <w:rsid w:val="00683981"/>
    <w:rsid w:val="0068440E"/>
    <w:rsid w:val="00685930"/>
    <w:rsid w:val="006859D3"/>
    <w:rsid w:val="00685C54"/>
    <w:rsid w:val="006862E0"/>
    <w:rsid w:val="00687CA2"/>
    <w:rsid w:val="006906C6"/>
    <w:rsid w:val="00690B11"/>
    <w:rsid w:val="00691DBA"/>
    <w:rsid w:val="0069303C"/>
    <w:rsid w:val="00693AEB"/>
    <w:rsid w:val="006940BE"/>
    <w:rsid w:val="0069453A"/>
    <w:rsid w:val="0069469C"/>
    <w:rsid w:val="00694B94"/>
    <w:rsid w:val="006959E9"/>
    <w:rsid w:val="00696CFB"/>
    <w:rsid w:val="00697D05"/>
    <w:rsid w:val="006A0000"/>
    <w:rsid w:val="006A0999"/>
    <w:rsid w:val="006A0E8F"/>
    <w:rsid w:val="006A1447"/>
    <w:rsid w:val="006A18B4"/>
    <w:rsid w:val="006A1D7E"/>
    <w:rsid w:val="006A2C12"/>
    <w:rsid w:val="006A3138"/>
    <w:rsid w:val="006A32C2"/>
    <w:rsid w:val="006A39AB"/>
    <w:rsid w:val="006A3D1C"/>
    <w:rsid w:val="006A47CE"/>
    <w:rsid w:val="006A47FF"/>
    <w:rsid w:val="006A4AB2"/>
    <w:rsid w:val="006A6A53"/>
    <w:rsid w:val="006B0693"/>
    <w:rsid w:val="006B13CA"/>
    <w:rsid w:val="006B15A3"/>
    <w:rsid w:val="006B1F83"/>
    <w:rsid w:val="006B20E4"/>
    <w:rsid w:val="006B2422"/>
    <w:rsid w:val="006B2435"/>
    <w:rsid w:val="006B3267"/>
    <w:rsid w:val="006B3758"/>
    <w:rsid w:val="006B3ADE"/>
    <w:rsid w:val="006B40BA"/>
    <w:rsid w:val="006B4445"/>
    <w:rsid w:val="006B46C0"/>
    <w:rsid w:val="006B4B78"/>
    <w:rsid w:val="006B6281"/>
    <w:rsid w:val="006B6D2A"/>
    <w:rsid w:val="006B70A9"/>
    <w:rsid w:val="006C007E"/>
    <w:rsid w:val="006C0CCF"/>
    <w:rsid w:val="006C1A4C"/>
    <w:rsid w:val="006C1E23"/>
    <w:rsid w:val="006C2208"/>
    <w:rsid w:val="006C24C0"/>
    <w:rsid w:val="006C272F"/>
    <w:rsid w:val="006C2A00"/>
    <w:rsid w:val="006C2EBF"/>
    <w:rsid w:val="006C3211"/>
    <w:rsid w:val="006C3758"/>
    <w:rsid w:val="006C3E94"/>
    <w:rsid w:val="006C40A6"/>
    <w:rsid w:val="006C47BA"/>
    <w:rsid w:val="006C49FF"/>
    <w:rsid w:val="006C5501"/>
    <w:rsid w:val="006C5D7D"/>
    <w:rsid w:val="006C66BF"/>
    <w:rsid w:val="006C6E1B"/>
    <w:rsid w:val="006C71A2"/>
    <w:rsid w:val="006C7359"/>
    <w:rsid w:val="006C7442"/>
    <w:rsid w:val="006C7EA3"/>
    <w:rsid w:val="006C7F0F"/>
    <w:rsid w:val="006D0E48"/>
    <w:rsid w:val="006D18E1"/>
    <w:rsid w:val="006D199A"/>
    <w:rsid w:val="006D1A26"/>
    <w:rsid w:val="006D2DF2"/>
    <w:rsid w:val="006D4587"/>
    <w:rsid w:val="006D489E"/>
    <w:rsid w:val="006D4B16"/>
    <w:rsid w:val="006D5210"/>
    <w:rsid w:val="006D54AA"/>
    <w:rsid w:val="006D57BC"/>
    <w:rsid w:val="006D5D7F"/>
    <w:rsid w:val="006D6682"/>
    <w:rsid w:val="006D70AB"/>
    <w:rsid w:val="006D7C77"/>
    <w:rsid w:val="006E004A"/>
    <w:rsid w:val="006E0121"/>
    <w:rsid w:val="006E0DBB"/>
    <w:rsid w:val="006E14B2"/>
    <w:rsid w:val="006E243D"/>
    <w:rsid w:val="006E331E"/>
    <w:rsid w:val="006E397C"/>
    <w:rsid w:val="006E42AD"/>
    <w:rsid w:val="006E42FB"/>
    <w:rsid w:val="006E47E3"/>
    <w:rsid w:val="006E4C6B"/>
    <w:rsid w:val="006E506F"/>
    <w:rsid w:val="006E5820"/>
    <w:rsid w:val="006E590A"/>
    <w:rsid w:val="006E594C"/>
    <w:rsid w:val="006E77DF"/>
    <w:rsid w:val="006E7806"/>
    <w:rsid w:val="006E7B1D"/>
    <w:rsid w:val="006F005C"/>
    <w:rsid w:val="006F1138"/>
    <w:rsid w:val="006F1659"/>
    <w:rsid w:val="006F367C"/>
    <w:rsid w:val="006F4822"/>
    <w:rsid w:val="006F507F"/>
    <w:rsid w:val="006F5763"/>
    <w:rsid w:val="006F68F1"/>
    <w:rsid w:val="006F7096"/>
    <w:rsid w:val="006F7402"/>
    <w:rsid w:val="006F762C"/>
    <w:rsid w:val="006F7674"/>
    <w:rsid w:val="006F7EAF"/>
    <w:rsid w:val="00700448"/>
    <w:rsid w:val="00700734"/>
    <w:rsid w:val="00700866"/>
    <w:rsid w:val="00700B69"/>
    <w:rsid w:val="007016F0"/>
    <w:rsid w:val="007017E4"/>
    <w:rsid w:val="00703A8C"/>
    <w:rsid w:val="00703C19"/>
    <w:rsid w:val="007040B0"/>
    <w:rsid w:val="007041A8"/>
    <w:rsid w:val="00704435"/>
    <w:rsid w:val="00704A10"/>
    <w:rsid w:val="00704FD7"/>
    <w:rsid w:val="00705518"/>
    <w:rsid w:val="00705748"/>
    <w:rsid w:val="00706B96"/>
    <w:rsid w:val="007077F8"/>
    <w:rsid w:val="00707A6D"/>
    <w:rsid w:val="00707A7C"/>
    <w:rsid w:val="0071009C"/>
    <w:rsid w:val="00710279"/>
    <w:rsid w:val="00710E7A"/>
    <w:rsid w:val="00710EB4"/>
    <w:rsid w:val="00711795"/>
    <w:rsid w:val="007118CE"/>
    <w:rsid w:val="00711E65"/>
    <w:rsid w:val="00712058"/>
    <w:rsid w:val="00712128"/>
    <w:rsid w:val="00712533"/>
    <w:rsid w:val="007125B3"/>
    <w:rsid w:val="0071314A"/>
    <w:rsid w:val="00713A7A"/>
    <w:rsid w:val="00713A89"/>
    <w:rsid w:val="00713AEF"/>
    <w:rsid w:val="00714788"/>
    <w:rsid w:val="007158C3"/>
    <w:rsid w:val="00716230"/>
    <w:rsid w:val="00716C55"/>
    <w:rsid w:val="00720D91"/>
    <w:rsid w:val="007213C4"/>
    <w:rsid w:val="007220E7"/>
    <w:rsid w:val="00722992"/>
    <w:rsid w:val="007238C7"/>
    <w:rsid w:val="00723EB4"/>
    <w:rsid w:val="007241B8"/>
    <w:rsid w:val="00724E43"/>
    <w:rsid w:val="0072577F"/>
    <w:rsid w:val="00725DBD"/>
    <w:rsid w:val="007268B9"/>
    <w:rsid w:val="00727163"/>
    <w:rsid w:val="007273EA"/>
    <w:rsid w:val="00727BE4"/>
    <w:rsid w:val="00727C5F"/>
    <w:rsid w:val="0073021E"/>
    <w:rsid w:val="007305C4"/>
    <w:rsid w:val="00730679"/>
    <w:rsid w:val="00731062"/>
    <w:rsid w:val="00732163"/>
    <w:rsid w:val="007322A7"/>
    <w:rsid w:val="00732E6B"/>
    <w:rsid w:val="00733300"/>
    <w:rsid w:val="00734A94"/>
    <w:rsid w:val="00734E26"/>
    <w:rsid w:val="007356C4"/>
    <w:rsid w:val="0073609D"/>
    <w:rsid w:val="00736723"/>
    <w:rsid w:val="007367BF"/>
    <w:rsid w:val="0073698A"/>
    <w:rsid w:val="007371D6"/>
    <w:rsid w:val="007375A1"/>
    <w:rsid w:val="0074065D"/>
    <w:rsid w:val="0074184E"/>
    <w:rsid w:val="00742909"/>
    <w:rsid w:val="0074294E"/>
    <w:rsid w:val="00742B2B"/>
    <w:rsid w:val="00743E36"/>
    <w:rsid w:val="00745FC3"/>
    <w:rsid w:val="007476C6"/>
    <w:rsid w:val="00751898"/>
    <w:rsid w:val="00751FB1"/>
    <w:rsid w:val="00752059"/>
    <w:rsid w:val="00752770"/>
    <w:rsid w:val="00752877"/>
    <w:rsid w:val="00752A54"/>
    <w:rsid w:val="00752F4B"/>
    <w:rsid w:val="0075332E"/>
    <w:rsid w:val="00753AEB"/>
    <w:rsid w:val="00753F88"/>
    <w:rsid w:val="00754648"/>
    <w:rsid w:val="007546BD"/>
    <w:rsid w:val="007557F8"/>
    <w:rsid w:val="00757D2A"/>
    <w:rsid w:val="007600F8"/>
    <w:rsid w:val="0076039E"/>
    <w:rsid w:val="0076095F"/>
    <w:rsid w:val="00760F0C"/>
    <w:rsid w:val="00761997"/>
    <w:rsid w:val="00762643"/>
    <w:rsid w:val="00762931"/>
    <w:rsid w:val="00763516"/>
    <w:rsid w:val="00765AFC"/>
    <w:rsid w:val="00765F5E"/>
    <w:rsid w:val="0076608F"/>
    <w:rsid w:val="007663B7"/>
    <w:rsid w:val="00766987"/>
    <w:rsid w:val="00766B3D"/>
    <w:rsid w:val="00766D81"/>
    <w:rsid w:val="00767258"/>
    <w:rsid w:val="007676DC"/>
    <w:rsid w:val="007708B0"/>
    <w:rsid w:val="00770903"/>
    <w:rsid w:val="007710FA"/>
    <w:rsid w:val="00771B6B"/>
    <w:rsid w:val="00771D1F"/>
    <w:rsid w:val="007722D6"/>
    <w:rsid w:val="00773528"/>
    <w:rsid w:val="00773811"/>
    <w:rsid w:val="00774113"/>
    <w:rsid w:val="00775BB8"/>
    <w:rsid w:val="0077607A"/>
    <w:rsid w:val="0077696C"/>
    <w:rsid w:val="00776CBF"/>
    <w:rsid w:val="007774B4"/>
    <w:rsid w:val="00777D7B"/>
    <w:rsid w:val="00777ECE"/>
    <w:rsid w:val="007801F8"/>
    <w:rsid w:val="0078021D"/>
    <w:rsid w:val="00780C4E"/>
    <w:rsid w:val="00781195"/>
    <w:rsid w:val="00782014"/>
    <w:rsid w:val="00782E25"/>
    <w:rsid w:val="00783474"/>
    <w:rsid w:val="00783D34"/>
    <w:rsid w:val="0078515B"/>
    <w:rsid w:val="00786372"/>
    <w:rsid w:val="007869FE"/>
    <w:rsid w:val="00786A1C"/>
    <w:rsid w:val="00786C36"/>
    <w:rsid w:val="00787469"/>
    <w:rsid w:val="00787A23"/>
    <w:rsid w:val="00787A4F"/>
    <w:rsid w:val="007901F5"/>
    <w:rsid w:val="00790B30"/>
    <w:rsid w:val="00790C2E"/>
    <w:rsid w:val="00791556"/>
    <w:rsid w:val="00791FAB"/>
    <w:rsid w:val="007928D4"/>
    <w:rsid w:val="00792AF6"/>
    <w:rsid w:val="0079334A"/>
    <w:rsid w:val="007934CB"/>
    <w:rsid w:val="00793FA4"/>
    <w:rsid w:val="00794091"/>
    <w:rsid w:val="00794A0B"/>
    <w:rsid w:val="0079513B"/>
    <w:rsid w:val="007964C1"/>
    <w:rsid w:val="0079697D"/>
    <w:rsid w:val="0079709F"/>
    <w:rsid w:val="007975CE"/>
    <w:rsid w:val="007977B4"/>
    <w:rsid w:val="00797E03"/>
    <w:rsid w:val="00797FAB"/>
    <w:rsid w:val="007A0A6D"/>
    <w:rsid w:val="007A0DF8"/>
    <w:rsid w:val="007A1607"/>
    <w:rsid w:val="007A22E0"/>
    <w:rsid w:val="007A31BF"/>
    <w:rsid w:val="007A3B2D"/>
    <w:rsid w:val="007A3D27"/>
    <w:rsid w:val="007A47A9"/>
    <w:rsid w:val="007A5786"/>
    <w:rsid w:val="007A5A83"/>
    <w:rsid w:val="007A6049"/>
    <w:rsid w:val="007A7A5C"/>
    <w:rsid w:val="007A7C3F"/>
    <w:rsid w:val="007B0AE9"/>
    <w:rsid w:val="007B0FC7"/>
    <w:rsid w:val="007B1B2F"/>
    <w:rsid w:val="007B25AC"/>
    <w:rsid w:val="007B31D9"/>
    <w:rsid w:val="007B382E"/>
    <w:rsid w:val="007B3F60"/>
    <w:rsid w:val="007B582D"/>
    <w:rsid w:val="007B5893"/>
    <w:rsid w:val="007B5A46"/>
    <w:rsid w:val="007B5C63"/>
    <w:rsid w:val="007B5E42"/>
    <w:rsid w:val="007B5ED5"/>
    <w:rsid w:val="007B6B29"/>
    <w:rsid w:val="007B6C03"/>
    <w:rsid w:val="007B6D9C"/>
    <w:rsid w:val="007C0912"/>
    <w:rsid w:val="007C0929"/>
    <w:rsid w:val="007C0ADC"/>
    <w:rsid w:val="007C0DA1"/>
    <w:rsid w:val="007C1F6F"/>
    <w:rsid w:val="007C2D69"/>
    <w:rsid w:val="007C2EC5"/>
    <w:rsid w:val="007C3503"/>
    <w:rsid w:val="007C3CFD"/>
    <w:rsid w:val="007C491D"/>
    <w:rsid w:val="007C4A9C"/>
    <w:rsid w:val="007C558F"/>
    <w:rsid w:val="007C5909"/>
    <w:rsid w:val="007C6590"/>
    <w:rsid w:val="007C6719"/>
    <w:rsid w:val="007C7714"/>
    <w:rsid w:val="007D09C9"/>
    <w:rsid w:val="007D1485"/>
    <w:rsid w:val="007D14D8"/>
    <w:rsid w:val="007D1517"/>
    <w:rsid w:val="007D177F"/>
    <w:rsid w:val="007D1C30"/>
    <w:rsid w:val="007D425C"/>
    <w:rsid w:val="007D569D"/>
    <w:rsid w:val="007D5EF2"/>
    <w:rsid w:val="007D63A2"/>
    <w:rsid w:val="007D6BEA"/>
    <w:rsid w:val="007E0287"/>
    <w:rsid w:val="007E05D8"/>
    <w:rsid w:val="007E1272"/>
    <w:rsid w:val="007E13A0"/>
    <w:rsid w:val="007E239E"/>
    <w:rsid w:val="007E2424"/>
    <w:rsid w:val="007E27C9"/>
    <w:rsid w:val="007E283D"/>
    <w:rsid w:val="007E376C"/>
    <w:rsid w:val="007E3C4D"/>
    <w:rsid w:val="007E41B2"/>
    <w:rsid w:val="007E41E1"/>
    <w:rsid w:val="007E4303"/>
    <w:rsid w:val="007E5018"/>
    <w:rsid w:val="007E58CE"/>
    <w:rsid w:val="007E7786"/>
    <w:rsid w:val="007E77D7"/>
    <w:rsid w:val="007F037B"/>
    <w:rsid w:val="007F0C54"/>
    <w:rsid w:val="007F13EB"/>
    <w:rsid w:val="007F16AA"/>
    <w:rsid w:val="007F1977"/>
    <w:rsid w:val="007F1A3F"/>
    <w:rsid w:val="007F1B7A"/>
    <w:rsid w:val="007F235B"/>
    <w:rsid w:val="007F25A0"/>
    <w:rsid w:val="007F25E0"/>
    <w:rsid w:val="007F2652"/>
    <w:rsid w:val="007F3F35"/>
    <w:rsid w:val="007F4F88"/>
    <w:rsid w:val="007F556B"/>
    <w:rsid w:val="007F577A"/>
    <w:rsid w:val="007F5CF5"/>
    <w:rsid w:val="007F6761"/>
    <w:rsid w:val="007F6EFB"/>
    <w:rsid w:val="007F778A"/>
    <w:rsid w:val="0080124B"/>
    <w:rsid w:val="00801362"/>
    <w:rsid w:val="00801628"/>
    <w:rsid w:val="00801FEA"/>
    <w:rsid w:val="00802FDD"/>
    <w:rsid w:val="008040E7"/>
    <w:rsid w:val="008041C0"/>
    <w:rsid w:val="008056A0"/>
    <w:rsid w:val="0080619C"/>
    <w:rsid w:val="008063F7"/>
    <w:rsid w:val="00806753"/>
    <w:rsid w:val="00806D04"/>
    <w:rsid w:val="00806ECE"/>
    <w:rsid w:val="008108B6"/>
    <w:rsid w:val="00810CD0"/>
    <w:rsid w:val="00810CD5"/>
    <w:rsid w:val="00811342"/>
    <w:rsid w:val="00812306"/>
    <w:rsid w:val="008124AB"/>
    <w:rsid w:val="008124BC"/>
    <w:rsid w:val="00812BF0"/>
    <w:rsid w:val="00813458"/>
    <w:rsid w:val="00813B4B"/>
    <w:rsid w:val="008144F5"/>
    <w:rsid w:val="00816368"/>
    <w:rsid w:val="00816393"/>
    <w:rsid w:val="008166F5"/>
    <w:rsid w:val="0082012B"/>
    <w:rsid w:val="008203A8"/>
    <w:rsid w:val="00820B34"/>
    <w:rsid w:val="00820C6C"/>
    <w:rsid w:val="0082189C"/>
    <w:rsid w:val="00822899"/>
    <w:rsid w:val="00823251"/>
    <w:rsid w:val="00823401"/>
    <w:rsid w:val="00823B4A"/>
    <w:rsid w:val="00824D5A"/>
    <w:rsid w:val="00825236"/>
    <w:rsid w:val="00825DAA"/>
    <w:rsid w:val="0082607F"/>
    <w:rsid w:val="00827623"/>
    <w:rsid w:val="00827C6D"/>
    <w:rsid w:val="0083176C"/>
    <w:rsid w:val="00832079"/>
    <w:rsid w:val="008336A6"/>
    <w:rsid w:val="008336FB"/>
    <w:rsid w:val="00833C48"/>
    <w:rsid w:val="00833F71"/>
    <w:rsid w:val="00834039"/>
    <w:rsid w:val="0083450F"/>
    <w:rsid w:val="008345B4"/>
    <w:rsid w:val="008345E8"/>
    <w:rsid w:val="0083569B"/>
    <w:rsid w:val="00835A7B"/>
    <w:rsid w:val="00835CEF"/>
    <w:rsid w:val="00836363"/>
    <w:rsid w:val="0083729A"/>
    <w:rsid w:val="00840579"/>
    <w:rsid w:val="00840940"/>
    <w:rsid w:val="008409AE"/>
    <w:rsid w:val="00841590"/>
    <w:rsid w:val="008418D5"/>
    <w:rsid w:val="00842104"/>
    <w:rsid w:val="00842D7D"/>
    <w:rsid w:val="00843A00"/>
    <w:rsid w:val="00843CAF"/>
    <w:rsid w:val="0084451F"/>
    <w:rsid w:val="00844936"/>
    <w:rsid w:val="008454BB"/>
    <w:rsid w:val="00845526"/>
    <w:rsid w:val="00845909"/>
    <w:rsid w:val="008461B8"/>
    <w:rsid w:val="008468B9"/>
    <w:rsid w:val="00846A0B"/>
    <w:rsid w:val="00847117"/>
    <w:rsid w:val="008471B5"/>
    <w:rsid w:val="008507EE"/>
    <w:rsid w:val="00850FB1"/>
    <w:rsid w:val="00851516"/>
    <w:rsid w:val="00851B16"/>
    <w:rsid w:val="00851BA7"/>
    <w:rsid w:val="00851EB0"/>
    <w:rsid w:val="008525F6"/>
    <w:rsid w:val="0085277A"/>
    <w:rsid w:val="00852808"/>
    <w:rsid w:val="00852FB9"/>
    <w:rsid w:val="00853E66"/>
    <w:rsid w:val="00853E88"/>
    <w:rsid w:val="0085541D"/>
    <w:rsid w:val="00855C3F"/>
    <w:rsid w:val="00856814"/>
    <w:rsid w:val="00857047"/>
    <w:rsid w:val="00857F10"/>
    <w:rsid w:val="00860B99"/>
    <w:rsid w:val="00860C8E"/>
    <w:rsid w:val="00861636"/>
    <w:rsid w:val="00861C18"/>
    <w:rsid w:val="00862105"/>
    <w:rsid w:val="0086231C"/>
    <w:rsid w:val="00862D44"/>
    <w:rsid w:val="00863919"/>
    <w:rsid w:val="00864905"/>
    <w:rsid w:val="00864B2A"/>
    <w:rsid w:val="00864C6B"/>
    <w:rsid w:val="008658B2"/>
    <w:rsid w:val="00865A69"/>
    <w:rsid w:val="00865AFB"/>
    <w:rsid w:val="00865BCF"/>
    <w:rsid w:val="0086623C"/>
    <w:rsid w:val="008665CF"/>
    <w:rsid w:val="00866655"/>
    <w:rsid w:val="008668C9"/>
    <w:rsid w:val="00866C5D"/>
    <w:rsid w:val="00867115"/>
    <w:rsid w:val="008700E9"/>
    <w:rsid w:val="00870552"/>
    <w:rsid w:val="008705A0"/>
    <w:rsid w:val="008705DA"/>
    <w:rsid w:val="00870D81"/>
    <w:rsid w:val="00871526"/>
    <w:rsid w:val="00871643"/>
    <w:rsid w:val="008718F0"/>
    <w:rsid w:val="00872026"/>
    <w:rsid w:val="00872EA0"/>
    <w:rsid w:val="008741B0"/>
    <w:rsid w:val="008745BA"/>
    <w:rsid w:val="00874710"/>
    <w:rsid w:val="008756D6"/>
    <w:rsid w:val="00876796"/>
    <w:rsid w:val="00877193"/>
    <w:rsid w:val="00882109"/>
    <w:rsid w:val="0088212F"/>
    <w:rsid w:val="00882F13"/>
    <w:rsid w:val="00883622"/>
    <w:rsid w:val="00883760"/>
    <w:rsid w:val="00883AF0"/>
    <w:rsid w:val="00883BC9"/>
    <w:rsid w:val="008851E9"/>
    <w:rsid w:val="00886F4C"/>
    <w:rsid w:val="008876CF"/>
    <w:rsid w:val="00887BE9"/>
    <w:rsid w:val="00890356"/>
    <w:rsid w:val="00890758"/>
    <w:rsid w:val="00890C2F"/>
    <w:rsid w:val="00890D29"/>
    <w:rsid w:val="00890E55"/>
    <w:rsid w:val="00891C62"/>
    <w:rsid w:val="00891CDC"/>
    <w:rsid w:val="008921A3"/>
    <w:rsid w:val="0089254A"/>
    <w:rsid w:val="00892860"/>
    <w:rsid w:val="00893819"/>
    <w:rsid w:val="008949AF"/>
    <w:rsid w:val="00894A61"/>
    <w:rsid w:val="00894F6C"/>
    <w:rsid w:val="00895491"/>
    <w:rsid w:val="00895D3F"/>
    <w:rsid w:val="0089645B"/>
    <w:rsid w:val="00896647"/>
    <w:rsid w:val="00896ACD"/>
    <w:rsid w:val="00897488"/>
    <w:rsid w:val="008977BF"/>
    <w:rsid w:val="00897A85"/>
    <w:rsid w:val="00897AFF"/>
    <w:rsid w:val="008A2273"/>
    <w:rsid w:val="008A25A8"/>
    <w:rsid w:val="008A2BBC"/>
    <w:rsid w:val="008A42C6"/>
    <w:rsid w:val="008A48C8"/>
    <w:rsid w:val="008A4B69"/>
    <w:rsid w:val="008A4C57"/>
    <w:rsid w:val="008A612B"/>
    <w:rsid w:val="008A655F"/>
    <w:rsid w:val="008A663D"/>
    <w:rsid w:val="008A760A"/>
    <w:rsid w:val="008A7B50"/>
    <w:rsid w:val="008B00A6"/>
    <w:rsid w:val="008B0C44"/>
    <w:rsid w:val="008B18BE"/>
    <w:rsid w:val="008B2380"/>
    <w:rsid w:val="008B4B15"/>
    <w:rsid w:val="008B53C1"/>
    <w:rsid w:val="008B5CA9"/>
    <w:rsid w:val="008B67FC"/>
    <w:rsid w:val="008B6A5F"/>
    <w:rsid w:val="008B6BBE"/>
    <w:rsid w:val="008B7891"/>
    <w:rsid w:val="008B7A5A"/>
    <w:rsid w:val="008B7D3D"/>
    <w:rsid w:val="008B7F55"/>
    <w:rsid w:val="008C0DCF"/>
    <w:rsid w:val="008C10C6"/>
    <w:rsid w:val="008C1552"/>
    <w:rsid w:val="008C2840"/>
    <w:rsid w:val="008C3997"/>
    <w:rsid w:val="008C461D"/>
    <w:rsid w:val="008C471E"/>
    <w:rsid w:val="008C4B3D"/>
    <w:rsid w:val="008C5667"/>
    <w:rsid w:val="008C5F06"/>
    <w:rsid w:val="008C6916"/>
    <w:rsid w:val="008C6A88"/>
    <w:rsid w:val="008C7985"/>
    <w:rsid w:val="008C7B30"/>
    <w:rsid w:val="008D0023"/>
    <w:rsid w:val="008D1B10"/>
    <w:rsid w:val="008D1EA7"/>
    <w:rsid w:val="008D235B"/>
    <w:rsid w:val="008D2633"/>
    <w:rsid w:val="008D2A4A"/>
    <w:rsid w:val="008D2C54"/>
    <w:rsid w:val="008D31BC"/>
    <w:rsid w:val="008D46D9"/>
    <w:rsid w:val="008D5363"/>
    <w:rsid w:val="008D6158"/>
    <w:rsid w:val="008D6246"/>
    <w:rsid w:val="008D65B8"/>
    <w:rsid w:val="008D66A7"/>
    <w:rsid w:val="008D759B"/>
    <w:rsid w:val="008D762F"/>
    <w:rsid w:val="008D7902"/>
    <w:rsid w:val="008E01EA"/>
    <w:rsid w:val="008E10F2"/>
    <w:rsid w:val="008E11BB"/>
    <w:rsid w:val="008E13AB"/>
    <w:rsid w:val="008E2F44"/>
    <w:rsid w:val="008E3161"/>
    <w:rsid w:val="008E4B4C"/>
    <w:rsid w:val="008E4E6A"/>
    <w:rsid w:val="008E4E79"/>
    <w:rsid w:val="008E58CB"/>
    <w:rsid w:val="008E5DB7"/>
    <w:rsid w:val="008E64AF"/>
    <w:rsid w:val="008E66F0"/>
    <w:rsid w:val="008E68D5"/>
    <w:rsid w:val="008E6985"/>
    <w:rsid w:val="008E7B42"/>
    <w:rsid w:val="008E7D01"/>
    <w:rsid w:val="008F00A8"/>
    <w:rsid w:val="008F0EEA"/>
    <w:rsid w:val="008F201B"/>
    <w:rsid w:val="008F20FD"/>
    <w:rsid w:val="008F2529"/>
    <w:rsid w:val="008F38F5"/>
    <w:rsid w:val="008F3BD5"/>
    <w:rsid w:val="008F3D7F"/>
    <w:rsid w:val="008F45EA"/>
    <w:rsid w:val="008F4D67"/>
    <w:rsid w:val="008F7AA0"/>
    <w:rsid w:val="008F7AB4"/>
    <w:rsid w:val="009001A7"/>
    <w:rsid w:val="0090074C"/>
    <w:rsid w:val="00900DED"/>
    <w:rsid w:val="00901232"/>
    <w:rsid w:val="0090148F"/>
    <w:rsid w:val="009018C3"/>
    <w:rsid w:val="00901B90"/>
    <w:rsid w:val="00902504"/>
    <w:rsid w:val="009032E5"/>
    <w:rsid w:val="009046AD"/>
    <w:rsid w:val="009052C0"/>
    <w:rsid w:val="00905516"/>
    <w:rsid w:val="00906249"/>
    <w:rsid w:val="00906E05"/>
    <w:rsid w:val="009070C0"/>
    <w:rsid w:val="00910070"/>
    <w:rsid w:val="0091018A"/>
    <w:rsid w:val="009101A6"/>
    <w:rsid w:val="009123CE"/>
    <w:rsid w:val="0091298E"/>
    <w:rsid w:val="00913CC0"/>
    <w:rsid w:val="009144AD"/>
    <w:rsid w:val="009155DC"/>
    <w:rsid w:val="00915ABA"/>
    <w:rsid w:val="0091646B"/>
    <w:rsid w:val="009164EF"/>
    <w:rsid w:val="00916542"/>
    <w:rsid w:val="00916AB2"/>
    <w:rsid w:val="009175A8"/>
    <w:rsid w:val="00920140"/>
    <w:rsid w:val="00920E3D"/>
    <w:rsid w:val="00921501"/>
    <w:rsid w:val="00921505"/>
    <w:rsid w:val="009217F0"/>
    <w:rsid w:val="00921EF8"/>
    <w:rsid w:val="0092203E"/>
    <w:rsid w:val="009224BF"/>
    <w:rsid w:val="009227C7"/>
    <w:rsid w:val="00922FB3"/>
    <w:rsid w:val="0092417F"/>
    <w:rsid w:val="00924AD1"/>
    <w:rsid w:val="009272CB"/>
    <w:rsid w:val="009274F3"/>
    <w:rsid w:val="00927AE5"/>
    <w:rsid w:val="0093067D"/>
    <w:rsid w:val="00930D47"/>
    <w:rsid w:val="00931931"/>
    <w:rsid w:val="00932C2B"/>
    <w:rsid w:val="00932C75"/>
    <w:rsid w:val="0093389C"/>
    <w:rsid w:val="00934DE9"/>
    <w:rsid w:val="00935527"/>
    <w:rsid w:val="00936236"/>
    <w:rsid w:val="009363E5"/>
    <w:rsid w:val="00936A2F"/>
    <w:rsid w:val="00936EAE"/>
    <w:rsid w:val="00940B6C"/>
    <w:rsid w:val="00940DEB"/>
    <w:rsid w:val="00941474"/>
    <w:rsid w:val="009419CE"/>
    <w:rsid w:val="00942199"/>
    <w:rsid w:val="00942AFF"/>
    <w:rsid w:val="00942FC3"/>
    <w:rsid w:val="00944013"/>
    <w:rsid w:val="0094416F"/>
    <w:rsid w:val="00944CBC"/>
    <w:rsid w:val="0094502F"/>
    <w:rsid w:val="00945F91"/>
    <w:rsid w:val="00945FB6"/>
    <w:rsid w:val="0094654F"/>
    <w:rsid w:val="00947939"/>
    <w:rsid w:val="0095000A"/>
    <w:rsid w:val="00950203"/>
    <w:rsid w:val="00950C28"/>
    <w:rsid w:val="00950D14"/>
    <w:rsid w:val="009511C9"/>
    <w:rsid w:val="00951515"/>
    <w:rsid w:val="0095182D"/>
    <w:rsid w:val="00951CC0"/>
    <w:rsid w:val="00952A84"/>
    <w:rsid w:val="009540D1"/>
    <w:rsid w:val="00954F6C"/>
    <w:rsid w:val="0095618A"/>
    <w:rsid w:val="009567F1"/>
    <w:rsid w:val="00957278"/>
    <w:rsid w:val="00957B04"/>
    <w:rsid w:val="00960222"/>
    <w:rsid w:val="00960A82"/>
    <w:rsid w:val="00960C9A"/>
    <w:rsid w:val="0096180D"/>
    <w:rsid w:val="00961C7F"/>
    <w:rsid w:val="0096305A"/>
    <w:rsid w:val="00963A77"/>
    <w:rsid w:val="00964D1E"/>
    <w:rsid w:val="00964EE7"/>
    <w:rsid w:val="009659FB"/>
    <w:rsid w:val="009669AF"/>
    <w:rsid w:val="00966C1E"/>
    <w:rsid w:val="00967716"/>
    <w:rsid w:val="00967737"/>
    <w:rsid w:val="0097056F"/>
    <w:rsid w:val="00970DCE"/>
    <w:rsid w:val="00972167"/>
    <w:rsid w:val="00972A47"/>
    <w:rsid w:val="00972E0F"/>
    <w:rsid w:val="009732B6"/>
    <w:rsid w:val="00973658"/>
    <w:rsid w:val="00973F69"/>
    <w:rsid w:val="009759E3"/>
    <w:rsid w:val="0097637E"/>
    <w:rsid w:val="00976E2B"/>
    <w:rsid w:val="0098025A"/>
    <w:rsid w:val="00980AEC"/>
    <w:rsid w:val="009814AF"/>
    <w:rsid w:val="009818F7"/>
    <w:rsid w:val="009840BF"/>
    <w:rsid w:val="009845E6"/>
    <w:rsid w:val="00985030"/>
    <w:rsid w:val="00985BD5"/>
    <w:rsid w:val="009860E1"/>
    <w:rsid w:val="009863FE"/>
    <w:rsid w:val="0098678E"/>
    <w:rsid w:val="00987A4F"/>
    <w:rsid w:val="00987C99"/>
    <w:rsid w:val="00990441"/>
    <w:rsid w:val="00991BED"/>
    <w:rsid w:val="009920BC"/>
    <w:rsid w:val="00992145"/>
    <w:rsid w:val="00992FC1"/>
    <w:rsid w:val="00993577"/>
    <w:rsid w:val="0099362E"/>
    <w:rsid w:val="00994411"/>
    <w:rsid w:val="00994628"/>
    <w:rsid w:val="00994C7A"/>
    <w:rsid w:val="00995597"/>
    <w:rsid w:val="00995CA7"/>
    <w:rsid w:val="00995EE6"/>
    <w:rsid w:val="00996D30"/>
    <w:rsid w:val="00996E74"/>
    <w:rsid w:val="00996EC3"/>
    <w:rsid w:val="00997563"/>
    <w:rsid w:val="00997690"/>
    <w:rsid w:val="009A03CE"/>
    <w:rsid w:val="009A0486"/>
    <w:rsid w:val="009A06DA"/>
    <w:rsid w:val="009A0DE2"/>
    <w:rsid w:val="009A1775"/>
    <w:rsid w:val="009A2197"/>
    <w:rsid w:val="009A223F"/>
    <w:rsid w:val="009A2B99"/>
    <w:rsid w:val="009A33EE"/>
    <w:rsid w:val="009A3BB1"/>
    <w:rsid w:val="009A3BDB"/>
    <w:rsid w:val="009A425D"/>
    <w:rsid w:val="009A4D6A"/>
    <w:rsid w:val="009A57BB"/>
    <w:rsid w:val="009A591E"/>
    <w:rsid w:val="009A6019"/>
    <w:rsid w:val="009A6290"/>
    <w:rsid w:val="009A66CE"/>
    <w:rsid w:val="009A684D"/>
    <w:rsid w:val="009A7434"/>
    <w:rsid w:val="009A76D9"/>
    <w:rsid w:val="009B0F3D"/>
    <w:rsid w:val="009B100B"/>
    <w:rsid w:val="009B1391"/>
    <w:rsid w:val="009B1780"/>
    <w:rsid w:val="009B1893"/>
    <w:rsid w:val="009B1E9D"/>
    <w:rsid w:val="009B24D4"/>
    <w:rsid w:val="009B2BA8"/>
    <w:rsid w:val="009B318D"/>
    <w:rsid w:val="009B35C3"/>
    <w:rsid w:val="009B520B"/>
    <w:rsid w:val="009B531B"/>
    <w:rsid w:val="009B5F51"/>
    <w:rsid w:val="009B6B0D"/>
    <w:rsid w:val="009B6D8E"/>
    <w:rsid w:val="009B7F7F"/>
    <w:rsid w:val="009C0644"/>
    <w:rsid w:val="009C069E"/>
    <w:rsid w:val="009C07B7"/>
    <w:rsid w:val="009C16EE"/>
    <w:rsid w:val="009C3554"/>
    <w:rsid w:val="009C3583"/>
    <w:rsid w:val="009C4EA7"/>
    <w:rsid w:val="009C5403"/>
    <w:rsid w:val="009C54A2"/>
    <w:rsid w:val="009C5B48"/>
    <w:rsid w:val="009C5D64"/>
    <w:rsid w:val="009C5EE6"/>
    <w:rsid w:val="009C674D"/>
    <w:rsid w:val="009C67CE"/>
    <w:rsid w:val="009C6AED"/>
    <w:rsid w:val="009C6CA6"/>
    <w:rsid w:val="009C6E32"/>
    <w:rsid w:val="009D04F0"/>
    <w:rsid w:val="009D06FD"/>
    <w:rsid w:val="009D0DE8"/>
    <w:rsid w:val="009D0FA1"/>
    <w:rsid w:val="009D180C"/>
    <w:rsid w:val="009D2153"/>
    <w:rsid w:val="009D2E7D"/>
    <w:rsid w:val="009D2EF5"/>
    <w:rsid w:val="009D2FEF"/>
    <w:rsid w:val="009D3365"/>
    <w:rsid w:val="009D4452"/>
    <w:rsid w:val="009D506E"/>
    <w:rsid w:val="009D52B4"/>
    <w:rsid w:val="009D542C"/>
    <w:rsid w:val="009D57E1"/>
    <w:rsid w:val="009D5F33"/>
    <w:rsid w:val="009D6254"/>
    <w:rsid w:val="009E03D3"/>
    <w:rsid w:val="009E0AE2"/>
    <w:rsid w:val="009E18CF"/>
    <w:rsid w:val="009E1E2C"/>
    <w:rsid w:val="009E2416"/>
    <w:rsid w:val="009E27D2"/>
    <w:rsid w:val="009E27E2"/>
    <w:rsid w:val="009E33DB"/>
    <w:rsid w:val="009E5D0C"/>
    <w:rsid w:val="009E7ABC"/>
    <w:rsid w:val="009E7FA9"/>
    <w:rsid w:val="009F01ED"/>
    <w:rsid w:val="009F18D8"/>
    <w:rsid w:val="009F1E89"/>
    <w:rsid w:val="009F2193"/>
    <w:rsid w:val="009F2482"/>
    <w:rsid w:val="009F264B"/>
    <w:rsid w:val="009F2C13"/>
    <w:rsid w:val="009F3861"/>
    <w:rsid w:val="009F3F8A"/>
    <w:rsid w:val="009F44EB"/>
    <w:rsid w:val="009F5546"/>
    <w:rsid w:val="009F58EC"/>
    <w:rsid w:val="009F596B"/>
    <w:rsid w:val="009F65A1"/>
    <w:rsid w:val="009F75BE"/>
    <w:rsid w:val="00A00489"/>
    <w:rsid w:val="00A0092B"/>
    <w:rsid w:val="00A021DC"/>
    <w:rsid w:val="00A023C0"/>
    <w:rsid w:val="00A03575"/>
    <w:rsid w:val="00A03BA7"/>
    <w:rsid w:val="00A04B63"/>
    <w:rsid w:val="00A05FF3"/>
    <w:rsid w:val="00A06758"/>
    <w:rsid w:val="00A06CD2"/>
    <w:rsid w:val="00A0794E"/>
    <w:rsid w:val="00A1173A"/>
    <w:rsid w:val="00A12557"/>
    <w:rsid w:val="00A128A8"/>
    <w:rsid w:val="00A134AD"/>
    <w:rsid w:val="00A141A6"/>
    <w:rsid w:val="00A14431"/>
    <w:rsid w:val="00A14EAD"/>
    <w:rsid w:val="00A157E1"/>
    <w:rsid w:val="00A15AE3"/>
    <w:rsid w:val="00A16776"/>
    <w:rsid w:val="00A1711A"/>
    <w:rsid w:val="00A17E9A"/>
    <w:rsid w:val="00A20F96"/>
    <w:rsid w:val="00A20FF0"/>
    <w:rsid w:val="00A21467"/>
    <w:rsid w:val="00A217F7"/>
    <w:rsid w:val="00A21DEB"/>
    <w:rsid w:val="00A22316"/>
    <w:rsid w:val="00A2232C"/>
    <w:rsid w:val="00A22E2B"/>
    <w:rsid w:val="00A2316C"/>
    <w:rsid w:val="00A23558"/>
    <w:rsid w:val="00A2389C"/>
    <w:rsid w:val="00A23C1A"/>
    <w:rsid w:val="00A24847"/>
    <w:rsid w:val="00A2693D"/>
    <w:rsid w:val="00A275FA"/>
    <w:rsid w:val="00A2768E"/>
    <w:rsid w:val="00A27781"/>
    <w:rsid w:val="00A31FA3"/>
    <w:rsid w:val="00A32173"/>
    <w:rsid w:val="00A32893"/>
    <w:rsid w:val="00A328ED"/>
    <w:rsid w:val="00A32D20"/>
    <w:rsid w:val="00A32DAF"/>
    <w:rsid w:val="00A34064"/>
    <w:rsid w:val="00A34117"/>
    <w:rsid w:val="00A35593"/>
    <w:rsid w:val="00A35768"/>
    <w:rsid w:val="00A35954"/>
    <w:rsid w:val="00A35FD4"/>
    <w:rsid w:val="00A370B8"/>
    <w:rsid w:val="00A371A7"/>
    <w:rsid w:val="00A37399"/>
    <w:rsid w:val="00A37693"/>
    <w:rsid w:val="00A376F1"/>
    <w:rsid w:val="00A37D37"/>
    <w:rsid w:val="00A40199"/>
    <w:rsid w:val="00A43A39"/>
    <w:rsid w:val="00A43D7C"/>
    <w:rsid w:val="00A43E87"/>
    <w:rsid w:val="00A44FD1"/>
    <w:rsid w:val="00A4545E"/>
    <w:rsid w:val="00A45AFF"/>
    <w:rsid w:val="00A460FC"/>
    <w:rsid w:val="00A46BA2"/>
    <w:rsid w:val="00A46D13"/>
    <w:rsid w:val="00A503A5"/>
    <w:rsid w:val="00A5184F"/>
    <w:rsid w:val="00A5249F"/>
    <w:rsid w:val="00A52B46"/>
    <w:rsid w:val="00A5308D"/>
    <w:rsid w:val="00A53253"/>
    <w:rsid w:val="00A5330F"/>
    <w:rsid w:val="00A533B2"/>
    <w:rsid w:val="00A535E2"/>
    <w:rsid w:val="00A547C9"/>
    <w:rsid w:val="00A54E45"/>
    <w:rsid w:val="00A5513D"/>
    <w:rsid w:val="00A5604F"/>
    <w:rsid w:val="00A562A6"/>
    <w:rsid w:val="00A57296"/>
    <w:rsid w:val="00A57EDC"/>
    <w:rsid w:val="00A6012B"/>
    <w:rsid w:val="00A611F7"/>
    <w:rsid w:val="00A616B0"/>
    <w:rsid w:val="00A62518"/>
    <w:rsid w:val="00A63C2A"/>
    <w:rsid w:val="00A64077"/>
    <w:rsid w:val="00A6425B"/>
    <w:rsid w:val="00A6499A"/>
    <w:rsid w:val="00A64CD7"/>
    <w:rsid w:val="00A65388"/>
    <w:rsid w:val="00A659BA"/>
    <w:rsid w:val="00A65D5C"/>
    <w:rsid w:val="00A65F95"/>
    <w:rsid w:val="00A67641"/>
    <w:rsid w:val="00A67F9F"/>
    <w:rsid w:val="00A67FA8"/>
    <w:rsid w:val="00A70218"/>
    <w:rsid w:val="00A7046D"/>
    <w:rsid w:val="00A7107E"/>
    <w:rsid w:val="00A71B2F"/>
    <w:rsid w:val="00A72013"/>
    <w:rsid w:val="00A72DF4"/>
    <w:rsid w:val="00A72E06"/>
    <w:rsid w:val="00A7330C"/>
    <w:rsid w:val="00A73403"/>
    <w:rsid w:val="00A735BF"/>
    <w:rsid w:val="00A739E8"/>
    <w:rsid w:val="00A7473F"/>
    <w:rsid w:val="00A74805"/>
    <w:rsid w:val="00A74CA8"/>
    <w:rsid w:val="00A75136"/>
    <w:rsid w:val="00A75437"/>
    <w:rsid w:val="00A75494"/>
    <w:rsid w:val="00A75CFD"/>
    <w:rsid w:val="00A76A40"/>
    <w:rsid w:val="00A76D33"/>
    <w:rsid w:val="00A80985"/>
    <w:rsid w:val="00A81276"/>
    <w:rsid w:val="00A812C4"/>
    <w:rsid w:val="00A83475"/>
    <w:rsid w:val="00A83888"/>
    <w:rsid w:val="00A848A8"/>
    <w:rsid w:val="00A848DB"/>
    <w:rsid w:val="00A850A5"/>
    <w:rsid w:val="00A860CF"/>
    <w:rsid w:val="00A870E2"/>
    <w:rsid w:val="00A903A5"/>
    <w:rsid w:val="00A90FB3"/>
    <w:rsid w:val="00A91057"/>
    <w:rsid w:val="00A91C9E"/>
    <w:rsid w:val="00A92637"/>
    <w:rsid w:val="00A93827"/>
    <w:rsid w:val="00A93A1E"/>
    <w:rsid w:val="00A93B5C"/>
    <w:rsid w:val="00A93E62"/>
    <w:rsid w:val="00A94599"/>
    <w:rsid w:val="00A9494F"/>
    <w:rsid w:val="00A954E5"/>
    <w:rsid w:val="00A96B13"/>
    <w:rsid w:val="00A96CDF"/>
    <w:rsid w:val="00A97A13"/>
    <w:rsid w:val="00A97DDE"/>
    <w:rsid w:val="00AA00E1"/>
    <w:rsid w:val="00AA0B19"/>
    <w:rsid w:val="00AA0BE9"/>
    <w:rsid w:val="00AA1087"/>
    <w:rsid w:val="00AA1299"/>
    <w:rsid w:val="00AA1690"/>
    <w:rsid w:val="00AA1AD0"/>
    <w:rsid w:val="00AA30FA"/>
    <w:rsid w:val="00AA32D2"/>
    <w:rsid w:val="00AA3667"/>
    <w:rsid w:val="00AA50F0"/>
    <w:rsid w:val="00AA514E"/>
    <w:rsid w:val="00AA54DF"/>
    <w:rsid w:val="00AA600F"/>
    <w:rsid w:val="00AA6673"/>
    <w:rsid w:val="00AA7496"/>
    <w:rsid w:val="00AA761C"/>
    <w:rsid w:val="00AA7648"/>
    <w:rsid w:val="00AA7F51"/>
    <w:rsid w:val="00AB0328"/>
    <w:rsid w:val="00AB050B"/>
    <w:rsid w:val="00AB2056"/>
    <w:rsid w:val="00AB2571"/>
    <w:rsid w:val="00AB2D4B"/>
    <w:rsid w:val="00AB2DEB"/>
    <w:rsid w:val="00AB3DD5"/>
    <w:rsid w:val="00AB44AC"/>
    <w:rsid w:val="00AB4E27"/>
    <w:rsid w:val="00AB5A07"/>
    <w:rsid w:val="00AB6399"/>
    <w:rsid w:val="00AB7CD3"/>
    <w:rsid w:val="00AC01FD"/>
    <w:rsid w:val="00AC06AF"/>
    <w:rsid w:val="00AC0754"/>
    <w:rsid w:val="00AC0A59"/>
    <w:rsid w:val="00AC1085"/>
    <w:rsid w:val="00AC1519"/>
    <w:rsid w:val="00AC170E"/>
    <w:rsid w:val="00AC28FE"/>
    <w:rsid w:val="00AC2A6E"/>
    <w:rsid w:val="00AC3534"/>
    <w:rsid w:val="00AC40BF"/>
    <w:rsid w:val="00AC4719"/>
    <w:rsid w:val="00AC4B6D"/>
    <w:rsid w:val="00AC4C14"/>
    <w:rsid w:val="00AC4E7F"/>
    <w:rsid w:val="00AC52EF"/>
    <w:rsid w:val="00AC5769"/>
    <w:rsid w:val="00AC607C"/>
    <w:rsid w:val="00AC6166"/>
    <w:rsid w:val="00AC670E"/>
    <w:rsid w:val="00AC69AC"/>
    <w:rsid w:val="00AC6A35"/>
    <w:rsid w:val="00AC6D4B"/>
    <w:rsid w:val="00AC73A0"/>
    <w:rsid w:val="00AC74C1"/>
    <w:rsid w:val="00AC7813"/>
    <w:rsid w:val="00AC7D92"/>
    <w:rsid w:val="00AD010D"/>
    <w:rsid w:val="00AD0F76"/>
    <w:rsid w:val="00AD1766"/>
    <w:rsid w:val="00AD1DC1"/>
    <w:rsid w:val="00AD29FF"/>
    <w:rsid w:val="00AD2CAA"/>
    <w:rsid w:val="00AD3BBA"/>
    <w:rsid w:val="00AD41AA"/>
    <w:rsid w:val="00AD4F26"/>
    <w:rsid w:val="00AD53CB"/>
    <w:rsid w:val="00AD5FCB"/>
    <w:rsid w:val="00AD629E"/>
    <w:rsid w:val="00AD69AF"/>
    <w:rsid w:val="00AD6DE3"/>
    <w:rsid w:val="00AD6E05"/>
    <w:rsid w:val="00AE0B93"/>
    <w:rsid w:val="00AE1B09"/>
    <w:rsid w:val="00AE1C4C"/>
    <w:rsid w:val="00AE298A"/>
    <w:rsid w:val="00AE30FB"/>
    <w:rsid w:val="00AE38AD"/>
    <w:rsid w:val="00AE5205"/>
    <w:rsid w:val="00AE550C"/>
    <w:rsid w:val="00AE5615"/>
    <w:rsid w:val="00AE5B1C"/>
    <w:rsid w:val="00AE66DA"/>
    <w:rsid w:val="00AE6D8C"/>
    <w:rsid w:val="00AE7363"/>
    <w:rsid w:val="00AE742B"/>
    <w:rsid w:val="00AE74FE"/>
    <w:rsid w:val="00AE7C58"/>
    <w:rsid w:val="00AE7CAC"/>
    <w:rsid w:val="00AF0A7E"/>
    <w:rsid w:val="00AF0BDD"/>
    <w:rsid w:val="00AF0E2D"/>
    <w:rsid w:val="00AF1C18"/>
    <w:rsid w:val="00AF1EC2"/>
    <w:rsid w:val="00AF2904"/>
    <w:rsid w:val="00AF2C97"/>
    <w:rsid w:val="00AF327C"/>
    <w:rsid w:val="00AF35E1"/>
    <w:rsid w:val="00AF3EB5"/>
    <w:rsid w:val="00AF4136"/>
    <w:rsid w:val="00AF44C3"/>
    <w:rsid w:val="00AF5A27"/>
    <w:rsid w:val="00AF5FD4"/>
    <w:rsid w:val="00B0052C"/>
    <w:rsid w:val="00B00536"/>
    <w:rsid w:val="00B00A80"/>
    <w:rsid w:val="00B014AE"/>
    <w:rsid w:val="00B01685"/>
    <w:rsid w:val="00B01989"/>
    <w:rsid w:val="00B0216F"/>
    <w:rsid w:val="00B0275E"/>
    <w:rsid w:val="00B03097"/>
    <w:rsid w:val="00B04530"/>
    <w:rsid w:val="00B0508B"/>
    <w:rsid w:val="00B05A61"/>
    <w:rsid w:val="00B05FF1"/>
    <w:rsid w:val="00B06E1D"/>
    <w:rsid w:val="00B07791"/>
    <w:rsid w:val="00B10B09"/>
    <w:rsid w:val="00B10C19"/>
    <w:rsid w:val="00B10CDC"/>
    <w:rsid w:val="00B10F1C"/>
    <w:rsid w:val="00B1108F"/>
    <w:rsid w:val="00B1238A"/>
    <w:rsid w:val="00B1243B"/>
    <w:rsid w:val="00B13776"/>
    <w:rsid w:val="00B1382B"/>
    <w:rsid w:val="00B148EA"/>
    <w:rsid w:val="00B14F7F"/>
    <w:rsid w:val="00B156A9"/>
    <w:rsid w:val="00B15BD4"/>
    <w:rsid w:val="00B16F44"/>
    <w:rsid w:val="00B17AB2"/>
    <w:rsid w:val="00B17D2A"/>
    <w:rsid w:val="00B17F6B"/>
    <w:rsid w:val="00B20868"/>
    <w:rsid w:val="00B2193A"/>
    <w:rsid w:val="00B21F8F"/>
    <w:rsid w:val="00B22567"/>
    <w:rsid w:val="00B226DE"/>
    <w:rsid w:val="00B24096"/>
    <w:rsid w:val="00B242AF"/>
    <w:rsid w:val="00B242FE"/>
    <w:rsid w:val="00B247E2"/>
    <w:rsid w:val="00B2514F"/>
    <w:rsid w:val="00B261A2"/>
    <w:rsid w:val="00B26F9C"/>
    <w:rsid w:val="00B279AC"/>
    <w:rsid w:val="00B300A8"/>
    <w:rsid w:val="00B303E6"/>
    <w:rsid w:val="00B30BAB"/>
    <w:rsid w:val="00B310D1"/>
    <w:rsid w:val="00B316D2"/>
    <w:rsid w:val="00B31AA8"/>
    <w:rsid w:val="00B326C7"/>
    <w:rsid w:val="00B32D1A"/>
    <w:rsid w:val="00B332DB"/>
    <w:rsid w:val="00B3395D"/>
    <w:rsid w:val="00B35AD3"/>
    <w:rsid w:val="00B364F0"/>
    <w:rsid w:val="00B36A30"/>
    <w:rsid w:val="00B36ABC"/>
    <w:rsid w:val="00B36FB8"/>
    <w:rsid w:val="00B37027"/>
    <w:rsid w:val="00B37996"/>
    <w:rsid w:val="00B37C48"/>
    <w:rsid w:val="00B4022B"/>
    <w:rsid w:val="00B407EF"/>
    <w:rsid w:val="00B40EB1"/>
    <w:rsid w:val="00B41170"/>
    <w:rsid w:val="00B41594"/>
    <w:rsid w:val="00B41C05"/>
    <w:rsid w:val="00B41FAA"/>
    <w:rsid w:val="00B4236D"/>
    <w:rsid w:val="00B42815"/>
    <w:rsid w:val="00B43E91"/>
    <w:rsid w:val="00B446B9"/>
    <w:rsid w:val="00B44E1E"/>
    <w:rsid w:val="00B45C1F"/>
    <w:rsid w:val="00B46451"/>
    <w:rsid w:val="00B46ECA"/>
    <w:rsid w:val="00B473EA"/>
    <w:rsid w:val="00B5084D"/>
    <w:rsid w:val="00B5130D"/>
    <w:rsid w:val="00B5184D"/>
    <w:rsid w:val="00B51DAD"/>
    <w:rsid w:val="00B52CDA"/>
    <w:rsid w:val="00B531D5"/>
    <w:rsid w:val="00B53BDF"/>
    <w:rsid w:val="00B53E0A"/>
    <w:rsid w:val="00B54918"/>
    <w:rsid w:val="00B55807"/>
    <w:rsid w:val="00B55951"/>
    <w:rsid w:val="00B55A14"/>
    <w:rsid w:val="00B5613D"/>
    <w:rsid w:val="00B5651B"/>
    <w:rsid w:val="00B566D6"/>
    <w:rsid w:val="00B57DEE"/>
    <w:rsid w:val="00B620E2"/>
    <w:rsid w:val="00B6230C"/>
    <w:rsid w:val="00B625B6"/>
    <w:rsid w:val="00B625F0"/>
    <w:rsid w:val="00B62BE6"/>
    <w:rsid w:val="00B632FC"/>
    <w:rsid w:val="00B64888"/>
    <w:rsid w:val="00B650DB"/>
    <w:rsid w:val="00B65346"/>
    <w:rsid w:val="00B65B58"/>
    <w:rsid w:val="00B65C5E"/>
    <w:rsid w:val="00B65F9E"/>
    <w:rsid w:val="00B67731"/>
    <w:rsid w:val="00B67D93"/>
    <w:rsid w:val="00B70F6E"/>
    <w:rsid w:val="00B715CB"/>
    <w:rsid w:val="00B71F87"/>
    <w:rsid w:val="00B73168"/>
    <w:rsid w:val="00B732D2"/>
    <w:rsid w:val="00B73ADA"/>
    <w:rsid w:val="00B73C2D"/>
    <w:rsid w:val="00B75728"/>
    <w:rsid w:val="00B763D3"/>
    <w:rsid w:val="00B76493"/>
    <w:rsid w:val="00B77086"/>
    <w:rsid w:val="00B7764E"/>
    <w:rsid w:val="00B77A66"/>
    <w:rsid w:val="00B77C26"/>
    <w:rsid w:val="00B77F22"/>
    <w:rsid w:val="00B8057E"/>
    <w:rsid w:val="00B80600"/>
    <w:rsid w:val="00B81362"/>
    <w:rsid w:val="00B8196F"/>
    <w:rsid w:val="00B81BEE"/>
    <w:rsid w:val="00B81C19"/>
    <w:rsid w:val="00B82390"/>
    <w:rsid w:val="00B82452"/>
    <w:rsid w:val="00B828EE"/>
    <w:rsid w:val="00B830BA"/>
    <w:rsid w:val="00B83CA7"/>
    <w:rsid w:val="00B83E68"/>
    <w:rsid w:val="00B8406D"/>
    <w:rsid w:val="00B8463D"/>
    <w:rsid w:val="00B84731"/>
    <w:rsid w:val="00B84CDD"/>
    <w:rsid w:val="00B85535"/>
    <w:rsid w:val="00B8555E"/>
    <w:rsid w:val="00B85D60"/>
    <w:rsid w:val="00B873CD"/>
    <w:rsid w:val="00B878CC"/>
    <w:rsid w:val="00B90286"/>
    <w:rsid w:val="00B90B96"/>
    <w:rsid w:val="00B91E06"/>
    <w:rsid w:val="00B93DDB"/>
    <w:rsid w:val="00B94E49"/>
    <w:rsid w:val="00B95275"/>
    <w:rsid w:val="00B954DB"/>
    <w:rsid w:val="00B95AF5"/>
    <w:rsid w:val="00B95C52"/>
    <w:rsid w:val="00B968EA"/>
    <w:rsid w:val="00B96BF4"/>
    <w:rsid w:val="00B97818"/>
    <w:rsid w:val="00BA01C2"/>
    <w:rsid w:val="00BA0885"/>
    <w:rsid w:val="00BA08F0"/>
    <w:rsid w:val="00BA1845"/>
    <w:rsid w:val="00BA20C0"/>
    <w:rsid w:val="00BA2F2B"/>
    <w:rsid w:val="00BA3277"/>
    <w:rsid w:val="00BA3573"/>
    <w:rsid w:val="00BA3790"/>
    <w:rsid w:val="00BA3F01"/>
    <w:rsid w:val="00BA4117"/>
    <w:rsid w:val="00BA44A9"/>
    <w:rsid w:val="00BA5406"/>
    <w:rsid w:val="00BA64DA"/>
    <w:rsid w:val="00BA6B7A"/>
    <w:rsid w:val="00BA7001"/>
    <w:rsid w:val="00BA74D0"/>
    <w:rsid w:val="00BA7991"/>
    <w:rsid w:val="00BA7EEA"/>
    <w:rsid w:val="00BB07F1"/>
    <w:rsid w:val="00BB2199"/>
    <w:rsid w:val="00BB2C9D"/>
    <w:rsid w:val="00BB2E91"/>
    <w:rsid w:val="00BB2F5D"/>
    <w:rsid w:val="00BB42BD"/>
    <w:rsid w:val="00BB4946"/>
    <w:rsid w:val="00BB5313"/>
    <w:rsid w:val="00BB5474"/>
    <w:rsid w:val="00BB7385"/>
    <w:rsid w:val="00BB768B"/>
    <w:rsid w:val="00BC10A9"/>
    <w:rsid w:val="00BC1551"/>
    <w:rsid w:val="00BC259C"/>
    <w:rsid w:val="00BC29DA"/>
    <w:rsid w:val="00BC31E9"/>
    <w:rsid w:val="00BC3A8C"/>
    <w:rsid w:val="00BC43AB"/>
    <w:rsid w:val="00BC5074"/>
    <w:rsid w:val="00BC5FA7"/>
    <w:rsid w:val="00BC5FCE"/>
    <w:rsid w:val="00BC60AF"/>
    <w:rsid w:val="00BC610D"/>
    <w:rsid w:val="00BC68FF"/>
    <w:rsid w:val="00BC742A"/>
    <w:rsid w:val="00BD0339"/>
    <w:rsid w:val="00BD0D8A"/>
    <w:rsid w:val="00BD293E"/>
    <w:rsid w:val="00BD376E"/>
    <w:rsid w:val="00BD38C1"/>
    <w:rsid w:val="00BD3E3A"/>
    <w:rsid w:val="00BD43E5"/>
    <w:rsid w:val="00BD46F8"/>
    <w:rsid w:val="00BD4CE2"/>
    <w:rsid w:val="00BD4E0A"/>
    <w:rsid w:val="00BD5840"/>
    <w:rsid w:val="00BD5895"/>
    <w:rsid w:val="00BD5D09"/>
    <w:rsid w:val="00BD5EEB"/>
    <w:rsid w:val="00BD6224"/>
    <w:rsid w:val="00BD65CB"/>
    <w:rsid w:val="00BD68FB"/>
    <w:rsid w:val="00BD6BDB"/>
    <w:rsid w:val="00BD79EE"/>
    <w:rsid w:val="00BD7F03"/>
    <w:rsid w:val="00BE045E"/>
    <w:rsid w:val="00BE05C3"/>
    <w:rsid w:val="00BE0B8E"/>
    <w:rsid w:val="00BE0CF5"/>
    <w:rsid w:val="00BE1291"/>
    <w:rsid w:val="00BE1B7D"/>
    <w:rsid w:val="00BE1CD1"/>
    <w:rsid w:val="00BE1D19"/>
    <w:rsid w:val="00BE2523"/>
    <w:rsid w:val="00BE277B"/>
    <w:rsid w:val="00BE2AEF"/>
    <w:rsid w:val="00BE321D"/>
    <w:rsid w:val="00BE35F0"/>
    <w:rsid w:val="00BE4857"/>
    <w:rsid w:val="00BE4CF8"/>
    <w:rsid w:val="00BE507E"/>
    <w:rsid w:val="00BE513C"/>
    <w:rsid w:val="00BE58EF"/>
    <w:rsid w:val="00BE5F99"/>
    <w:rsid w:val="00BE6360"/>
    <w:rsid w:val="00BE639C"/>
    <w:rsid w:val="00BE6A7C"/>
    <w:rsid w:val="00BE74DB"/>
    <w:rsid w:val="00BE7760"/>
    <w:rsid w:val="00BE7863"/>
    <w:rsid w:val="00BE79DC"/>
    <w:rsid w:val="00BF0FB3"/>
    <w:rsid w:val="00BF1B59"/>
    <w:rsid w:val="00BF1D35"/>
    <w:rsid w:val="00BF1F57"/>
    <w:rsid w:val="00BF22BD"/>
    <w:rsid w:val="00BF5174"/>
    <w:rsid w:val="00BF596F"/>
    <w:rsid w:val="00BF635D"/>
    <w:rsid w:val="00BF7485"/>
    <w:rsid w:val="00BF7D84"/>
    <w:rsid w:val="00C0013E"/>
    <w:rsid w:val="00C01B90"/>
    <w:rsid w:val="00C0234C"/>
    <w:rsid w:val="00C02626"/>
    <w:rsid w:val="00C02DEC"/>
    <w:rsid w:val="00C035D8"/>
    <w:rsid w:val="00C04F43"/>
    <w:rsid w:val="00C061BA"/>
    <w:rsid w:val="00C06256"/>
    <w:rsid w:val="00C06581"/>
    <w:rsid w:val="00C071F8"/>
    <w:rsid w:val="00C073E0"/>
    <w:rsid w:val="00C07728"/>
    <w:rsid w:val="00C07CAC"/>
    <w:rsid w:val="00C10405"/>
    <w:rsid w:val="00C1089F"/>
    <w:rsid w:val="00C10971"/>
    <w:rsid w:val="00C109B3"/>
    <w:rsid w:val="00C118A3"/>
    <w:rsid w:val="00C12444"/>
    <w:rsid w:val="00C12B5F"/>
    <w:rsid w:val="00C12DAC"/>
    <w:rsid w:val="00C13377"/>
    <w:rsid w:val="00C13439"/>
    <w:rsid w:val="00C1348C"/>
    <w:rsid w:val="00C139B9"/>
    <w:rsid w:val="00C13DC6"/>
    <w:rsid w:val="00C142EB"/>
    <w:rsid w:val="00C144F4"/>
    <w:rsid w:val="00C14C40"/>
    <w:rsid w:val="00C1598C"/>
    <w:rsid w:val="00C15F05"/>
    <w:rsid w:val="00C16F2C"/>
    <w:rsid w:val="00C1715D"/>
    <w:rsid w:val="00C177B1"/>
    <w:rsid w:val="00C17FE0"/>
    <w:rsid w:val="00C20590"/>
    <w:rsid w:val="00C207BD"/>
    <w:rsid w:val="00C2095D"/>
    <w:rsid w:val="00C20999"/>
    <w:rsid w:val="00C2172A"/>
    <w:rsid w:val="00C21F89"/>
    <w:rsid w:val="00C22405"/>
    <w:rsid w:val="00C22420"/>
    <w:rsid w:val="00C23AC0"/>
    <w:rsid w:val="00C24808"/>
    <w:rsid w:val="00C25496"/>
    <w:rsid w:val="00C25910"/>
    <w:rsid w:val="00C2609E"/>
    <w:rsid w:val="00C269CC"/>
    <w:rsid w:val="00C26FBA"/>
    <w:rsid w:val="00C26FCE"/>
    <w:rsid w:val="00C2720B"/>
    <w:rsid w:val="00C30B31"/>
    <w:rsid w:val="00C3123C"/>
    <w:rsid w:val="00C3178A"/>
    <w:rsid w:val="00C317A3"/>
    <w:rsid w:val="00C31C00"/>
    <w:rsid w:val="00C31D50"/>
    <w:rsid w:val="00C3249C"/>
    <w:rsid w:val="00C32AE7"/>
    <w:rsid w:val="00C332FE"/>
    <w:rsid w:val="00C33981"/>
    <w:rsid w:val="00C34127"/>
    <w:rsid w:val="00C347FE"/>
    <w:rsid w:val="00C34B38"/>
    <w:rsid w:val="00C34C57"/>
    <w:rsid w:val="00C34D6A"/>
    <w:rsid w:val="00C35208"/>
    <w:rsid w:val="00C355F3"/>
    <w:rsid w:val="00C35B18"/>
    <w:rsid w:val="00C368F7"/>
    <w:rsid w:val="00C371DF"/>
    <w:rsid w:val="00C37B7E"/>
    <w:rsid w:val="00C37D71"/>
    <w:rsid w:val="00C4006F"/>
    <w:rsid w:val="00C40105"/>
    <w:rsid w:val="00C402BF"/>
    <w:rsid w:val="00C402D3"/>
    <w:rsid w:val="00C40709"/>
    <w:rsid w:val="00C40C59"/>
    <w:rsid w:val="00C41CAD"/>
    <w:rsid w:val="00C42196"/>
    <w:rsid w:val="00C4292F"/>
    <w:rsid w:val="00C439BD"/>
    <w:rsid w:val="00C43F0F"/>
    <w:rsid w:val="00C44375"/>
    <w:rsid w:val="00C44B75"/>
    <w:rsid w:val="00C44C0E"/>
    <w:rsid w:val="00C45251"/>
    <w:rsid w:val="00C45529"/>
    <w:rsid w:val="00C4616F"/>
    <w:rsid w:val="00C46287"/>
    <w:rsid w:val="00C462F8"/>
    <w:rsid w:val="00C467A4"/>
    <w:rsid w:val="00C47F07"/>
    <w:rsid w:val="00C50BEE"/>
    <w:rsid w:val="00C50EEC"/>
    <w:rsid w:val="00C51450"/>
    <w:rsid w:val="00C51917"/>
    <w:rsid w:val="00C51B8C"/>
    <w:rsid w:val="00C52265"/>
    <w:rsid w:val="00C52310"/>
    <w:rsid w:val="00C52751"/>
    <w:rsid w:val="00C527CC"/>
    <w:rsid w:val="00C52A74"/>
    <w:rsid w:val="00C534D4"/>
    <w:rsid w:val="00C54E25"/>
    <w:rsid w:val="00C55157"/>
    <w:rsid w:val="00C555A4"/>
    <w:rsid w:val="00C55CC3"/>
    <w:rsid w:val="00C56ACC"/>
    <w:rsid w:val="00C56B5A"/>
    <w:rsid w:val="00C575B6"/>
    <w:rsid w:val="00C617F5"/>
    <w:rsid w:val="00C63413"/>
    <w:rsid w:val="00C63517"/>
    <w:rsid w:val="00C63A60"/>
    <w:rsid w:val="00C63C19"/>
    <w:rsid w:val="00C64421"/>
    <w:rsid w:val="00C64618"/>
    <w:rsid w:val="00C64EAE"/>
    <w:rsid w:val="00C65004"/>
    <w:rsid w:val="00C66166"/>
    <w:rsid w:val="00C66C24"/>
    <w:rsid w:val="00C66D40"/>
    <w:rsid w:val="00C67047"/>
    <w:rsid w:val="00C6749F"/>
    <w:rsid w:val="00C67FA0"/>
    <w:rsid w:val="00C70AFB"/>
    <w:rsid w:val="00C70C08"/>
    <w:rsid w:val="00C70D4E"/>
    <w:rsid w:val="00C72AD9"/>
    <w:rsid w:val="00C7364D"/>
    <w:rsid w:val="00C736EF"/>
    <w:rsid w:val="00C73B4C"/>
    <w:rsid w:val="00C7456F"/>
    <w:rsid w:val="00C7493D"/>
    <w:rsid w:val="00C7528C"/>
    <w:rsid w:val="00C754DF"/>
    <w:rsid w:val="00C75AE8"/>
    <w:rsid w:val="00C75EAE"/>
    <w:rsid w:val="00C7654D"/>
    <w:rsid w:val="00C76B8E"/>
    <w:rsid w:val="00C7709F"/>
    <w:rsid w:val="00C77AD6"/>
    <w:rsid w:val="00C77AE7"/>
    <w:rsid w:val="00C77DD3"/>
    <w:rsid w:val="00C80061"/>
    <w:rsid w:val="00C805C2"/>
    <w:rsid w:val="00C80CD9"/>
    <w:rsid w:val="00C80E61"/>
    <w:rsid w:val="00C80F9B"/>
    <w:rsid w:val="00C81749"/>
    <w:rsid w:val="00C83239"/>
    <w:rsid w:val="00C84325"/>
    <w:rsid w:val="00C84D4A"/>
    <w:rsid w:val="00C85CC5"/>
    <w:rsid w:val="00C85CFA"/>
    <w:rsid w:val="00C86D9C"/>
    <w:rsid w:val="00C8782A"/>
    <w:rsid w:val="00C90084"/>
    <w:rsid w:val="00C904C8"/>
    <w:rsid w:val="00C9090A"/>
    <w:rsid w:val="00C909C4"/>
    <w:rsid w:val="00C913FC"/>
    <w:rsid w:val="00C922D8"/>
    <w:rsid w:val="00C92777"/>
    <w:rsid w:val="00C92BC9"/>
    <w:rsid w:val="00C92C7C"/>
    <w:rsid w:val="00C92CDF"/>
    <w:rsid w:val="00C92D38"/>
    <w:rsid w:val="00C932D4"/>
    <w:rsid w:val="00C9331B"/>
    <w:rsid w:val="00C9341D"/>
    <w:rsid w:val="00C941CB"/>
    <w:rsid w:val="00C94E10"/>
    <w:rsid w:val="00C94F4C"/>
    <w:rsid w:val="00C95CD6"/>
    <w:rsid w:val="00C95D27"/>
    <w:rsid w:val="00C9654C"/>
    <w:rsid w:val="00C96FB6"/>
    <w:rsid w:val="00CA04D2"/>
    <w:rsid w:val="00CA2DCE"/>
    <w:rsid w:val="00CA3DDA"/>
    <w:rsid w:val="00CA42FA"/>
    <w:rsid w:val="00CA4858"/>
    <w:rsid w:val="00CA4FE7"/>
    <w:rsid w:val="00CA50CB"/>
    <w:rsid w:val="00CA5890"/>
    <w:rsid w:val="00CA5A53"/>
    <w:rsid w:val="00CA5E0A"/>
    <w:rsid w:val="00CA6868"/>
    <w:rsid w:val="00CB014B"/>
    <w:rsid w:val="00CB1F9E"/>
    <w:rsid w:val="00CB26AF"/>
    <w:rsid w:val="00CB2AE6"/>
    <w:rsid w:val="00CB2B30"/>
    <w:rsid w:val="00CB328E"/>
    <w:rsid w:val="00CB38C7"/>
    <w:rsid w:val="00CB3AB5"/>
    <w:rsid w:val="00CB4019"/>
    <w:rsid w:val="00CB422C"/>
    <w:rsid w:val="00CB43B2"/>
    <w:rsid w:val="00CB4C33"/>
    <w:rsid w:val="00CB4CB5"/>
    <w:rsid w:val="00CB5C7E"/>
    <w:rsid w:val="00CB66F0"/>
    <w:rsid w:val="00CB6E4E"/>
    <w:rsid w:val="00CB7C8B"/>
    <w:rsid w:val="00CC001C"/>
    <w:rsid w:val="00CC076C"/>
    <w:rsid w:val="00CC0AE5"/>
    <w:rsid w:val="00CC0F5B"/>
    <w:rsid w:val="00CC139A"/>
    <w:rsid w:val="00CC1981"/>
    <w:rsid w:val="00CC1A08"/>
    <w:rsid w:val="00CC1C3F"/>
    <w:rsid w:val="00CC2830"/>
    <w:rsid w:val="00CC2F88"/>
    <w:rsid w:val="00CC3053"/>
    <w:rsid w:val="00CC3A5F"/>
    <w:rsid w:val="00CC533B"/>
    <w:rsid w:val="00CC55F6"/>
    <w:rsid w:val="00CD0542"/>
    <w:rsid w:val="00CD2038"/>
    <w:rsid w:val="00CD21D9"/>
    <w:rsid w:val="00CD2928"/>
    <w:rsid w:val="00CD3177"/>
    <w:rsid w:val="00CD3A59"/>
    <w:rsid w:val="00CD3B16"/>
    <w:rsid w:val="00CD3E36"/>
    <w:rsid w:val="00CD41C8"/>
    <w:rsid w:val="00CD4B20"/>
    <w:rsid w:val="00CD508B"/>
    <w:rsid w:val="00CD5D93"/>
    <w:rsid w:val="00CD6166"/>
    <w:rsid w:val="00CD64BE"/>
    <w:rsid w:val="00CD6537"/>
    <w:rsid w:val="00CD6A27"/>
    <w:rsid w:val="00CD6AC9"/>
    <w:rsid w:val="00CD707A"/>
    <w:rsid w:val="00CD751F"/>
    <w:rsid w:val="00CE027A"/>
    <w:rsid w:val="00CE1724"/>
    <w:rsid w:val="00CE17D3"/>
    <w:rsid w:val="00CE25A0"/>
    <w:rsid w:val="00CE36D6"/>
    <w:rsid w:val="00CE39F4"/>
    <w:rsid w:val="00CE3CA0"/>
    <w:rsid w:val="00CE406C"/>
    <w:rsid w:val="00CE410F"/>
    <w:rsid w:val="00CE49CE"/>
    <w:rsid w:val="00CE4BBA"/>
    <w:rsid w:val="00CE4BC7"/>
    <w:rsid w:val="00CE50C7"/>
    <w:rsid w:val="00CE50E4"/>
    <w:rsid w:val="00CE5170"/>
    <w:rsid w:val="00CE55A5"/>
    <w:rsid w:val="00CE58A8"/>
    <w:rsid w:val="00CE59F7"/>
    <w:rsid w:val="00CE5AFD"/>
    <w:rsid w:val="00CE68C1"/>
    <w:rsid w:val="00CE6D60"/>
    <w:rsid w:val="00CE7C3F"/>
    <w:rsid w:val="00CE7D64"/>
    <w:rsid w:val="00CE7ECE"/>
    <w:rsid w:val="00CF1A97"/>
    <w:rsid w:val="00CF20F3"/>
    <w:rsid w:val="00CF2B70"/>
    <w:rsid w:val="00CF375A"/>
    <w:rsid w:val="00CF45DC"/>
    <w:rsid w:val="00CF491E"/>
    <w:rsid w:val="00CF49F4"/>
    <w:rsid w:val="00CF55D2"/>
    <w:rsid w:val="00CF5EAC"/>
    <w:rsid w:val="00CF66AD"/>
    <w:rsid w:val="00CF67DE"/>
    <w:rsid w:val="00CF6ACF"/>
    <w:rsid w:val="00CF6E87"/>
    <w:rsid w:val="00CF73A0"/>
    <w:rsid w:val="00CF7869"/>
    <w:rsid w:val="00CF78D5"/>
    <w:rsid w:val="00D0027D"/>
    <w:rsid w:val="00D00BCC"/>
    <w:rsid w:val="00D0206F"/>
    <w:rsid w:val="00D03283"/>
    <w:rsid w:val="00D03408"/>
    <w:rsid w:val="00D03819"/>
    <w:rsid w:val="00D0558D"/>
    <w:rsid w:val="00D05F63"/>
    <w:rsid w:val="00D0614F"/>
    <w:rsid w:val="00D064F0"/>
    <w:rsid w:val="00D06DFB"/>
    <w:rsid w:val="00D0733C"/>
    <w:rsid w:val="00D0739C"/>
    <w:rsid w:val="00D076CF"/>
    <w:rsid w:val="00D07E35"/>
    <w:rsid w:val="00D1065B"/>
    <w:rsid w:val="00D10813"/>
    <w:rsid w:val="00D1085A"/>
    <w:rsid w:val="00D10CAF"/>
    <w:rsid w:val="00D10F59"/>
    <w:rsid w:val="00D1134D"/>
    <w:rsid w:val="00D11932"/>
    <w:rsid w:val="00D12057"/>
    <w:rsid w:val="00D124A7"/>
    <w:rsid w:val="00D13280"/>
    <w:rsid w:val="00D13586"/>
    <w:rsid w:val="00D14161"/>
    <w:rsid w:val="00D14F2E"/>
    <w:rsid w:val="00D14F78"/>
    <w:rsid w:val="00D15AFF"/>
    <w:rsid w:val="00D2021B"/>
    <w:rsid w:val="00D20E57"/>
    <w:rsid w:val="00D210DE"/>
    <w:rsid w:val="00D2142A"/>
    <w:rsid w:val="00D21A39"/>
    <w:rsid w:val="00D2292C"/>
    <w:rsid w:val="00D24C69"/>
    <w:rsid w:val="00D25A38"/>
    <w:rsid w:val="00D2606E"/>
    <w:rsid w:val="00D26571"/>
    <w:rsid w:val="00D265D3"/>
    <w:rsid w:val="00D268F9"/>
    <w:rsid w:val="00D27090"/>
    <w:rsid w:val="00D27311"/>
    <w:rsid w:val="00D308E2"/>
    <w:rsid w:val="00D30C37"/>
    <w:rsid w:val="00D30DFD"/>
    <w:rsid w:val="00D30F46"/>
    <w:rsid w:val="00D31971"/>
    <w:rsid w:val="00D31ED5"/>
    <w:rsid w:val="00D34239"/>
    <w:rsid w:val="00D3430F"/>
    <w:rsid w:val="00D34589"/>
    <w:rsid w:val="00D34CD2"/>
    <w:rsid w:val="00D34E5D"/>
    <w:rsid w:val="00D357AB"/>
    <w:rsid w:val="00D36150"/>
    <w:rsid w:val="00D36421"/>
    <w:rsid w:val="00D36AFF"/>
    <w:rsid w:val="00D36D42"/>
    <w:rsid w:val="00D37338"/>
    <w:rsid w:val="00D40B6B"/>
    <w:rsid w:val="00D40CA7"/>
    <w:rsid w:val="00D42645"/>
    <w:rsid w:val="00D42916"/>
    <w:rsid w:val="00D42ADB"/>
    <w:rsid w:val="00D43156"/>
    <w:rsid w:val="00D43812"/>
    <w:rsid w:val="00D43C16"/>
    <w:rsid w:val="00D4726D"/>
    <w:rsid w:val="00D47551"/>
    <w:rsid w:val="00D4774E"/>
    <w:rsid w:val="00D47B3F"/>
    <w:rsid w:val="00D47B7F"/>
    <w:rsid w:val="00D47C00"/>
    <w:rsid w:val="00D5028C"/>
    <w:rsid w:val="00D51E33"/>
    <w:rsid w:val="00D52238"/>
    <w:rsid w:val="00D522C3"/>
    <w:rsid w:val="00D53206"/>
    <w:rsid w:val="00D53B7B"/>
    <w:rsid w:val="00D547B0"/>
    <w:rsid w:val="00D54B7A"/>
    <w:rsid w:val="00D55BA2"/>
    <w:rsid w:val="00D55FB2"/>
    <w:rsid w:val="00D55FC6"/>
    <w:rsid w:val="00D570EF"/>
    <w:rsid w:val="00D62A9B"/>
    <w:rsid w:val="00D63050"/>
    <w:rsid w:val="00D635B7"/>
    <w:rsid w:val="00D63C86"/>
    <w:rsid w:val="00D63CD5"/>
    <w:rsid w:val="00D63F3A"/>
    <w:rsid w:val="00D64194"/>
    <w:rsid w:val="00D64C4B"/>
    <w:rsid w:val="00D64F6E"/>
    <w:rsid w:val="00D6520E"/>
    <w:rsid w:val="00D65B02"/>
    <w:rsid w:val="00D65EF7"/>
    <w:rsid w:val="00D6669F"/>
    <w:rsid w:val="00D670CD"/>
    <w:rsid w:val="00D67A91"/>
    <w:rsid w:val="00D67E6E"/>
    <w:rsid w:val="00D7021C"/>
    <w:rsid w:val="00D724E6"/>
    <w:rsid w:val="00D72D9C"/>
    <w:rsid w:val="00D733C6"/>
    <w:rsid w:val="00D739DF"/>
    <w:rsid w:val="00D74139"/>
    <w:rsid w:val="00D74A0C"/>
    <w:rsid w:val="00D74C92"/>
    <w:rsid w:val="00D74E86"/>
    <w:rsid w:val="00D7522C"/>
    <w:rsid w:val="00D759AA"/>
    <w:rsid w:val="00D75F05"/>
    <w:rsid w:val="00D761F0"/>
    <w:rsid w:val="00D764BC"/>
    <w:rsid w:val="00D7668C"/>
    <w:rsid w:val="00D76C14"/>
    <w:rsid w:val="00D76CF8"/>
    <w:rsid w:val="00D7778E"/>
    <w:rsid w:val="00D8016C"/>
    <w:rsid w:val="00D8049E"/>
    <w:rsid w:val="00D804D8"/>
    <w:rsid w:val="00D80A22"/>
    <w:rsid w:val="00D80CEA"/>
    <w:rsid w:val="00D80D15"/>
    <w:rsid w:val="00D80DDB"/>
    <w:rsid w:val="00D81688"/>
    <w:rsid w:val="00D827F0"/>
    <w:rsid w:val="00D82940"/>
    <w:rsid w:val="00D84A06"/>
    <w:rsid w:val="00D86050"/>
    <w:rsid w:val="00D86179"/>
    <w:rsid w:val="00D866A0"/>
    <w:rsid w:val="00D86D13"/>
    <w:rsid w:val="00D86FED"/>
    <w:rsid w:val="00D90D55"/>
    <w:rsid w:val="00D919DE"/>
    <w:rsid w:val="00D924D3"/>
    <w:rsid w:val="00D9357C"/>
    <w:rsid w:val="00D946F9"/>
    <w:rsid w:val="00D94937"/>
    <w:rsid w:val="00D94A4C"/>
    <w:rsid w:val="00D94EBF"/>
    <w:rsid w:val="00D9556E"/>
    <w:rsid w:val="00D959AE"/>
    <w:rsid w:val="00D96ED6"/>
    <w:rsid w:val="00D97656"/>
    <w:rsid w:val="00DA1525"/>
    <w:rsid w:val="00DA2241"/>
    <w:rsid w:val="00DA3200"/>
    <w:rsid w:val="00DA4273"/>
    <w:rsid w:val="00DA4819"/>
    <w:rsid w:val="00DA6DD3"/>
    <w:rsid w:val="00DA6F10"/>
    <w:rsid w:val="00DA6F96"/>
    <w:rsid w:val="00DA7ADD"/>
    <w:rsid w:val="00DA7B3D"/>
    <w:rsid w:val="00DB0361"/>
    <w:rsid w:val="00DB036C"/>
    <w:rsid w:val="00DB03E8"/>
    <w:rsid w:val="00DB044C"/>
    <w:rsid w:val="00DB2257"/>
    <w:rsid w:val="00DB23C8"/>
    <w:rsid w:val="00DB2BFA"/>
    <w:rsid w:val="00DB4841"/>
    <w:rsid w:val="00DB4EA5"/>
    <w:rsid w:val="00DB5029"/>
    <w:rsid w:val="00DB56E6"/>
    <w:rsid w:val="00DB69EF"/>
    <w:rsid w:val="00DB702A"/>
    <w:rsid w:val="00DB7111"/>
    <w:rsid w:val="00DB732B"/>
    <w:rsid w:val="00DB7536"/>
    <w:rsid w:val="00DB75B4"/>
    <w:rsid w:val="00DB76B4"/>
    <w:rsid w:val="00DB7AF2"/>
    <w:rsid w:val="00DB7C30"/>
    <w:rsid w:val="00DC09EB"/>
    <w:rsid w:val="00DC0BAF"/>
    <w:rsid w:val="00DC0E34"/>
    <w:rsid w:val="00DC11FB"/>
    <w:rsid w:val="00DC191D"/>
    <w:rsid w:val="00DC2359"/>
    <w:rsid w:val="00DC25CD"/>
    <w:rsid w:val="00DC2E6A"/>
    <w:rsid w:val="00DC3219"/>
    <w:rsid w:val="00DC3B9A"/>
    <w:rsid w:val="00DC3DDB"/>
    <w:rsid w:val="00DC45CD"/>
    <w:rsid w:val="00DC499D"/>
    <w:rsid w:val="00DC5ADC"/>
    <w:rsid w:val="00DC5E9F"/>
    <w:rsid w:val="00DC6661"/>
    <w:rsid w:val="00DC6876"/>
    <w:rsid w:val="00DC718D"/>
    <w:rsid w:val="00DC752B"/>
    <w:rsid w:val="00DC7D09"/>
    <w:rsid w:val="00DD0C0D"/>
    <w:rsid w:val="00DD2585"/>
    <w:rsid w:val="00DD27B2"/>
    <w:rsid w:val="00DD2B18"/>
    <w:rsid w:val="00DD3AE7"/>
    <w:rsid w:val="00DD42E0"/>
    <w:rsid w:val="00DD5495"/>
    <w:rsid w:val="00DD583A"/>
    <w:rsid w:val="00DD5DB9"/>
    <w:rsid w:val="00DD6821"/>
    <w:rsid w:val="00DD69F1"/>
    <w:rsid w:val="00DD6B8A"/>
    <w:rsid w:val="00DD6FEE"/>
    <w:rsid w:val="00DD703B"/>
    <w:rsid w:val="00DE0996"/>
    <w:rsid w:val="00DE1B7D"/>
    <w:rsid w:val="00DE2545"/>
    <w:rsid w:val="00DE2FA6"/>
    <w:rsid w:val="00DE30AC"/>
    <w:rsid w:val="00DE3172"/>
    <w:rsid w:val="00DE37EB"/>
    <w:rsid w:val="00DE4AD3"/>
    <w:rsid w:val="00DE53ED"/>
    <w:rsid w:val="00DE55A7"/>
    <w:rsid w:val="00DE5E4B"/>
    <w:rsid w:val="00DE623C"/>
    <w:rsid w:val="00DE62DC"/>
    <w:rsid w:val="00DE6336"/>
    <w:rsid w:val="00DE6605"/>
    <w:rsid w:val="00DE685A"/>
    <w:rsid w:val="00DE7AF2"/>
    <w:rsid w:val="00DE7C26"/>
    <w:rsid w:val="00DE7D31"/>
    <w:rsid w:val="00DF07DE"/>
    <w:rsid w:val="00DF082C"/>
    <w:rsid w:val="00DF09A0"/>
    <w:rsid w:val="00DF0BEC"/>
    <w:rsid w:val="00DF1040"/>
    <w:rsid w:val="00DF22A5"/>
    <w:rsid w:val="00DF2A27"/>
    <w:rsid w:val="00DF2AE2"/>
    <w:rsid w:val="00DF2B81"/>
    <w:rsid w:val="00DF3553"/>
    <w:rsid w:val="00DF4B48"/>
    <w:rsid w:val="00DF652D"/>
    <w:rsid w:val="00DF7723"/>
    <w:rsid w:val="00E0104A"/>
    <w:rsid w:val="00E023DB"/>
    <w:rsid w:val="00E02F9F"/>
    <w:rsid w:val="00E03E01"/>
    <w:rsid w:val="00E04AF4"/>
    <w:rsid w:val="00E04B6D"/>
    <w:rsid w:val="00E072CD"/>
    <w:rsid w:val="00E074C1"/>
    <w:rsid w:val="00E100A7"/>
    <w:rsid w:val="00E1376B"/>
    <w:rsid w:val="00E13C23"/>
    <w:rsid w:val="00E13E22"/>
    <w:rsid w:val="00E14269"/>
    <w:rsid w:val="00E14661"/>
    <w:rsid w:val="00E14ED0"/>
    <w:rsid w:val="00E1550D"/>
    <w:rsid w:val="00E15AFC"/>
    <w:rsid w:val="00E160CE"/>
    <w:rsid w:val="00E16533"/>
    <w:rsid w:val="00E17EEB"/>
    <w:rsid w:val="00E20871"/>
    <w:rsid w:val="00E21F5E"/>
    <w:rsid w:val="00E21FE3"/>
    <w:rsid w:val="00E220E4"/>
    <w:rsid w:val="00E2210E"/>
    <w:rsid w:val="00E2358D"/>
    <w:rsid w:val="00E2391F"/>
    <w:rsid w:val="00E24393"/>
    <w:rsid w:val="00E25698"/>
    <w:rsid w:val="00E2580C"/>
    <w:rsid w:val="00E25AA7"/>
    <w:rsid w:val="00E26E5B"/>
    <w:rsid w:val="00E274F6"/>
    <w:rsid w:val="00E27C10"/>
    <w:rsid w:val="00E27C5F"/>
    <w:rsid w:val="00E3052B"/>
    <w:rsid w:val="00E309B2"/>
    <w:rsid w:val="00E3140A"/>
    <w:rsid w:val="00E31646"/>
    <w:rsid w:val="00E31888"/>
    <w:rsid w:val="00E31C1A"/>
    <w:rsid w:val="00E31F06"/>
    <w:rsid w:val="00E322FB"/>
    <w:rsid w:val="00E32782"/>
    <w:rsid w:val="00E32A7B"/>
    <w:rsid w:val="00E32E4D"/>
    <w:rsid w:val="00E34A41"/>
    <w:rsid w:val="00E35A89"/>
    <w:rsid w:val="00E36B73"/>
    <w:rsid w:val="00E36C25"/>
    <w:rsid w:val="00E36FC1"/>
    <w:rsid w:val="00E371E1"/>
    <w:rsid w:val="00E377C8"/>
    <w:rsid w:val="00E402C2"/>
    <w:rsid w:val="00E4042C"/>
    <w:rsid w:val="00E4083C"/>
    <w:rsid w:val="00E408D4"/>
    <w:rsid w:val="00E40ABA"/>
    <w:rsid w:val="00E416B7"/>
    <w:rsid w:val="00E41C47"/>
    <w:rsid w:val="00E41F91"/>
    <w:rsid w:val="00E421EE"/>
    <w:rsid w:val="00E42CD4"/>
    <w:rsid w:val="00E43383"/>
    <w:rsid w:val="00E43582"/>
    <w:rsid w:val="00E438D0"/>
    <w:rsid w:val="00E4522A"/>
    <w:rsid w:val="00E45275"/>
    <w:rsid w:val="00E46514"/>
    <w:rsid w:val="00E46777"/>
    <w:rsid w:val="00E469E5"/>
    <w:rsid w:val="00E47B6B"/>
    <w:rsid w:val="00E47C0F"/>
    <w:rsid w:val="00E50F2C"/>
    <w:rsid w:val="00E51C36"/>
    <w:rsid w:val="00E52043"/>
    <w:rsid w:val="00E52649"/>
    <w:rsid w:val="00E537F2"/>
    <w:rsid w:val="00E53CFB"/>
    <w:rsid w:val="00E53E1F"/>
    <w:rsid w:val="00E541B6"/>
    <w:rsid w:val="00E5510F"/>
    <w:rsid w:val="00E554AE"/>
    <w:rsid w:val="00E55931"/>
    <w:rsid w:val="00E55D17"/>
    <w:rsid w:val="00E55DE0"/>
    <w:rsid w:val="00E561B7"/>
    <w:rsid w:val="00E56BD3"/>
    <w:rsid w:val="00E56F6C"/>
    <w:rsid w:val="00E603EE"/>
    <w:rsid w:val="00E6137E"/>
    <w:rsid w:val="00E6272F"/>
    <w:rsid w:val="00E628E6"/>
    <w:rsid w:val="00E62BC6"/>
    <w:rsid w:val="00E639E2"/>
    <w:rsid w:val="00E63F64"/>
    <w:rsid w:val="00E648F0"/>
    <w:rsid w:val="00E648FE"/>
    <w:rsid w:val="00E65461"/>
    <w:rsid w:val="00E65857"/>
    <w:rsid w:val="00E65E64"/>
    <w:rsid w:val="00E66268"/>
    <w:rsid w:val="00E667D6"/>
    <w:rsid w:val="00E67510"/>
    <w:rsid w:val="00E675E6"/>
    <w:rsid w:val="00E67636"/>
    <w:rsid w:val="00E67932"/>
    <w:rsid w:val="00E679CB"/>
    <w:rsid w:val="00E67AC7"/>
    <w:rsid w:val="00E704A3"/>
    <w:rsid w:val="00E70ABF"/>
    <w:rsid w:val="00E70B33"/>
    <w:rsid w:val="00E715D7"/>
    <w:rsid w:val="00E71A65"/>
    <w:rsid w:val="00E71D68"/>
    <w:rsid w:val="00E72954"/>
    <w:rsid w:val="00E748C8"/>
    <w:rsid w:val="00E74C87"/>
    <w:rsid w:val="00E74FCB"/>
    <w:rsid w:val="00E75767"/>
    <w:rsid w:val="00E75C35"/>
    <w:rsid w:val="00E75C5D"/>
    <w:rsid w:val="00E761AC"/>
    <w:rsid w:val="00E76464"/>
    <w:rsid w:val="00E77897"/>
    <w:rsid w:val="00E8086A"/>
    <w:rsid w:val="00E810CF"/>
    <w:rsid w:val="00E8150F"/>
    <w:rsid w:val="00E81E93"/>
    <w:rsid w:val="00E821AD"/>
    <w:rsid w:val="00E826F3"/>
    <w:rsid w:val="00E830BE"/>
    <w:rsid w:val="00E83AA7"/>
    <w:rsid w:val="00E8538A"/>
    <w:rsid w:val="00E8571D"/>
    <w:rsid w:val="00E85805"/>
    <w:rsid w:val="00E85BBD"/>
    <w:rsid w:val="00E85D61"/>
    <w:rsid w:val="00E861A5"/>
    <w:rsid w:val="00E86CCB"/>
    <w:rsid w:val="00E86DD1"/>
    <w:rsid w:val="00E871E7"/>
    <w:rsid w:val="00E905AC"/>
    <w:rsid w:val="00E90D35"/>
    <w:rsid w:val="00E90D39"/>
    <w:rsid w:val="00E9159E"/>
    <w:rsid w:val="00E91A4B"/>
    <w:rsid w:val="00E92827"/>
    <w:rsid w:val="00E928F5"/>
    <w:rsid w:val="00E928FC"/>
    <w:rsid w:val="00E92F0E"/>
    <w:rsid w:val="00E93104"/>
    <w:rsid w:val="00E93385"/>
    <w:rsid w:val="00E9375F"/>
    <w:rsid w:val="00E93F55"/>
    <w:rsid w:val="00E9421A"/>
    <w:rsid w:val="00E94EAA"/>
    <w:rsid w:val="00E953B7"/>
    <w:rsid w:val="00E9646C"/>
    <w:rsid w:val="00E968BB"/>
    <w:rsid w:val="00E96C17"/>
    <w:rsid w:val="00E97765"/>
    <w:rsid w:val="00EA0E72"/>
    <w:rsid w:val="00EA1E19"/>
    <w:rsid w:val="00EA2AA8"/>
    <w:rsid w:val="00EA2E82"/>
    <w:rsid w:val="00EA390A"/>
    <w:rsid w:val="00EA3935"/>
    <w:rsid w:val="00EA417A"/>
    <w:rsid w:val="00EA4EE0"/>
    <w:rsid w:val="00EA575F"/>
    <w:rsid w:val="00EA5A29"/>
    <w:rsid w:val="00EA5D2C"/>
    <w:rsid w:val="00EA6593"/>
    <w:rsid w:val="00EA67C4"/>
    <w:rsid w:val="00EA78F0"/>
    <w:rsid w:val="00EB0350"/>
    <w:rsid w:val="00EB0661"/>
    <w:rsid w:val="00EB0EF0"/>
    <w:rsid w:val="00EB1CCB"/>
    <w:rsid w:val="00EB29CD"/>
    <w:rsid w:val="00EB33B4"/>
    <w:rsid w:val="00EB41AF"/>
    <w:rsid w:val="00EB42A0"/>
    <w:rsid w:val="00EB464A"/>
    <w:rsid w:val="00EB548C"/>
    <w:rsid w:val="00EB5F68"/>
    <w:rsid w:val="00EB62FB"/>
    <w:rsid w:val="00EB6396"/>
    <w:rsid w:val="00EB7049"/>
    <w:rsid w:val="00EB7434"/>
    <w:rsid w:val="00EB7465"/>
    <w:rsid w:val="00EC04E9"/>
    <w:rsid w:val="00EC0A26"/>
    <w:rsid w:val="00EC1900"/>
    <w:rsid w:val="00EC3005"/>
    <w:rsid w:val="00EC3702"/>
    <w:rsid w:val="00EC3795"/>
    <w:rsid w:val="00EC4164"/>
    <w:rsid w:val="00EC43FA"/>
    <w:rsid w:val="00EC456C"/>
    <w:rsid w:val="00EC4616"/>
    <w:rsid w:val="00EC4809"/>
    <w:rsid w:val="00EC48D5"/>
    <w:rsid w:val="00EC4C7E"/>
    <w:rsid w:val="00EC57FF"/>
    <w:rsid w:val="00EC59C5"/>
    <w:rsid w:val="00EC6AE9"/>
    <w:rsid w:val="00EC7B44"/>
    <w:rsid w:val="00ED0AAA"/>
    <w:rsid w:val="00ED2237"/>
    <w:rsid w:val="00ED3EED"/>
    <w:rsid w:val="00ED3F10"/>
    <w:rsid w:val="00ED5D6F"/>
    <w:rsid w:val="00ED7B83"/>
    <w:rsid w:val="00ED7B88"/>
    <w:rsid w:val="00EE004D"/>
    <w:rsid w:val="00EE023B"/>
    <w:rsid w:val="00EE038D"/>
    <w:rsid w:val="00EE0812"/>
    <w:rsid w:val="00EE0B0C"/>
    <w:rsid w:val="00EE120D"/>
    <w:rsid w:val="00EE1CD8"/>
    <w:rsid w:val="00EE1EAB"/>
    <w:rsid w:val="00EE1F21"/>
    <w:rsid w:val="00EE2208"/>
    <w:rsid w:val="00EE305F"/>
    <w:rsid w:val="00EE3C56"/>
    <w:rsid w:val="00EE3FE4"/>
    <w:rsid w:val="00EE5377"/>
    <w:rsid w:val="00EE54EB"/>
    <w:rsid w:val="00EE60B0"/>
    <w:rsid w:val="00EE694B"/>
    <w:rsid w:val="00EE714A"/>
    <w:rsid w:val="00EE73C0"/>
    <w:rsid w:val="00EE7994"/>
    <w:rsid w:val="00EF0C3E"/>
    <w:rsid w:val="00EF2223"/>
    <w:rsid w:val="00EF2B11"/>
    <w:rsid w:val="00EF3132"/>
    <w:rsid w:val="00EF3E95"/>
    <w:rsid w:val="00EF4DFE"/>
    <w:rsid w:val="00EF6781"/>
    <w:rsid w:val="00EF714D"/>
    <w:rsid w:val="00EF749B"/>
    <w:rsid w:val="00EF7C3F"/>
    <w:rsid w:val="00F00991"/>
    <w:rsid w:val="00F01079"/>
    <w:rsid w:val="00F015E1"/>
    <w:rsid w:val="00F019DA"/>
    <w:rsid w:val="00F01ADA"/>
    <w:rsid w:val="00F029CA"/>
    <w:rsid w:val="00F03ABD"/>
    <w:rsid w:val="00F03DA5"/>
    <w:rsid w:val="00F04002"/>
    <w:rsid w:val="00F06245"/>
    <w:rsid w:val="00F06DAB"/>
    <w:rsid w:val="00F0754A"/>
    <w:rsid w:val="00F11BCD"/>
    <w:rsid w:val="00F1251F"/>
    <w:rsid w:val="00F12C4B"/>
    <w:rsid w:val="00F12CF4"/>
    <w:rsid w:val="00F131A0"/>
    <w:rsid w:val="00F13C32"/>
    <w:rsid w:val="00F15413"/>
    <w:rsid w:val="00F1548E"/>
    <w:rsid w:val="00F160C5"/>
    <w:rsid w:val="00F1749F"/>
    <w:rsid w:val="00F17678"/>
    <w:rsid w:val="00F179CD"/>
    <w:rsid w:val="00F17E20"/>
    <w:rsid w:val="00F202BC"/>
    <w:rsid w:val="00F20C7D"/>
    <w:rsid w:val="00F21E3A"/>
    <w:rsid w:val="00F223C7"/>
    <w:rsid w:val="00F22BF4"/>
    <w:rsid w:val="00F22DD0"/>
    <w:rsid w:val="00F2307A"/>
    <w:rsid w:val="00F23BC6"/>
    <w:rsid w:val="00F23BF9"/>
    <w:rsid w:val="00F24EEA"/>
    <w:rsid w:val="00F25464"/>
    <w:rsid w:val="00F255F2"/>
    <w:rsid w:val="00F25BCE"/>
    <w:rsid w:val="00F25C31"/>
    <w:rsid w:val="00F25EE2"/>
    <w:rsid w:val="00F264FD"/>
    <w:rsid w:val="00F26C9A"/>
    <w:rsid w:val="00F26F5F"/>
    <w:rsid w:val="00F27019"/>
    <w:rsid w:val="00F27BA7"/>
    <w:rsid w:val="00F309F9"/>
    <w:rsid w:val="00F30CF2"/>
    <w:rsid w:val="00F30F9C"/>
    <w:rsid w:val="00F31904"/>
    <w:rsid w:val="00F31E86"/>
    <w:rsid w:val="00F31EDC"/>
    <w:rsid w:val="00F330B2"/>
    <w:rsid w:val="00F338F8"/>
    <w:rsid w:val="00F33CA4"/>
    <w:rsid w:val="00F3501A"/>
    <w:rsid w:val="00F3535E"/>
    <w:rsid w:val="00F355DA"/>
    <w:rsid w:val="00F3606A"/>
    <w:rsid w:val="00F36B89"/>
    <w:rsid w:val="00F416B4"/>
    <w:rsid w:val="00F41766"/>
    <w:rsid w:val="00F41F6E"/>
    <w:rsid w:val="00F42C35"/>
    <w:rsid w:val="00F42FE5"/>
    <w:rsid w:val="00F4320C"/>
    <w:rsid w:val="00F43B47"/>
    <w:rsid w:val="00F447C8"/>
    <w:rsid w:val="00F45221"/>
    <w:rsid w:val="00F45713"/>
    <w:rsid w:val="00F45766"/>
    <w:rsid w:val="00F4615C"/>
    <w:rsid w:val="00F472F4"/>
    <w:rsid w:val="00F4748B"/>
    <w:rsid w:val="00F475C2"/>
    <w:rsid w:val="00F47742"/>
    <w:rsid w:val="00F47E4D"/>
    <w:rsid w:val="00F50027"/>
    <w:rsid w:val="00F518C9"/>
    <w:rsid w:val="00F52066"/>
    <w:rsid w:val="00F520F1"/>
    <w:rsid w:val="00F52271"/>
    <w:rsid w:val="00F5248B"/>
    <w:rsid w:val="00F52768"/>
    <w:rsid w:val="00F5311D"/>
    <w:rsid w:val="00F53398"/>
    <w:rsid w:val="00F53A1F"/>
    <w:rsid w:val="00F53ED9"/>
    <w:rsid w:val="00F53F28"/>
    <w:rsid w:val="00F54198"/>
    <w:rsid w:val="00F54367"/>
    <w:rsid w:val="00F55E57"/>
    <w:rsid w:val="00F56A09"/>
    <w:rsid w:val="00F572EA"/>
    <w:rsid w:val="00F576F4"/>
    <w:rsid w:val="00F5778C"/>
    <w:rsid w:val="00F57F16"/>
    <w:rsid w:val="00F6011A"/>
    <w:rsid w:val="00F60133"/>
    <w:rsid w:val="00F61108"/>
    <w:rsid w:val="00F61F5A"/>
    <w:rsid w:val="00F630C7"/>
    <w:rsid w:val="00F6396E"/>
    <w:rsid w:val="00F63C7F"/>
    <w:rsid w:val="00F645CC"/>
    <w:rsid w:val="00F65B71"/>
    <w:rsid w:val="00F65B85"/>
    <w:rsid w:val="00F65DAF"/>
    <w:rsid w:val="00F65E56"/>
    <w:rsid w:val="00F662EA"/>
    <w:rsid w:val="00F66414"/>
    <w:rsid w:val="00F66546"/>
    <w:rsid w:val="00F6691B"/>
    <w:rsid w:val="00F67199"/>
    <w:rsid w:val="00F676AE"/>
    <w:rsid w:val="00F67757"/>
    <w:rsid w:val="00F7025F"/>
    <w:rsid w:val="00F7173D"/>
    <w:rsid w:val="00F71931"/>
    <w:rsid w:val="00F7205E"/>
    <w:rsid w:val="00F72B9A"/>
    <w:rsid w:val="00F736F2"/>
    <w:rsid w:val="00F7385E"/>
    <w:rsid w:val="00F74EAE"/>
    <w:rsid w:val="00F75199"/>
    <w:rsid w:val="00F752BB"/>
    <w:rsid w:val="00F75D5D"/>
    <w:rsid w:val="00F75E3E"/>
    <w:rsid w:val="00F760BF"/>
    <w:rsid w:val="00F7657B"/>
    <w:rsid w:val="00F7712F"/>
    <w:rsid w:val="00F77793"/>
    <w:rsid w:val="00F77F8B"/>
    <w:rsid w:val="00F80724"/>
    <w:rsid w:val="00F81B0C"/>
    <w:rsid w:val="00F825E5"/>
    <w:rsid w:val="00F8284F"/>
    <w:rsid w:val="00F829FC"/>
    <w:rsid w:val="00F835F4"/>
    <w:rsid w:val="00F83F24"/>
    <w:rsid w:val="00F84255"/>
    <w:rsid w:val="00F84456"/>
    <w:rsid w:val="00F84716"/>
    <w:rsid w:val="00F8478B"/>
    <w:rsid w:val="00F84E2A"/>
    <w:rsid w:val="00F84F70"/>
    <w:rsid w:val="00F8507B"/>
    <w:rsid w:val="00F856EA"/>
    <w:rsid w:val="00F85DF7"/>
    <w:rsid w:val="00F86473"/>
    <w:rsid w:val="00F8791F"/>
    <w:rsid w:val="00F90F36"/>
    <w:rsid w:val="00F913E9"/>
    <w:rsid w:val="00F91F6A"/>
    <w:rsid w:val="00F9258C"/>
    <w:rsid w:val="00F925F8"/>
    <w:rsid w:val="00F92972"/>
    <w:rsid w:val="00F92CF5"/>
    <w:rsid w:val="00F93088"/>
    <w:rsid w:val="00F9340C"/>
    <w:rsid w:val="00F938E7"/>
    <w:rsid w:val="00F9511B"/>
    <w:rsid w:val="00F95B53"/>
    <w:rsid w:val="00F97587"/>
    <w:rsid w:val="00F978C6"/>
    <w:rsid w:val="00FA0817"/>
    <w:rsid w:val="00FA0AD6"/>
    <w:rsid w:val="00FA1C2B"/>
    <w:rsid w:val="00FA1F46"/>
    <w:rsid w:val="00FA27A3"/>
    <w:rsid w:val="00FA30F0"/>
    <w:rsid w:val="00FA3889"/>
    <w:rsid w:val="00FA3EF5"/>
    <w:rsid w:val="00FA4499"/>
    <w:rsid w:val="00FA44F4"/>
    <w:rsid w:val="00FA468B"/>
    <w:rsid w:val="00FA49E5"/>
    <w:rsid w:val="00FA514E"/>
    <w:rsid w:val="00FA6099"/>
    <w:rsid w:val="00FA709D"/>
    <w:rsid w:val="00FA70EE"/>
    <w:rsid w:val="00FA732C"/>
    <w:rsid w:val="00FA7628"/>
    <w:rsid w:val="00FB019D"/>
    <w:rsid w:val="00FB085D"/>
    <w:rsid w:val="00FB0D04"/>
    <w:rsid w:val="00FB1C28"/>
    <w:rsid w:val="00FB1F47"/>
    <w:rsid w:val="00FB24D0"/>
    <w:rsid w:val="00FB27C2"/>
    <w:rsid w:val="00FB3712"/>
    <w:rsid w:val="00FB4833"/>
    <w:rsid w:val="00FB6651"/>
    <w:rsid w:val="00FB6688"/>
    <w:rsid w:val="00FB6FA8"/>
    <w:rsid w:val="00FB78B5"/>
    <w:rsid w:val="00FB7965"/>
    <w:rsid w:val="00FB7AF3"/>
    <w:rsid w:val="00FC0E62"/>
    <w:rsid w:val="00FC0F66"/>
    <w:rsid w:val="00FC106E"/>
    <w:rsid w:val="00FC12B9"/>
    <w:rsid w:val="00FC19B5"/>
    <w:rsid w:val="00FC2107"/>
    <w:rsid w:val="00FC25A4"/>
    <w:rsid w:val="00FC2AF8"/>
    <w:rsid w:val="00FC30A0"/>
    <w:rsid w:val="00FC3192"/>
    <w:rsid w:val="00FC3194"/>
    <w:rsid w:val="00FC32D8"/>
    <w:rsid w:val="00FC3700"/>
    <w:rsid w:val="00FC3A5D"/>
    <w:rsid w:val="00FC3EF7"/>
    <w:rsid w:val="00FC5089"/>
    <w:rsid w:val="00FC56F2"/>
    <w:rsid w:val="00FC6255"/>
    <w:rsid w:val="00FC66BE"/>
    <w:rsid w:val="00FC693D"/>
    <w:rsid w:val="00FC69B4"/>
    <w:rsid w:val="00FC6A45"/>
    <w:rsid w:val="00FC7518"/>
    <w:rsid w:val="00FC7CE4"/>
    <w:rsid w:val="00FD03F6"/>
    <w:rsid w:val="00FD05F7"/>
    <w:rsid w:val="00FD0740"/>
    <w:rsid w:val="00FD1124"/>
    <w:rsid w:val="00FD127F"/>
    <w:rsid w:val="00FD1585"/>
    <w:rsid w:val="00FD1675"/>
    <w:rsid w:val="00FD3BE0"/>
    <w:rsid w:val="00FD454E"/>
    <w:rsid w:val="00FD6453"/>
    <w:rsid w:val="00FD653F"/>
    <w:rsid w:val="00FD6BD7"/>
    <w:rsid w:val="00FE0B31"/>
    <w:rsid w:val="00FE0F59"/>
    <w:rsid w:val="00FE1959"/>
    <w:rsid w:val="00FE2586"/>
    <w:rsid w:val="00FE2649"/>
    <w:rsid w:val="00FE2FF6"/>
    <w:rsid w:val="00FE571D"/>
    <w:rsid w:val="00FE79D5"/>
    <w:rsid w:val="00FE7BEE"/>
    <w:rsid w:val="00FE7C99"/>
    <w:rsid w:val="00FF045B"/>
    <w:rsid w:val="00FF085B"/>
    <w:rsid w:val="00FF08FE"/>
    <w:rsid w:val="00FF139B"/>
    <w:rsid w:val="00FF1D9E"/>
    <w:rsid w:val="00FF35A0"/>
    <w:rsid w:val="00FF3CE2"/>
    <w:rsid w:val="00FF4107"/>
    <w:rsid w:val="00FF411E"/>
    <w:rsid w:val="00FF5BC9"/>
    <w:rsid w:val="00FF6FA7"/>
    <w:rsid w:val="027050EB"/>
    <w:rsid w:val="089D68EE"/>
    <w:rsid w:val="0984ECEA"/>
    <w:rsid w:val="0A5CA68F"/>
    <w:rsid w:val="0DA683BF"/>
    <w:rsid w:val="100F3EEF"/>
    <w:rsid w:val="138BBC62"/>
    <w:rsid w:val="17260BA1"/>
    <w:rsid w:val="1759662F"/>
    <w:rsid w:val="1F80BE99"/>
    <w:rsid w:val="21181A3B"/>
    <w:rsid w:val="2789E477"/>
    <w:rsid w:val="2CA6CBBC"/>
    <w:rsid w:val="31D36DE3"/>
    <w:rsid w:val="343575AE"/>
    <w:rsid w:val="3D302F3A"/>
    <w:rsid w:val="3FF3E8DE"/>
    <w:rsid w:val="420AFA7B"/>
    <w:rsid w:val="450EF5B9"/>
    <w:rsid w:val="4EEB7921"/>
    <w:rsid w:val="50910C16"/>
    <w:rsid w:val="53BC15D8"/>
    <w:rsid w:val="55127594"/>
    <w:rsid w:val="57B7DB02"/>
    <w:rsid w:val="5D882964"/>
    <w:rsid w:val="659FDED2"/>
    <w:rsid w:val="6B08F62F"/>
    <w:rsid w:val="6B6203C5"/>
    <w:rsid w:val="6D45E188"/>
    <w:rsid w:val="6EB1E3AC"/>
    <w:rsid w:val="70F71CC9"/>
    <w:rsid w:val="7274B609"/>
    <w:rsid w:val="758EC1B6"/>
    <w:rsid w:val="761DD4D9"/>
    <w:rsid w:val="79904006"/>
    <w:rsid w:val="7B57FA16"/>
    <w:rsid w:val="7D40AEE9"/>
    <w:rsid w:val="7D68291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docId w15:val="{CAE3B675-B896-4A1B-A6C7-E9513733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2E99"/>
    <w:pPr>
      <w:spacing w:after="0" w:line="360" w:lineRule="auto"/>
      <w:jc w:val="both"/>
    </w:pPr>
    <w:rPr>
      <w:rFonts w:ascii="Times New Roman" w:hAnsi="Times New Roman"/>
      <w:sz w:val="24"/>
    </w:rPr>
  </w:style>
  <w:style w:type="paragraph" w:styleId="Ttulo1">
    <w:name w:val="heading 1"/>
    <w:aliases w:val="Nivel 1 APA"/>
    <w:basedOn w:val="Normal"/>
    <w:next w:val="Normal"/>
    <w:link w:val="Ttulo1Car"/>
    <w:uiPriority w:val="9"/>
    <w:qFormat/>
    <w:rsid w:val="00263B16"/>
    <w:pPr>
      <w:keepNext/>
      <w:keepLines/>
      <w:numPr>
        <w:numId w:val="49"/>
      </w:numPr>
      <w:spacing w:line="480" w:lineRule="auto"/>
      <w:ind w:left="431" w:hanging="431"/>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794091"/>
    <w:pPr>
      <w:keepNext/>
      <w:keepLines/>
      <w:numPr>
        <w:ilvl w:val="1"/>
        <w:numId w:val="49"/>
      </w:numPr>
      <w:spacing w:line="480" w:lineRule="auto"/>
      <w:ind w:left="578" w:hanging="578"/>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F2307A"/>
    <w:pPr>
      <w:keepNext/>
      <w:keepLines/>
      <w:numPr>
        <w:ilvl w:val="2"/>
        <w:numId w:val="49"/>
      </w:numPr>
      <w:spacing w:line="480" w:lineRule="auto"/>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F2307A"/>
    <w:pPr>
      <w:keepNext/>
      <w:keepLines/>
      <w:numPr>
        <w:ilvl w:val="3"/>
        <w:numId w:val="49"/>
      </w:numPr>
      <w:spacing w:line="480" w:lineRule="auto"/>
      <w:ind w:left="0" w:firstLine="720"/>
      <w:jc w:val="left"/>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BA3790"/>
    <w:pPr>
      <w:keepNext/>
      <w:keepLines/>
      <w:numPr>
        <w:ilvl w:val="4"/>
        <w:numId w:val="49"/>
      </w:numPr>
      <w:spacing w:line="480" w:lineRule="auto"/>
      <w:ind w:left="0" w:firstLine="720"/>
      <w:jc w:val="left"/>
      <w:outlineLvl w:val="4"/>
    </w:pPr>
    <w:rPr>
      <w:rFonts w:eastAsiaTheme="majorEastAsia" w:cstheme="majorBidi"/>
      <w:b/>
      <w:i/>
    </w:rPr>
  </w:style>
  <w:style w:type="paragraph" w:styleId="Ttulo6">
    <w:name w:val="heading 6"/>
    <w:basedOn w:val="Normal"/>
    <w:next w:val="Normal"/>
    <w:link w:val="Ttulo6Car"/>
    <w:uiPriority w:val="9"/>
    <w:unhideWhenUsed/>
    <w:qFormat/>
    <w:rsid w:val="005B4DCC"/>
    <w:pPr>
      <w:keepNext/>
      <w:keepLines/>
      <w:numPr>
        <w:ilvl w:val="5"/>
        <w:numId w:val="49"/>
      </w:numPr>
      <w:spacing w:before="40"/>
      <w:outlineLvl w:val="5"/>
    </w:pPr>
    <w:rPr>
      <w:rFonts w:asciiTheme="majorHAnsi" w:eastAsiaTheme="majorEastAsia" w:hAnsiTheme="majorHAnsi" w:cstheme="majorBidi"/>
      <w:color w:val="6E6E6E" w:themeColor="accent1" w:themeShade="7F"/>
    </w:rPr>
  </w:style>
  <w:style w:type="paragraph" w:styleId="Ttulo7">
    <w:name w:val="heading 7"/>
    <w:basedOn w:val="Normal"/>
    <w:next w:val="Normal"/>
    <w:link w:val="Ttulo7Car"/>
    <w:uiPriority w:val="9"/>
    <w:unhideWhenUsed/>
    <w:qFormat/>
    <w:rsid w:val="005B4DCC"/>
    <w:pPr>
      <w:keepNext/>
      <w:keepLines/>
      <w:numPr>
        <w:ilvl w:val="6"/>
        <w:numId w:val="49"/>
      </w:numPr>
      <w:spacing w:before="40"/>
      <w:outlineLvl w:val="6"/>
    </w:pPr>
    <w:rPr>
      <w:rFonts w:asciiTheme="majorHAnsi" w:eastAsiaTheme="majorEastAsia" w:hAnsiTheme="majorHAnsi" w:cstheme="majorBidi"/>
      <w:i/>
      <w:iCs/>
      <w:color w:val="6E6E6E" w:themeColor="accent1" w:themeShade="7F"/>
    </w:rPr>
  </w:style>
  <w:style w:type="paragraph" w:styleId="Ttulo8">
    <w:name w:val="heading 8"/>
    <w:basedOn w:val="Normal"/>
    <w:next w:val="Normal"/>
    <w:link w:val="Ttulo8Car"/>
    <w:uiPriority w:val="9"/>
    <w:semiHidden/>
    <w:unhideWhenUsed/>
    <w:qFormat/>
    <w:rsid w:val="005B4DCC"/>
    <w:pPr>
      <w:keepNext/>
      <w:keepLines/>
      <w:numPr>
        <w:ilvl w:val="7"/>
        <w:numId w:val="49"/>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B4DCC"/>
    <w:pPr>
      <w:keepNext/>
      <w:keepLines/>
      <w:numPr>
        <w:ilvl w:val="8"/>
        <w:numId w:val="4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APA Car"/>
    <w:basedOn w:val="Fuentedeprrafopredeter"/>
    <w:link w:val="Ttulo1"/>
    <w:uiPriority w:val="9"/>
    <w:rsid w:val="00263B16"/>
    <w:rPr>
      <w:rFonts w:ascii="Times New Roman" w:eastAsiaTheme="majorEastAsia" w:hAnsi="Times New Roman" w:cstheme="majorBidi"/>
      <w:b/>
      <w:sz w:val="24"/>
      <w:szCs w:val="32"/>
    </w:rPr>
  </w:style>
  <w:style w:type="character" w:customStyle="1" w:styleId="Ttulo2Car">
    <w:name w:val="Título 2 Car"/>
    <w:aliases w:val="Nivel 2 APA Car"/>
    <w:basedOn w:val="Fuentedeprrafopredeter"/>
    <w:link w:val="Ttulo2"/>
    <w:uiPriority w:val="9"/>
    <w:rsid w:val="00794091"/>
    <w:rPr>
      <w:rFonts w:ascii="Times New Roman" w:eastAsiaTheme="majorEastAsia" w:hAnsi="Times New Roman" w:cstheme="majorBidi"/>
      <w:b/>
      <w:sz w:val="24"/>
      <w:szCs w:val="26"/>
    </w:rPr>
  </w:style>
  <w:style w:type="character" w:customStyle="1" w:styleId="Ttulo3Car">
    <w:name w:val="Título 3 Car"/>
    <w:aliases w:val="Nivel 3 APA Car"/>
    <w:basedOn w:val="Fuentedeprrafopredeter"/>
    <w:link w:val="Ttulo3"/>
    <w:uiPriority w:val="9"/>
    <w:rsid w:val="00F2307A"/>
    <w:rPr>
      <w:rFonts w:ascii="Times New Roman" w:eastAsiaTheme="majorEastAsia" w:hAnsi="Times New Roman" w:cstheme="majorBidi"/>
      <w:b/>
      <w:i/>
      <w:sz w:val="24"/>
      <w:szCs w:val="24"/>
    </w:rPr>
  </w:style>
  <w:style w:type="character" w:customStyle="1" w:styleId="Ttulo4Car">
    <w:name w:val="Título 4 Car"/>
    <w:aliases w:val="Nivel 4 APA Car"/>
    <w:basedOn w:val="Fuentedeprrafopredeter"/>
    <w:link w:val="Ttulo4"/>
    <w:uiPriority w:val="9"/>
    <w:rsid w:val="00F2307A"/>
    <w:rPr>
      <w:rFonts w:ascii="Times New Roman" w:eastAsiaTheme="majorEastAsia" w:hAnsi="Times New Roman" w:cstheme="majorBidi"/>
      <w:b/>
      <w:iCs/>
      <w:sz w:val="24"/>
    </w:rPr>
  </w:style>
  <w:style w:type="paragraph" w:styleId="TtuloTDC">
    <w:name w:val="TOC Heading"/>
    <w:basedOn w:val="Ttulo1"/>
    <w:next w:val="Normal"/>
    <w:uiPriority w:val="39"/>
    <w:unhideWhenUsed/>
    <w:qFormat/>
    <w:rsid w:val="00C909C4"/>
    <w:pPr>
      <w:outlineLvl w:val="9"/>
    </w:pPr>
    <w:rPr>
      <w:lang w:eastAsia="es-CO"/>
    </w:rPr>
  </w:style>
  <w:style w:type="paragraph" w:styleId="TDC1">
    <w:name w:val="toc 1"/>
    <w:basedOn w:val="Normal"/>
    <w:next w:val="Normal"/>
    <w:autoRedefine/>
    <w:uiPriority w:val="39"/>
    <w:unhideWhenUsed/>
    <w:rsid w:val="001A5143"/>
    <w:pPr>
      <w:spacing w:before="240" w:after="240" w:line="240" w:lineRule="auto"/>
      <w:jc w:val="left"/>
    </w:pPr>
  </w:style>
  <w:style w:type="paragraph" w:styleId="TDC2">
    <w:name w:val="toc 2"/>
    <w:basedOn w:val="Normal"/>
    <w:next w:val="Normal"/>
    <w:autoRedefine/>
    <w:uiPriority w:val="39"/>
    <w:unhideWhenUsed/>
    <w:rsid w:val="001A5143"/>
    <w:pPr>
      <w:spacing w:before="240" w:after="240" w:line="240" w:lineRule="auto"/>
      <w:ind w:left="238"/>
      <w:jc w:val="left"/>
    </w:pPr>
  </w:style>
  <w:style w:type="character" w:styleId="Hipervnculo">
    <w:name w:val="Hyperlink"/>
    <w:basedOn w:val="Fuentedeprrafopredeter"/>
    <w:uiPriority w:val="99"/>
    <w:unhideWhenUsed/>
    <w:rsid w:val="00EF2223"/>
    <w:rPr>
      <w:color w:val="5F5F5F" w:themeColor="hyperlink"/>
      <w:u w:val="single"/>
    </w:rPr>
  </w:style>
  <w:style w:type="paragraph" w:styleId="TDC3">
    <w:name w:val="toc 3"/>
    <w:basedOn w:val="Normal"/>
    <w:next w:val="Normal"/>
    <w:autoRedefine/>
    <w:uiPriority w:val="39"/>
    <w:unhideWhenUsed/>
    <w:rsid w:val="001A5143"/>
    <w:pPr>
      <w:spacing w:before="240" w:after="240" w:line="240" w:lineRule="auto"/>
      <w:ind w:left="442"/>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5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0175E"/>
    <w:pPr>
      <w:spacing w:after="120" w:line="240" w:lineRule="auto"/>
      <w:jc w:val="left"/>
    </w:pPr>
    <w:rPr>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uiPriority w:val="34"/>
    <w:qFormat/>
    <w:rsid w:val="00317330"/>
    <w:pPr>
      <w:contextualSpacing/>
    </w:pPr>
  </w:style>
  <w:style w:type="character" w:customStyle="1" w:styleId="Ttulo5Car">
    <w:name w:val="Título 5 Car"/>
    <w:aliases w:val="Nivel 5 APA Car"/>
    <w:basedOn w:val="Fuentedeprrafopredeter"/>
    <w:link w:val="Ttulo5"/>
    <w:uiPriority w:val="9"/>
    <w:rsid w:val="00BA3790"/>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semiHidden/>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semiHidden/>
    <w:rsid w:val="009B35C3"/>
    <w:rPr>
      <w:rFonts w:ascii="Times New Roman" w:hAnsi="Times New Roman"/>
      <w:sz w:val="20"/>
      <w:szCs w:val="20"/>
    </w:rPr>
  </w:style>
  <w:style w:type="character" w:styleId="Refdenotaalpie">
    <w:name w:val="footnote reference"/>
    <w:basedOn w:val="Fuentedeprrafopredeter"/>
    <w:uiPriority w:val="99"/>
    <w:semiHidden/>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customStyle="1" w:styleId="PrrAPA">
    <w:name w:val="Párr.APA"/>
    <w:basedOn w:val="Normal"/>
    <w:link w:val="PrrAPACar"/>
    <w:qFormat/>
    <w:rsid w:val="008C471E"/>
    <w:pPr>
      <w:ind w:firstLine="720"/>
    </w:pPr>
    <w:rPr>
      <w:rFonts w:cs="Times New Roman"/>
      <w:szCs w:val="24"/>
    </w:rPr>
  </w:style>
  <w:style w:type="paragraph" w:customStyle="1" w:styleId="Cita40">
    <w:name w:val="Cita+40"/>
    <w:basedOn w:val="Textocomentario"/>
    <w:link w:val="Cita40Car"/>
    <w:qFormat/>
    <w:rsid w:val="001913F2"/>
    <w:pPr>
      <w:spacing w:line="360" w:lineRule="auto"/>
      <w:ind w:left="709"/>
    </w:pPr>
    <w:rPr>
      <w:sz w:val="24"/>
    </w:rPr>
  </w:style>
  <w:style w:type="paragraph" w:styleId="TDC4">
    <w:name w:val="toc 4"/>
    <w:basedOn w:val="Normal"/>
    <w:next w:val="Normal"/>
    <w:autoRedefine/>
    <w:uiPriority w:val="39"/>
    <w:unhideWhenUsed/>
    <w:rsid w:val="001A5143"/>
    <w:pPr>
      <w:spacing w:before="240" w:after="240" w:line="240" w:lineRule="auto"/>
      <w:ind w:left="720"/>
      <w:jc w:val="left"/>
    </w:pPr>
  </w:style>
  <w:style w:type="paragraph" w:styleId="TDC5">
    <w:name w:val="toc 5"/>
    <w:basedOn w:val="Normal"/>
    <w:next w:val="Normal"/>
    <w:autoRedefine/>
    <w:uiPriority w:val="39"/>
    <w:unhideWhenUsed/>
    <w:rsid w:val="001A5143"/>
    <w:pPr>
      <w:spacing w:before="240" w:after="240" w:line="240" w:lineRule="auto"/>
      <w:ind w:left="958"/>
      <w:jc w:val="left"/>
    </w:pPr>
  </w:style>
  <w:style w:type="paragraph" w:styleId="Tabladeilustraciones">
    <w:name w:val="table of figures"/>
    <w:basedOn w:val="Normal"/>
    <w:next w:val="Normal"/>
    <w:uiPriority w:val="99"/>
    <w:unhideWhenUsed/>
    <w:rsid w:val="008E10F2"/>
    <w:pPr>
      <w:spacing w:before="240" w:after="240" w:line="240" w:lineRule="auto"/>
      <w:jc w:val="left"/>
    </w:pPr>
  </w:style>
  <w:style w:type="paragraph" w:customStyle="1" w:styleId="PrrIEEE">
    <w:name w:val="Párr.IEEE"/>
    <w:basedOn w:val="Normal"/>
    <w:link w:val="PrrIEEECar"/>
    <w:rsid w:val="00BD79EE"/>
    <w:pPr>
      <w:ind w:firstLine="680"/>
    </w:pPr>
    <w:rPr>
      <w:rFonts w:cs="Times New Roman"/>
      <w:szCs w:val="24"/>
    </w:rPr>
  </w:style>
  <w:style w:type="character" w:customStyle="1" w:styleId="PrrIEEECar">
    <w:name w:val="Párr.IEEE Car"/>
    <w:basedOn w:val="Fuentedeprrafopredeter"/>
    <w:link w:val="PrrIEEE"/>
    <w:rsid w:val="00BD79EE"/>
    <w:rPr>
      <w:rFonts w:ascii="Times New Roman" w:hAnsi="Times New Roman" w:cs="Times New Roman"/>
      <w:sz w:val="24"/>
      <w:szCs w:val="24"/>
    </w:rPr>
  </w:style>
  <w:style w:type="character" w:customStyle="1" w:styleId="PrrAPACar">
    <w:name w:val="Párr.APA Car"/>
    <w:basedOn w:val="Fuentedeprrafopredeter"/>
    <w:link w:val="PrrAPA"/>
    <w:rsid w:val="008C471E"/>
    <w:rPr>
      <w:rFonts w:ascii="Times New Roman" w:hAnsi="Times New Roman" w:cs="Times New Roman"/>
      <w:sz w:val="24"/>
      <w:szCs w:val="24"/>
    </w:rPr>
  </w:style>
  <w:style w:type="character" w:customStyle="1" w:styleId="Cita40Car">
    <w:name w:val="Cita+40 Car"/>
    <w:basedOn w:val="Fuentedeprrafopredeter"/>
    <w:link w:val="Cita40"/>
    <w:rsid w:val="00806D04"/>
    <w:rPr>
      <w:rFonts w:ascii="Times New Roman" w:hAnsi="Times New Roman"/>
      <w:sz w:val="24"/>
      <w:szCs w:val="20"/>
    </w:rPr>
  </w:style>
  <w:style w:type="character" w:customStyle="1" w:styleId="Mencinsinresolver1">
    <w:name w:val="Mención sin resolver1"/>
    <w:basedOn w:val="Fuentedeprrafopredeter"/>
    <w:uiPriority w:val="99"/>
    <w:semiHidden/>
    <w:unhideWhenUsed/>
    <w:rsid w:val="00CE5AFD"/>
    <w:rPr>
      <w:color w:val="605E5C"/>
      <w:shd w:val="clear" w:color="auto" w:fill="E1DFDD"/>
    </w:rPr>
  </w:style>
  <w:style w:type="paragraph" w:styleId="Sinespaciado">
    <w:name w:val="No Spacing"/>
    <w:uiPriority w:val="1"/>
    <w:rsid w:val="00CE5AFD"/>
    <w:pPr>
      <w:spacing w:after="0" w:line="240" w:lineRule="auto"/>
    </w:pPr>
    <w:rPr>
      <w:rFonts w:ascii="Calibri" w:eastAsia="Calibri" w:hAnsi="Calibri" w:cs="Times New Roman"/>
    </w:rPr>
  </w:style>
  <w:style w:type="paragraph" w:customStyle="1" w:styleId="Normal1">
    <w:name w:val="Normal1"/>
    <w:basedOn w:val="Normal"/>
    <w:link w:val="normalCar"/>
    <w:rsid w:val="00CE5AFD"/>
    <w:pPr>
      <w:spacing w:after="160" w:line="259" w:lineRule="auto"/>
      <w:jc w:val="left"/>
    </w:pPr>
  </w:style>
  <w:style w:type="character" w:customStyle="1" w:styleId="normalCar">
    <w:name w:val="normal Car"/>
    <w:basedOn w:val="Fuentedeprrafopredeter"/>
    <w:link w:val="Normal1"/>
    <w:rsid w:val="00CE5AFD"/>
    <w:rPr>
      <w:rFonts w:ascii="Times New Roman" w:hAnsi="Times New Roman"/>
      <w:sz w:val="24"/>
    </w:rPr>
  </w:style>
  <w:style w:type="paragraph" w:styleId="NormalWeb">
    <w:name w:val="Normal (Web)"/>
    <w:basedOn w:val="Normal"/>
    <w:uiPriority w:val="99"/>
    <w:unhideWhenUsed/>
    <w:rsid w:val="00910070"/>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0165FE"/>
    <w:rPr>
      <w:color w:val="919191" w:themeColor="followedHyperlink"/>
      <w:u w:val="single"/>
    </w:rPr>
  </w:style>
  <w:style w:type="paragraph" w:styleId="Revisin">
    <w:name w:val="Revision"/>
    <w:hidden/>
    <w:uiPriority w:val="99"/>
    <w:semiHidden/>
    <w:rsid w:val="00127FDC"/>
    <w:pPr>
      <w:spacing w:after="0" w:line="240" w:lineRule="auto"/>
    </w:pPr>
    <w:rPr>
      <w:rFonts w:ascii="Times New Roman" w:hAnsi="Times New Roman"/>
      <w:sz w:val="24"/>
    </w:rPr>
  </w:style>
  <w:style w:type="character" w:customStyle="1" w:styleId="ui-provider">
    <w:name w:val="ui-provider"/>
    <w:basedOn w:val="Fuentedeprrafopredeter"/>
    <w:rsid w:val="004E4FEE"/>
  </w:style>
  <w:style w:type="character" w:styleId="Textoennegrita">
    <w:name w:val="Strong"/>
    <w:basedOn w:val="Fuentedeprrafopredeter"/>
    <w:uiPriority w:val="22"/>
    <w:qFormat/>
    <w:rsid w:val="004F2A68"/>
    <w:rPr>
      <w:b/>
      <w:bCs/>
    </w:rPr>
  </w:style>
  <w:style w:type="character" w:customStyle="1" w:styleId="Mencinsinresolver2">
    <w:name w:val="Mención sin resolver2"/>
    <w:basedOn w:val="Fuentedeprrafopredeter"/>
    <w:uiPriority w:val="99"/>
    <w:semiHidden/>
    <w:unhideWhenUsed/>
    <w:rsid w:val="004C0F9D"/>
    <w:rPr>
      <w:color w:val="605E5C"/>
      <w:shd w:val="clear" w:color="auto" w:fill="E1DFDD"/>
    </w:rPr>
  </w:style>
  <w:style w:type="character" w:customStyle="1" w:styleId="whitespace-normal">
    <w:name w:val="whitespace-normal"/>
    <w:basedOn w:val="Fuentedeprrafopredeter"/>
    <w:rsid w:val="00BD3E3A"/>
  </w:style>
  <w:style w:type="character" w:styleId="nfasis">
    <w:name w:val="Emphasis"/>
    <w:basedOn w:val="Fuentedeprrafopredeter"/>
    <w:uiPriority w:val="20"/>
    <w:qFormat/>
    <w:rsid w:val="00BD3E3A"/>
    <w:rPr>
      <w:i/>
      <w:iCs/>
    </w:rPr>
  </w:style>
  <w:style w:type="paragraph" w:styleId="z-Principiodelformulario">
    <w:name w:val="HTML Top of Form"/>
    <w:basedOn w:val="Normal"/>
    <w:next w:val="Normal"/>
    <w:link w:val="z-PrincipiodelformularioCar"/>
    <w:hidden/>
    <w:uiPriority w:val="99"/>
    <w:semiHidden/>
    <w:unhideWhenUsed/>
    <w:rsid w:val="00BD3E3A"/>
    <w:pPr>
      <w:pBdr>
        <w:bottom w:val="single" w:sz="6" w:space="1" w:color="auto"/>
      </w:pBdr>
      <w:spacing w:line="240" w:lineRule="auto"/>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BD3E3A"/>
    <w:rPr>
      <w:rFonts w:ascii="Arial" w:eastAsia="Times New Roman" w:hAnsi="Arial" w:cs="Arial"/>
      <w:vanish/>
      <w:sz w:val="16"/>
      <w:szCs w:val="16"/>
      <w:lang w:val="en-US"/>
    </w:rPr>
  </w:style>
  <w:style w:type="paragraph" w:customStyle="1" w:styleId="placeholder">
    <w:name w:val="placeholder"/>
    <w:basedOn w:val="Normal"/>
    <w:rsid w:val="00BD3E3A"/>
    <w:pPr>
      <w:spacing w:before="100" w:beforeAutospacing="1" w:after="100" w:afterAutospacing="1" w:line="240" w:lineRule="auto"/>
      <w:jc w:val="left"/>
    </w:pPr>
    <w:rPr>
      <w:rFonts w:eastAsia="Times New Roman" w:cs="Times New Roman"/>
      <w:szCs w:val="24"/>
      <w:lang w:val="en-US"/>
    </w:rPr>
  </w:style>
  <w:style w:type="paragraph" w:styleId="z-Finaldelformulario">
    <w:name w:val="HTML Bottom of Form"/>
    <w:basedOn w:val="Normal"/>
    <w:next w:val="Normal"/>
    <w:link w:val="z-FinaldelformularioCar"/>
    <w:hidden/>
    <w:uiPriority w:val="99"/>
    <w:semiHidden/>
    <w:unhideWhenUsed/>
    <w:rsid w:val="00BD3E3A"/>
    <w:pPr>
      <w:pBdr>
        <w:top w:val="single" w:sz="6" w:space="1" w:color="auto"/>
      </w:pBdr>
      <w:spacing w:line="240" w:lineRule="auto"/>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BD3E3A"/>
    <w:rPr>
      <w:rFonts w:ascii="Arial" w:eastAsia="Times New Roman" w:hAnsi="Arial" w:cs="Arial"/>
      <w:vanish/>
      <w:sz w:val="16"/>
      <w:szCs w:val="16"/>
      <w:lang w:val="en-US"/>
    </w:rPr>
  </w:style>
  <w:style w:type="character" w:customStyle="1" w:styleId="Ttulo6Car">
    <w:name w:val="Título 6 Car"/>
    <w:basedOn w:val="Fuentedeprrafopredeter"/>
    <w:link w:val="Ttulo6"/>
    <w:uiPriority w:val="9"/>
    <w:rsid w:val="005B4DCC"/>
    <w:rPr>
      <w:rFonts w:asciiTheme="majorHAnsi" w:eastAsiaTheme="majorEastAsia" w:hAnsiTheme="majorHAnsi" w:cstheme="majorBidi"/>
      <w:color w:val="6E6E6E" w:themeColor="accent1" w:themeShade="7F"/>
      <w:sz w:val="24"/>
    </w:rPr>
  </w:style>
  <w:style w:type="character" w:customStyle="1" w:styleId="Ttulo7Car">
    <w:name w:val="Título 7 Car"/>
    <w:basedOn w:val="Fuentedeprrafopredeter"/>
    <w:link w:val="Ttulo7"/>
    <w:uiPriority w:val="9"/>
    <w:rsid w:val="005B4DCC"/>
    <w:rPr>
      <w:rFonts w:asciiTheme="majorHAnsi" w:eastAsiaTheme="majorEastAsia" w:hAnsiTheme="majorHAnsi" w:cstheme="majorBidi"/>
      <w:i/>
      <w:iCs/>
      <w:color w:val="6E6E6E" w:themeColor="accent1" w:themeShade="7F"/>
      <w:sz w:val="24"/>
    </w:rPr>
  </w:style>
  <w:style w:type="character" w:customStyle="1" w:styleId="Ttulo8Car">
    <w:name w:val="Título 8 Car"/>
    <w:basedOn w:val="Fuentedeprrafopredeter"/>
    <w:link w:val="Ttulo8"/>
    <w:uiPriority w:val="9"/>
    <w:semiHidden/>
    <w:rsid w:val="005B4DC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5B4DCC"/>
    <w:rPr>
      <w:rFonts w:asciiTheme="majorHAnsi" w:eastAsiaTheme="majorEastAsia" w:hAnsiTheme="majorHAnsi" w:cstheme="majorBidi"/>
      <w:i/>
      <w:iCs/>
      <w:color w:val="272727" w:themeColor="text1" w:themeTint="D8"/>
      <w:sz w:val="21"/>
      <w:szCs w:val="21"/>
    </w:rPr>
  </w:style>
  <w:style w:type="table" w:styleId="Tablanormal2">
    <w:name w:val="Plain Table 2"/>
    <w:basedOn w:val="Tablanormal"/>
    <w:uiPriority w:val="42"/>
    <w:rsid w:val="008041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D3A5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DC6">
    <w:name w:val="toc 6"/>
    <w:basedOn w:val="Normal"/>
    <w:next w:val="Normal"/>
    <w:autoRedefine/>
    <w:uiPriority w:val="39"/>
    <w:unhideWhenUsed/>
    <w:rsid w:val="00C94F4C"/>
    <w:pPr>
      <w:tabs>
        <w:tab w:val="left" w:pos="2440"/>
        <w:tab w:val="right" w:leader="dot" w:pos="9350"/>
      </w:tabs>
      <w:spacing w:after="100"/>
      <w:ind w:left="1200"/>
    </w:pPr>
    <w:rPr>
      <w:rFonts w:cs="Times New Roman"/>
      <w:b/>
      <w:bCs/>
      <w:noProof/>
    </w:rPr>
  </w:style>
  <w:style w:type="table" w:styleId="Tablaconcuadrculaclara">
    <w:name w:val="Grid Table Light"/>
    <w:basedOn w:val="Tablanormal"/>
    <w:uiPriority w:val="40"/>
    <w:rsid w:val="002F03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961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0085">
      <w:bodyDiv w:val="1"/>
      <w:marLeft w:val="0"/>
      <w:marRight w:val="0"/>
      <w:marTop w:val="0"/>
      <w:marBottom w:val="0"/>
      <w:divBdr>
        <w:top w:val="none" w:sz="0" w:space="0" w:color="auto"/>
        <w:left w:val="none" w:sz="0" w:space="0" w:color="auto"/>
        <w:bottom w:val="none" w:sz="0" w:space="0" w:color="auto"/>
        <w:right w:val="none" w:sz="0" w:space="0" w:color="auto"/>
      </w:divBdr>
    </w:div>
    <w:div w:id="6029445">
      <w:bodyDiv w:val="1"/>
      <w:marLeft w:val="0"/>
      <w:marRight w:val="0"/>
      <w:marTop w:val="0"/>
      <w:marBottom w:val="0"/>
      <w:divBdr>
        <w:top w:val="none" w:sz="0" w:space="0" w:color="auto"/>
        <w:left w:val="none" w:sz="0" w:space="0" w:color="auto"/>
        <w:bottom w:val="none" w:sz="0" w:space="0" w:color="auto"/>
        <w:right w:val="none" w:sz="0" w:space="0" w:color="auto"/>
      </w:divBdr>
    </w:div>
    <w:div w:id="7105863">
      <w:bodyDiv w:val="1"/>
      <w:marLeft w:val="0"/>
      <w:marRight w:val="0"/>
      <w:marTop w:val="0"/>
      <w:marBottom w:val="0"/>
      <w:divBdr>
        <w:top w:val="none" w:sz="0" w:space="0" w:color="auto"/>
        <w:left w:val="none" w:sz="0" w:space="0" w:color="auto"/>
        <w:bottom w:val="none" w:sz="0" w:space="0" w:color="auto"/>
        <w:right w:val="none" w:sz="0" w:space="0" w:color="auto"/>
      </w:divBdr>
    </w:div>
    <w:div w:id="11303494">
      <w:bodyDiv w:val="1"/>
      <w:marLeft w:val="0"/>
      <w:marRight w:val="0"/>
      <w:marTop w:val="0"/>
      <w:marBottom w:val="0"/>
      <w:divBdr>
        <w:top w:val="none" w:sz="0" w:space="0" w:color="auto"/>
        <w:left w:val="none" w:sz="0" w:space="0" w:color="auto"/>
        <w:bottom w:val="none" w:sz="0" w:space="0" w:color="auto"/>
        <w:right w:val="none" w:sz="0" w:space="0" w:color="auto"/>
      </w:divBdr>
    </w:div>
    <w:div w:id="13113587">
      <w:bodyDiv w:val="1"/>
      <w:marLeft w:val="0"/>
      <w:marRight w:val="0"/>
      <w:marTop w:val="0"/>
      <w:marBottom w:val="0"/>
      <w:divBdr>
        <w:top w:val="none" w:sz="0" w:space="0" w:color="auto"/>
        <w:left w:val="none" w:sz="0" w:space="0" w:color="auto"/>
        <w:bottom w:val="none" w:sz="0" w:space="0" w:color="auto"/>
        <w:right w:val="none" w:sz="0" w:space="0" w:color="auto"/>
      </w:divBdr>
    </w:div>
    <w:div w:id="15084879">
      <w:bodyDiv w:val="1"/>
      <w:marLeft w:val="0"/>
      <w:marRight w:val="0"/>
      <w:marTop w:val="0"/>
      <w:marBottom w:val="0"/>
      <w:divBdr>
        <w:top w:val="none" w:sz="0" w:space="0" w:color="auto"/>
        <w:left w:val="none" w:sz="0" w:space="0" w:color="auto"/>
        <w:bottom w:val="none" w:sz="0" w:space="0" w:color="auto"/>
        <w:right w:val="none" w:sz="0" w:space="0" w:color="auto"/>
      </w:divBdr>
    </w:div>
    <w:div w:id="17241506">
      <w:bodyDiv w:val="1"/>
      <w:marLeft w:val="0"/>
      <w:marRight w:val="0"/>
      <w:marTop w:val="0"/>
      <w:marBottom w:val="0"/>
      <w:divBdr>
        <w:top w:val="none" w:sz="0" w:space="0" w:color="auto"/>
        <w:left w:val="none" w:sz="0" w:space="0" w:color="auto"/>
        <w:bottom w:val="none" w:sz="0" w:space="0" w:color="auto"/>
        <w:right w:val="none" w:sz="0" w:space="0" w:color="auto"/>
      </w:divBdr>
    </w:div>
    <w:div w:id="23796481">
      <w:bodyDiv w:val="1"/>
      <w:marLeft w:val="0"/>
      <w:marRight w:val="0"/>
      <w:marTop w:val="0"/>
      <w:marBottom w:val="0"/>
      <w:divBdr>
        <w:top w:val="none" w:sz="0" w:space="0" w:color="auto"/>
        <w:left w:val="none" w:sz="0" w:space="0" w:color="auto"/>
        <w:bottom w:val="none" w:sz="0" w:space="0" w:color="auto"/>
        <w:right w:val="none" w:sz="0" w:space="0" w:color="auto"/>
      </w:divBdr>
    </w:div>
    <w:div w:id="23990621">
      <w:bodyDiv w:val="1"/>
      <w:marLeft w:val="0"/>
      <w:marRight w:val="0"/>
      <w:marTop w:val="0"/>
      <w:marBottom w:val="0"/>
      <w:divBdr>
        <w:top w:val="none" w:sz="0" w:space="0" w:color="auto"/>
        <w:left w:val="none" w:sz="0" w:space="0" w:color="auto"/>
        <w:bottom w:val="none" w:sz="0" w:space="0" w:color="auto"/>
        <w:right w:val="none" w:sz="0" w:space="0" w:color="auto"/>
      </w:divBdr>
    </w:div>
    <w:div w:id="24841377">
      <w:bodyDiv w:val="1"/>
      <w:marLeft w:val="0"/>
      <w:marRight w:val="0"/>
      <w:marTop w:val="0"/>
      <w:marBottom w:val="0"/>
      <w:divBdr>
        <w:top w:val="none" w:sz="0" w:space="0" w:color="auto"/>
        <w:left w:val="none" w:sz="0" w:space="0" w:color="auto"/>
        <w:bottom w:val="none" w:sz="0" w:space="0" w:color="auto"/>
        <w:right w:val="none" w:sz="0" w:space="0" w:color="auto"/>
      </w:divBdr>
    </w:div>
    <w:div w:id="27217606">
      <w:bodyDiv w:val="1"/>
      <w:marLeft w:val="0"/>
      <w:marRight w:val="0"/>
      <w:marTop w:val="0"/>
      <w:marBottom w:val="0"/>
      <w:divBdr>
        <w:top w:val="none" w:sz="0" w:space="0" w:color="auto"/>
        <w:left w:val="none" w:sz="0" w:space="0" w:color="auto"/>
        <w:bottom w:val="none" w:sz="0" w:space="0" w:color="auto"/>
        <w:right w:val="none" w:sz="0" w:space="0" w:color="auto"/>
      </w:divBdr>
      <w:divsChild>
        <w:div w:id="1533347103">
          <w:marLeft w:val="480"/>
          <w:marRight w:val="0"/>
          <w:marTop w:val="0"/>
          <w:marBottom w:val="0"/>
          <w:divBdr>
            <w:top w:val="none" w:sz="0" w:space="0" w:color="auto"/>
            <w:left w:val="none" w:sz="0" w:space="0" w:color="auto"/>
            <w:bottom w:val="none" w:sz="0" w:space="0" w:color="auto"/>
            <w:right w:val="none" w:sz="0" w:space="0" w:color="auto"/>
          </w:divBdr>
        </w:div>
        <w:div w:id="1856336288">
          <w:marLeft w:val="480"/>
          <w:marRight w:val="0"/>
          <w:marTop w:val="0"/>
          <w:marBottom w:val="0"/>
          <w:divBdr>
            <w:top w:val="none" w:sz="0" w:space="0" w:color="auto"/>
            <w:left w:val="none" w:sz="0" w:space="0" w:color="auto"/>
            <w:bottom w:val="none" w:sz="0" w:space="0" w:color="auto"/>
            <w:right w:val="none" w:sz="0" w:space="0" w:color="auto"/>
          </w:divBdr>
        </w:div>
        <w:div w:id="787743007">
          <w:marLeft w:val="480"/>
          <w:marRight w:val="0"/>
          <w:marTop w:val="0"/>
          <w:marBottom w:val="0"/>
          <w:divBdr>
            <w:top w:val="none" w:sz="0" w:space="0" w:color="auto"/>
            <w:left w:val="none" w:sz="0" w:space="0" w:color="auto"/>
            <w:bottom w:val="none" w:sz="0" w:space="0" w:color="auto"/>
            <w:right w:val="none" w:sz="0" w:space="0" w:color="auto"/>
          </w:divBdr>
        </w:div>
        <w:div w:id="149715599">
          <w:marLeft w:val="480"/>
          <w:marRight w:val="0"/>
          <w:marTop w:val="0"/>
          <w:marBottom w:val="0"/>
          <w:divBdr>
            <w:top w:val="none" w:sz="0" w:space="0" w:color="auto"/>
            <w:left w:val="none" w:sz="0" w:space="0" w:color="auto"/>
            <w:bottom w:val="none" w:sz="0" w:space="0" w:color="auto"/>
            <w:right w:val="none" w:sz="0" w:space="0" w:color="auto"/>
          </w:divBdr>
        </w:div>
        <w:div w:id="1702898974">
          <w:marLeft w:val="480"/>
          <w:marRight w:val="0"/>
          <w:marTop w:val="0"/>
          <w:marBottom w:val="0"/>
          <w:divBdr>
            <w:top w:val="none" w:sz="0" w:space="0" w:color="auto"/>
            <w:left w:val="none" w:sz="0" w:space="0" w:color="auto"/>
            <w:bottom w:val="none" w:sz="0" w:space="0" w:color="auto"/>
            <w:right w:val="none" w:sz="0" w:space="0" w:color="auto"/>
          </w:divBdr>
        </w:div>
        <w:div w:id="1960716984">
          <w:marLeft w:val="480"/>
          <w:marRight w:val="0"/>
          <w:marTop w:val="0"/>
          <w:marBottom w:val="0"/>
          <w:divBdr>
            <w:top w:val="none" w:sz="0" w:space="0" w:color="auto"/>
            <w:left w:val="none" w:sz="0" w:space="0" w:color="auto"/>
            <w:bottom w:val="none" w:sz="0" w:space="0" w:color="auto"/>
            <w:right w:val="none" w:sz="0" w:space="0" w:color="auto"/>
          </w:divBdr>
        </w:div>
        <w:div w:id="1567456226">
          <w:marLeft w:val="480"/>
          <w:marRight w:val="0"/>
          <w:marTop w:val="0"/>
          <w:marBottom w:val="0"/>
          <w:divBdr>
            <w:top w:val="none" w:sz="0" w:space="0" w:color="auto"/>
            <w:left w:val="none" w:sz="0" w:space="0" w:color="auto"/>
            <w:bottom w:val="none" w:sz="0" w:space="0" w:color="auto"/>
            <w:right w:val="none" w:sz="0" w:space="0" w:color="auto"/>
          </w:divBdr>
        </w:div>
        <w:div w:id="1245534692">
          <w:marLeft w:val="480"/>
          <w:marRight w:val="0"/>
          <w:marTop w:val="0"/>
          <w:marBottom w:val="0"/>
          <w:divBdr>
            <w:top w:val="none" w:sz="0" w:space="0" w:color="auto"/>
            <w:left w:val="none" w:sz="0" w:space="0" w:color="auto"/>
            <w:bottom w:val="none" w:sz="0" w:space="0" w:color="auto"/>
            <w:right w:val="none" w:sz="0" w:space="0" w:color="auto"/>
          </w:divBdr>
        </w:div>
        <w:div w:id="790705048">
          <w:marLeft w:val="480"/>
          <w:marRight w:val="0"/>
          <w:marTop w:val="0"/>
          <w:marBottom w:val="0"/>
          <w:divBdr>
            <w:top w:val="none" w:sz="0" w:space="0" w:color="auto"/>
            <w:left w:val="none" w:sz="0" w:space="0" w:color="auto"/>
            <w:bottom w:val="none" w:sz="0" w:space="0" w:color="auto"/>
            <w:right w:val="none" w:sz="0" w:space="0" w:color="auto"/>
          </w:divBdr>
        </w:div>
        <w:div w:id="1636331092">
          <w:marLeft w:val="480"/>
          <w:marRight w:val="0"/>
          <w:marTop w:val="0"/>
          <w:marBottom w:val="0"/>
          <w:divBdr>
            <w:top w:val="none" w:sz="0" w:space="0" w:color="auto"/>
            <w:left w:val="none" w:sz="0" w:space="0" w:color="auto"/>
            <w:bottom w:val="none" w:sz="0" w:space="0" w:color="auto"/>
            <w:right w:val="none" w:sz="0" w:space="0" w:color="auto"/>
          </w:divBdr>
        </w:div>
        <w:div w:id="1182359495">
          <w:marLeft w:val="480"/>
          <w:marRight w:val="0"/>
          <w:marTop w:val="0"/>
          <w:marBottom w:val="0"/>
          <w:divBdr>
            <w:top w:val="none" w:sz="0" w:space="0" w:color="auto"/>
            <w:left w:val="none" w:sz="0" w:space="0" w:color="auto"/>
            <w:bottom w:val="none" w:sz="0" w:space="0" w:color="auto"/>
            <w:right w:val="none" w:sz="0" w:space="0" w:color="auto"/>
          </w:divBdr>
        </w:div>
        <w:div w:id="2070958530">
          <w:marLeft w:val="480"/>
          <w:marRight w:val="0"/>
          <w:marTop w:val="0"/>
          <w:marBottom w:val="0"/>
          <w:divBdr>
            <w:top w:val="none" w:sz="0" w:space="0" w:color="auto"/>
            <w:left w:val="none" w:sz="0" w:space="0" w:color="auto"/>
            <w:bottom w:val="none" w:sz="0" w:space="0" w:color="auto"/>
            <w:right w:val="none" w:sz="0" w:space="0" w:color="auto"/>
          </w:divBdr>
        </w:div>
        <w:div w:id="815608861">
          <w:marLeft w:val="480"/>
          <w:marRight w:val="0"/>
          <w:marTop w:val="0"/>
          <w:marBottom w:val="0"/>
          <w:divBdr>
            <w:top w:val="none" w:sz="0" w:space="0" w:color="auto"/>
            <w:left w:val="none" w:sz="0" w:space="0" w:color="auto"/>
            <w:bottom w:val="none" w:sz="0" w:space="0" w:color="auto"/>
            <w:right w:val="none" w:sz="0" w:space="0" w:color="auto"/>
          </w:divBdr>
        </w:div>
        <w:div w:id="1182668152">
          <w:marLeft w:val="480"/>
          <w:marRight w:val="0"/>
          <w:marTop w:val="0"/>
          <w:marBottom w:val="0"/>
          <w:divBdr>
            <w:top w:val="none" w:sz="0" w:space="0" w:color="auto"/>
            <w:left w:val="none" w:sz="0" w:space="0" w:color="auto"/>
            <w:bottom w:val="none" w:sz="0" w:space="0" w:color="auto"/>
            <w:right w:val="none" w:sz="0" w:space="0" w:color="auto"/>
          </w:divBdr>
        </w:div>
        <w:div w:id="708147833">
          <w:marLeft w:val="480"/>
          <w:marRight w:val="0"/>
          <w:marTop w:val="0"/>
          <w:marBottom w:val="0"/>
          <w:divBdr>
            <w:top w:val="none" w:sz="0" w:space="0" w:color="auto"/>
            <w:left w:val="none" w:sz="0" w:space="0" w:color="auto"/>
            <w:bottom w:val="none" w:sz="0" w:space="0" w:color="auto"/>
            <w:right w:val="none" w:sz="0" w:space="0" w:color="auto"/>
          </w:divBdr>
        </w:div>
        <w:div w:id="766344903">
          <w:marLeft w:val="480"/>
          <w:marRight w:val="0"/>
          <w:marTop w:val="0"/>
          <w:marBottom w:val="0"/>
          <w:divBdr>
            <w:top w:val="none" w:sz="0" w:space="0" w:color="auto"/>
            <w:left w:val="none" w:sz="0" w:space="0" w:color="auto"/>
            <w:bottom w:val="none" w:sz="0" w:space="0" w:color="auto"/>
            <w:right w:val="none" w:sz="0" w:space="0" w:color="auto"/>
          </w:divBdr>
        </w:div>
        <w:div w:id="1491822720">
          <w:marLeft w:val="480"/>
          <w:marRight w:val="0"/>
          <w:marTop w:val="0"/>
          <w:marBottom w:val="0"/>
          <w:divBdr>
            <w:top w:val="none" w:sz="0" w:space="0" w:color="auto"/>
            <w:left w:val="none" w:sz="0" w:space="0" w:color="auto"/>
            <w:bottom w:val="none" w:sz="0" w:space="0" w:color="auto"/>
            <w:right w:val="none" w:sz="0" w:space="0" w:color="auto"/>
          </w:divBdr>
        </w:div>
        <w:div w:id="639504183">
          <w:marLeft w:val="480"/>
          <w:marRight w:val="0"/>
          <w:marTop w:val="0"/>
          <w:marBottom w:val="0"/>
          <w:divBdr>
            <w:top w:val="none" w:sz="0" w:space="0" w:color="auto"/>
            <w:left w:val="none" w:sz="0" w:space="0" w:color="auto"/>
            <w:bottom w:val="none" w:sz="0" w:space="0" w:color="auto"/>
            <w:right w:val="none" w:sz="0" w:space="0" w:color="auto"/>
          </w:divBdr>
        </w:div>
        <w:div w:id="1021974581">
          <w:marLeft w:val="480"/>
          <w:marRight w:val="0"/>
          <w:marTop w:val="0"/>
          <w:marBottom w:val="0"/>
          <w:divBdr>
            <w:top w:val="none" w:sz="0" w:space="0" w:color="auto"/>
            <w:left w:val="none" w:sz="0" w:space="0" w:color="auto"/>
            <w:bottom w:val="none" w:sz="0" w:space="0" w:color="auto"/>
            <w:right w:val="none" w:sz="0" w:space="0" w:color="auto"/>
          </w:divBdr>
        </w:div>
        <w:div w:id="916405806">
          <w:marLeft w:val="480"/>
          <w:marRight w:val="0"/>
          <w:marTop w:val="0"/>
          <w:marBottom w:val="0"/>
          <w:divBdr>
            <w:top w:val="none" w:sz="0" w:space="0" w:color="auto"/>
            <w:left w:val="none" w:sz="0" w:space="0" w:color="auto"/>
            <w:bottom w:val="none" w:sz="0" w:space="0" w:color="auto"/>
            <w:right w:val="none" w:sz="0" w:space="0" w:color="auto"/>
          </w:divBdr>
        </w:div>
        <w:div w:id="211431047">
          <w:marLeft w:val="480"/>
          <w:marRight w:val="0"/>
          <w:marTop w:val="0"/>
          <w:marBottom w:val="0"/>
          <w:divBdr>
            <w:top w:val="none" w:sz="0" w:space="0" w:color="auto"/>
            <w:left w:val="none" w:sz="0" w:space="0" w:color="auto"/>
            <w:bottom w:val="none" w:sz="0" w:space="0" w:color="auto"/>
            <w:right w:val="none" w:sz="0" w:space="0" w:color="auto"/>
          </w:divBdr>
        </w:div>
        <w:div w:id="313291214">
          <w:marLeft w:val="480"/>
          <w:marRight w:val="0"/>
          <w:marTop w:val="0"/>
          <w:marBottom w:val="0"/>
          <w:divBdr>
            <w:top w:val="none" w:sz="0" w:space="0" w:color="auto"/>
            <w:left w:val="none" w:sz="0" w:space="0" w:color="auto"/>
            <w:bottom w:val="none" w:sz="0" w:space="0" w:color="auto"/>
            <w:right w:val="none" w:sz="0" w:space="0" w:color="auto"/>
          </w:divBdr>
        </w:div>
        <w:div w:id="681592891">
          <w:marLeft w:val="480"/>
          <w:marRight w:val="0"/>
          <w:marTop w:val="0"/>
          <w:marBottom w:val="0"/>
          <w:divBdr>
            <w:top w:val="none" w:sz="0" w:space="0" w:color="auto"/>
            <w:left w:val="none" w:sz="0" w:space="0" w:color="auto"/>
            <w:bottom w:val="none" w:sz="0" w:space="0" w:color="auto"/>
            <w:right w:val="none" w:sz="0" w:space="0" w:color="auto"/>
          </w:divBdr>
        </w:div>
        <w:div w:id="527523612">
          <w:marLeft w:val="480"/>
          <w:marRight w:val="0"/>
          <w:marTop w:val="0"/>
          <w:marBottom w:val="0"/>
          <w:divBdr>
            <w:top w:val="none" w:sz="0" w:space="0" w:color="auto"/>
            <w:left w:val="none" w:sz="0" w:space="0" w:color="auto"/>
            <w:bottom w:val="none" w:sz="0" w:space="0" w:color="auto"/>
            <w:right w:val="none" w:sz="0" w:space="0" w:color="auto"/>
          </w:divBdr>
        </w:div>
        <w:div w:id="1435710641">
          <w:marLeft w:val="480"/>
          <w:marRight w:val="0"/>
          <w:marTop w:val="0"/>
          <w:marBottom w:val="0"/>
          <w:divBdr>
            <w:top w:val="none" w:sz="0" w:space="0" w:color="auto"/>
            <w:left w:val="none" w:sz="0" w:space="0" w:color="auto"/>
            <w:bottom w:val="none" w:sz="0" w:space="0" w:color="auto"/>
            <w:right w:val="none" w:sz="0" w:space="0" w:color="auto"/>
          </w:divBdr>
        </w:div>
        <w:div w:id="192114543">
          <w:marLeft w:val="480"/>
          <w:marRight w:val="0"/>
          <w:marTop w:val="0"/>
          <w:marBottom w:val="0"/>
          <w:divBdr>
            <w:top w:val="none" w:sz="0" w:space="0" w:color="auto"/>
            <w:left w:val="none" w:sz="0" w:space="0" w:color="auto"/>
            <w:bottom w:val="none" w:sz="0" w:space="0" w:color="auto"/>
            <w:right w:val="none" w:sz="0" w:space="0" w:color="auto"/>
          </w:divBdr>
        </w:div>
        <w:div w:id="472405558">
          <w:marLeft w:val="480"/>
          <w:marRight w:val="0"/>
          <w:marTop w:val="0"/>
          <w:marBottom w:val="0"/>
          <w:divBdr>
            <w:top w:val="none" w:sz="0" w:space="0" w:color="auto"/>
            <w:left w:val="none" w:sz="0" w:space="0" w:color="auto"/>
            <w:bottom w:val="none" w:sz="0" w:space="0" w:color="auto"/>
            <w:right w:val="none" w:sz="0" w:space="0" w:color="auto"/>
          </w:divBdr>
        </w:div>
        <w:div w:id="1978878944">
          <w:marLeft w:val="480"/>
          <w:marRight w:val="0"/>
          <w:marTop w:val="0"/>
          <w:marBottom w:val="0"/>
          <w:divBdr>
            <w:top w:val="none" w:sz="0" w:space="0" w:color="auto"/>
            <w:left w:val="none" w:sz="0" w:space="0" w:color="auto"/>
            <w:bottom w:val="none" w:sz="0" w:space="0" w:color="auto"/>
            <w:right w:val="none" w:sz="0" w:space="0" w:color="auto"/>
          </w:divBdr>
        </w:div>
        <w:div w:id="17244712">
          <w:marLeft w:val="480"/>
          <w:marRight w:val="0"/>
          <w:marTop w:val="0"/>
          <w:marBottom w:val="0"/>
          <w:divBdr>
            <w:top w:val="none" w:sz="0" w:space="0" w:color="auto"/>
            <w:left w:val="none" w:sz="0" w:space="0" w:color="auto"/>
            <w:bottom w:val="none" w:sz="0" w:space="0" w:color="auto"/>
            <w:right w:val="none" w:sz="0" w:space="0" w:color="auto"/>
          </w:divBdr>
        </w:div>
        <w:div w:id="1796679521">
          <w:marLeft w:val="480"/>
          <w:marRight w:val="0"/>
          <w:marTop w:val="0"/>
          <w:marBottom w:val="0"/>
          <w:divBdr>
            <w:top w:val="none" w:sz="0" w:space="0" w:color="auto"/>
            <w:left w:val="none" w:sz="0" w:space="0" w:color="auto"/>
            <w:bottom w:val="none" w:sz="0" w:space="0" w:color="auto"/>
            <w:right w:val="none" w:sz="0" w:space="0" w:color="auto"/>
          </w:divBdr>
        </w:div>
        <w:div w:id="891581925">
          <w:marLeft w:val="480"/>
          <w:marRight w:val="0"/>
          <w:marTop w:val="0"/>
          <w:marBottom w:val="0"/>
          <w:divBdr>
            <w:top w:val="none" w:sz="0" w:space="0" w:color="auto"/>
            <w:left w:val="none" w:sz="0" w:space="0" w:color="auto"/>
            <w:bottom w:val="none" w:sz="0" w:space="0" w:color="auto"/>
            <w:right w:val="none" w:sz="0" w:space="0" w:color="auto"/>
          </w:divBdr>
        </w:div>
        <w:div w:id="2026782924">
          <w:marLeft w:val="480"/>
          <w:marRight w:val="0"/>
          <w:marTop w:val="0"/>
          <w:marBottom w:val="0"/>
          <w:divBdr>
            <w:top w:val="none" w:sz="0" w:space="0" w:color="auto"/>
            <w:left w:val="none" w:sz="0" w:space="0" w:color="auto"/>
            <w:bottom w:val="none" w:sz="0" w:space="0" w:color="auto"/>
            <w:right w:val="none" w:sz="0" w:space="0" w:color="auto"/>
          </w:divBdr>
        </w:div>
        <w:div w:id="1545947195">
          <w:marLeft w:val="480"/>
          <w:marRight w:val="0"/>
          <w:marTop w:val="0"/>
          <w:marBottom w:val="0"/>
          <w:divBdr>
            <w:top w:val="none" w:sz="0" w:space="0" w:color="auto"/>
            <w:left w:val="none" w:sz="0" w:space="0" w:color="auto"/>
            <w:bottom w:val="none" w:sz="0" w:space="0" w:color="auto"/>
            <w:right w:val="none" w:sz="0" w:space="0" w:color="auto"/>
          </w:divBdr>
        </w:div>
        <w:div w:id="206720654">
          <w:marLeft w:val="480"/>
          <w:marRight w:val="0"/>
          <w:marTop w:val="0"/>
          <w:marBottom w:val="0"/>
          <w:divBdr>
            <w:top w:val="none" w:sz="0" w:space="0" w:color="auto"/>
            <w:left w:val="none" w:sz="0" w:space="0" w:color="auto"/>
            <w:bottom w:val="none" w:sz="0" w:space="0" w:color="auto"/>
            <w:right w:val="none" w:sz="0" w:space="0" w:color="auto"/>
          </w:divBdr>
        </w:div>
        <w:div w:id="1082021460">
          <w:marLeft w:val="480"/>
          <w:marRight w:val="0"/>
          <w:marTop w:val="0"/>
          <w:marBottom w:val="0"/>
          <w:divBdr>
            <w:top w:val="none" w:sz="0" w:space="0" w:color="auto"/>
            <w:left w:val="none" w:sz="0" w:space="0" w:color="auto"/>
            <w:bottom w:val="none" w:sz="0" w:space="0" w:color="auto"/>
            <w:right w:val="none" w:sz="0" w:space="0" w:color="auto"/>
          </w:divBdr>
        </w:div>
        <w:div w:id="1864517865">
          <w:marLeft w:val="480"/>
          <w:marRight w:val="0"/>
          <w:marTop w:val="0"/>
          <w:marBottom w:val="0"/>
          <w:divBdr>
            <w:top w:val="none" w:sz="0" w:space="0" w:color="auto"/>
            <w:left w:val="none" w:sz="0" w:space="0" w:color="auto"/>
            <w:bottom w:val="none" w:sz="0" w:space="0" w:color="auto"/>
            <w:right w:val="none" w:sz="0" w:space="0" w:color="auto"/>
          </w:divBdr>
        </w:div>
        <w:div w:id="1060131376">
          <w:marLeft w:val="480"/>
          <w:marRight w:val="0"/>
          <w:marTop w:val="0"/>
          <w:marBottom w:val="0"/>
          <w:divBdr>
            <w:top w:val="none" w:sz="0" w:space="0" w:color="auto"/>
            <w:left w:val="none" w:sz="0" w:space="0" w:color="auto"/>
            <w:bottom w:val="none" w:sz="0" w:space="0" w:color="auto"/>
            <w:right w:val="none" w:sz="0" w:space="0" w:color="auto"/>
          </w:divBdr>
        </w:div>
        <w:div w:id="406004603">
          <w:marLeft w:val="480"/>
          <w:marRight w:val="0"/>
          <w:marTop w:val="0"/>
          <w:marBottom w:val="0"/>
          <w:divBdr>
            <w:top w:val="none" w:sz="0" w:space="0" w:color="auto"/>
            <w:left w:val="none" w:sz="0" w:space="0" w:color="auto"/>
            <w:bottom w:val="none" w:sz="0" w:space="0" w:color="auto"/>
            <w:right w:val="none" w:sz="0" w:space="0" w:color="auto"/>
          </w:divBdr>
        </w:div>
        <w:div w:id="701052035">
          <w:marLeft w:val="480"/>
          <w:marRight w:val="0"/>
          <w:marTop w:val="0"/>
          <w:marBottom w:val="0"/>
          <w:divBdr>
            <w:top w:val="none" w:sz="0" w:space="0" w:color="auto"/>
            <w:left w:val="none" w:sz="0" w:space="0" w:color="auto"/>
            <w:bottom w:val="none" w:sz="0" w:space="0" w:color="auto"/>
            <w:right w:val="none" w:sz="0" w:space="0" w:color="auto"/>
          </w:divBdr>
        </w:div>
        <w:div w:id="786124080">
          <w:marLeft w:val="480"/>
          <w:marRight w:val="0"/>
          <w:marTop w:val="0"/>
          <w:marBottom w:val="0"/>
          <w:divBdr>
            <w:top w:val="none" w:sz="0" w:space="0" w:color="auto"/>
            <w:left w:val="none" w:sz="0" w:space="0" w:color="auto"/>
            <w:bottom w:val="none" w:sz="0" w:space="0" w:color="auto"/>
            <w:right w:val="none" w:sz="0" w:space="0" w:color="auto"/>
          </w:divBdr>
        </w:div>
        <w:div w:id="1198158059">
          <w:marLeft w:val="480"/>
          <w:marRight w:val="0"/>
          <w:marTop w:val="0"/>
          <w:marBottom w:val="0"/>
          <w:divBdr>
            <w:top w:val="none" w:sz="0" w:space="0" w:color="auto"/>
            <w:left w:val="none" w:sz="0" w:space="0" w:color="auto"/>
            <w:bottom w:val="none" w:sz="0" w:space="0" w:color="auto"/>
            <w:right w:val="none" w:sz="0" w:space="0" w:color="auto"/>
          </w:divBdr>
        </w:div>
        <w:div w:id="607812672">
          <w:marLeft w:val="480"/>
          <w:marRight w:val="0"/>
          <w:marTop w:val="0"/>
          <w:marBottom w:val="0"/>
          <w:divBdr>
            <w:top w:val="none" w:sz="0" w:space="0" w:color="auto"/>
            <w:left w:val="none" w:sz="0" w:space="0" w:color="auto"/>
            <w:bottom w:val="none" w:sz="0" w:space="0" w:color="auto"/>
            <w:right w:val="none" w:sz="0" w:space="0" w:color="auto"/>
          </w:divBdr>
        </w:div>
        <w:div w:id="1260218384">
          <w:marLeft w:val="480"/>
          <w:marRight w:val="0"/>
          <w:marTop w:val="0"/>
          <w:marBottom w:val="0"/>
          <w:divBdr>
            <w:top w:val="none" w:sz="0" w:space="0" w:color="auto"/>
            <w:left w:val="none" w:sz="0" w:space="0" w:color="auto"/>
            <w:bottom w:val="none" w:sz="0" w:space="0" w:color="auto"/>
            <w:right w:val="none" w:sz="0" w:space="0" w:color="auto"/>
          </w:divBdr>
        </w:div>
        <w:div w:id="1104808862">
          <w:marLeft w:val="480"/>
          <w:marRight w:val="0"/>
          <w:marTop w:val="0"/>
          <w:marBottom w:val="0"/>
          <w:divBdr>
            <w:top w:val="none" w:sz="0" w:space="0" w:color="auto"/>
            <w:left w:val="none" w:sz="0" w:space="0" w:color="auto"/>
            <w:bottom w:val="none" w:sz="0" w:space="0" w:color="auto"/>
            <w:right w:val="none" w:sz="0" w:space="0" w:color="auto"/>
          </w:divBdr>
        </w:div>
        <w:div w:id="930431456">
          <w:marLeft w:val="480"/>
          <w:marRight w:val="0"/>
          <w:marTop w:val="0"/>
          <w:marBottom w:val="0"/>
          <w:divBdr>
            <w:top w:val="none" w:sz="0" w:space="0" w:color="auto"/>
            <w:left w:val="none" w:sz="0" w:space="0" w:color="auto"/>
            <w:bottom w:val="none" w:sz="0" w:space="0" w:color="auto"/>
            <w:right w:val="none" w:sz="0" w:space="0" w:color="auto"/>
          </w:divBdr>
        </w:div>
        <w:div w:id="989602550">
          <w:marLeft w:val="480"/>
          <w:marRight w:val="0"/>
          <w:marTop w:val="0"/>
          <w:marBottom w:val="0"/>
          <w:divBdr>
            <w:top w:val="none" w:sz="0" w:space="0" w:color="auto"/>
            <w:left w:val="none" w:sz="0" w:space="0" w:color="auto"/>
            <w:bottom w:val="none" w:sz="0" w:space="0" w:color="auto"/>
            <w:right w:val="none" w:sz="0" w:space="0" w:color="auto"/>
          </w:divBdr>
        </w:div>
        <w:div w:id="1045980293">
          <w:marLeft w:val="480"/>
          <w:marRight w:val="0"/>
          <w:marTop w:val="0"/>
          <w:marBottom w:val="0"/>
          <w:divBdr>
            <w:top w:val="none" w:sz="0" w:space="0" w:color="auto"/>
            <w:left w:val="none" w:sz="0" w:space="0" w:color="auto"/>
            <w:bottom w:val="none" w:sz="0" w:space="0" w:color="auto"/>
            <w:right w:val="none" w:sz="0" w:space="0" w:color="auto"/>
          </w:divBdr>
        </w:div>
        <w:div w:id="1888449954">
          <w:marLeft w:val="480"/>
          <w:marRight w:val="0"/>
          <w:marTop w:val="0"/>
          <w:marBottom w:val="0"/>
          <w:divBdr>
            <w:top w:val="none" w:sz="0" w:space="0" w:color="auto"/>
            <w:left w:val="none" w:sz="0" w:space="0" w:color="auto"/>
            <w:bottom w:val="none" w:sz="0" w:space="0" w:color="auto"/>
            <w:right w:val="none" w:sz="0" w:space="0" w:color="auto"/>
          </w:divBdr>
        </w:div>
        <w:div w:id="2106489894">
          <w:marLeft w:val="480"/>
          <w:marRight w:val="0"/>
          <w:marTop w:val="0"/>
          <w:marBottom w:val="0"/>
          <w:divBdr>
            <w:top w:val="none" w:sz="0" w:space="0" w:color="auto"/>
            <w:left w:val="none" w:sz="0" w:space="0" w:color="auto"/>
            <w:bottom w:val="none" w:sz="0" w:space="0" w:color="auto"/>
            <w:right w:val="none" w:sz="0" w:space="0" w:color="auto"/>
          </w:divBdr>
        </w:div>
        <w:div w:id="1628774032">
          <w:marLeft w:val="480"/>
          <w:marRight w:val="0"/>
          <w:marTop w:val="0"/>
          <w:marBottom w:val="0"/>
          <w:divBdr>
            <w:top w:val="none" w:sz="0" w:space="0" w:color="auto"/>
            <w:left w:val="none" w:sz="0" w:space="0" w:color="auto"/>
            <w:bottom w:val="none" w:sz="0" w:space="0" w:color="auto"/>
            <w:right w:val="none" w:sz="0" w:space="0" w:color="auto"/>
          </w:divBdr>
        </w:div>
        <w:div w:id="2143888933">
          <w:marLeft w:val="480"/>
          <w:marRight w:val="0"/>
          <w:marTop w:val="0"/>
          <w:marBottom w:val="0"/>
          <w:divBdr>
            <w:top w:val="none" w:sz="0" w:space="0" w:color="auto"/>
            <w:left w:val="none" w:sz="0" w:space="0" w:color="auto"/>
            <w:bottom w:val="none" w:sz="0" w:space="0" w:color="auto"/>
            <w:right w:val="none" w:sz="0" w:space="0" w:color="auto"/>
          </w:divBdr>
        </w:div>
        <w:div w:id="2017614369">
          <w:marLeft w:val="480"/>
          <w:marRight w:val="0"/>
          <w:marTop w:val="0"/>
          <w:marBottom w:val="0"/>
          <w:divBdr>
            <w:top w:val="none" w:sz="0" w:space="0" w:color="auto"/>
            <w:left w:val="none" w:sz="0" w:space="0" w:color="auto"/>
            <w:bottom w:val="none" w:sz="0" w:space="0" w:color="auto"/>
            <w:right w:val="none" w:sz="0" w:space="0" w:color="auto"/>
          </w:divBdr>
        </w:div>
        <w:div w:id="886718289">
          <w:marLeft w:val="480"/>
          <w:marRight w:val="0"/>
          <w:marTop w:val="0"/>
          <w:marBottom w:val="0"/>
          <w:divBdr>
            <w:top w:val="none" w:sz="0" w:space="0" w:color="auto"/>
            <w:left w:val="none" w:sz="0" w:space="0" w:color="auto"/>
            <w:bottom w:val="none" w:sz="0" w:space="0" w:color="auto"/>
            <w:right w:val="none" w:sz="0" w:space="0" w:color="auto"/>
          </w:divBdr>
        </w:div>
        <w:div w:id="278951804">
          <w:marLeft w:val="480"/>
          <w:marRight w:val="0"/>
          <w:marTop w:val="0"/>
          <w:marBottom w:val="0"/>
          <w:divBdr>
            <w:top w:val="none" w:sz="0" w:space="0" w:color="auto"/>
            <w:left w:val="none" w:sz="0" w:space="0" w:color="auto"/>
            <w:bottom w:val="none" w:sz="0" w:space="0" w:color="auto"/>
            <w:right w:val="none" w:sz="0" w:space="0" w:color="auto"/>
          </w:divBdr>
        </w:div>
        <w:div w:id="1785735659">
          <w:marLeft w:val="480"/>
          <w:marRight w:val="0"/>
          <w:marTop w:val="0"/>
          <w:marBottom w:val="0"/>
          <w:divBdr>
            <w:top w:val="none" w:sz="0" w:space="0" w:color="auto"/>
            <w:left w:val="none" w:sz="0" w:space="0" w:color="auto"/>
            <w:bottom w:val="none" w:sz="0" w:space="0" w:color="auto"/>
            <w:right w:val="none" w:sz="0" w:space="0" w:color="auto"/>
          </w:divBdr>
        </w:div>
        <w:div w:id="1083530338">
          <w:marLeft w:val="480"/>
          <w:marRight w:val="0"/>
          <w:marTop w:val="0"/>
          <w:marBottom w:val="0"/>
          <w:divBdr>
            <w:top w:val="none" w:sz="0" w:space="0" w:color="auto"/>
            <w:left w:val="none" w:sz="0" w:space="0" w:color="auto"/>
            <w:bottom w:val="none" w:sz="0" w:space="0" w:color="auto"/>
            <w:right w:val="none" w:sz="0" w:space="0" w:color="auto"/>
          </w:divBdr>
        </w:div>
        <w:div w:id="1074625703">
          <w:marLeft w:val="480"/>
          <w:marRight w:val="0"/>
          <w:marTop w:val="0"/>
          <w:marBottom w:val="0"/>
          <w:divBdr>
            <w:top w:val="none" w:sz="0" w:space="0" w:color="auto"/>
            <w:left w:val="none" w:sz="0" w:space="0" w:color="auto"/>
            <w:bottom w:val="none" w:sz="0" w:space="0" w:color="auto"/>
            <w:right w:val="none" w:sz="0" w:space="0" w:color="auto"/>
          </w:divBdr>
        </w:div>
        <w:div w:id="1174995684">
          <w:marLeft w:val="480"/>
          <w:marRight w:val="0"/>
          <w:marTop w:val="0"/>
          <w:marBottom w:val="0"/>
          <w:divBdr>
            <w:top w:val="none" w:sz="0" w:space="0" w:color="auto"/>
            <w:left w:val="none" w:sz="0" w:space="0" w:color="auto"/>
            <w:bottom w:val="none" w:sz="0" w:space="0" w:color="auto"/>
            <w:right w:val="none" w:sz="0" w:space="0" w:color="auto"/>
          </w:divBdr>
        </w:div>
        <w:div w:id="1792900327">
          <w:marLeft w:val="480"/>
          <w:marRight w:val="0"/>
          <w:marTop w:val="0"/>
          <w:marBottom w:val="0"/>
          <w:divBdr>
            <w:top w:val="none" w:sz="0" w:space="0" w:color="auto"/>
            <w:left w:val="none" w:sz="0" w:space="0" w:color="auto"/>
            <w:bottom w:val="none" w:sz="0" w:space="0" w:color="auto"/>
            <w:right w:val="none" w:sz="0" w:space="0" w:color="auto"/>
          </w:divBdr>
        </w:div>
        <w:div w:id="1570725539">
          <w:marLeft w:val="480"/>
          <w:marRight w:val="0"/>
          <w:marTop w:val="0"/>
          <w:marBottom w:val="0"/>
          <w:divBdr>
            <w:top w:val="none" w:sz="0" w:space="0" w:color="auto"/>
            <w:left w:val="none" w:sz="0" w:space="0" w:color="auto"/>
            <w:bottom w:val="none" w:sz="0" w:space="0" w:color="auto"/>
            <w:right w:val="none" w:sz="0" w:space="0" w:color="auto"/>
          </w:divBdr>
        </w:div>
        <w:div w:id="1168712114">
          <w:marLeft w:val="480"/>
          <w:marRight w:val="0"/>
          <w:marTop w:val="0"/>
          <w:marBottom w:val="0"/>
          <w:divBdr>
            <w:top w:val="none" w:sz="0" w:space="0" w:color="auto"/>
            <w:left w:val="none" w:sz="0" w:space="0" w:color="auto"/>
            <w:bottom w:val="none" w:sz="0" w:space="0" w:color="auto"/>
            <w:right w:val="none" w:sz="0" w:space="0" w:color="auto"/>
          </w:divBdr>
        </w:div>
        <w:div w:id="966819168">
          <w:marLeft w:val="480"/>
          <w:marRight w:val="0"/>
          <w:marTop w:val="0"/>
          <w:marBottom w:val="0"/>
          <w:divBdr>
            <w:top w:val="none" w:sz="0" w:space="0" w:color="auto"/>
            <w:left w:val="none" w:sz="0" w:space="0" w:color="auto"/>
            <w:bottom w:val="none" w:sz="0" w:space="0" w:color="auto"/>
            <w:right w:val="none" w:sz="0" w:space="0" w:color="auto"/>
          </w:divBdr>
        </w:div>
        <w:div w:id="84570356">
          <w:marLeft w:val="480"/>
          <w:marRight w:val="0"/>
          <w:marTop w:val="0"/>
          <w:marBottom w:val="0"/>
          <w:divBdr>
            <w:top w:val="none" w:sz="0" w:space="0" w:color="auto"/>
            <w:left w:val="none" w:sz="0" w:space="0" w:color="auto"/>
            <w:bottom w:val="none" w:sz="0" w:space="0" w:color="auto"/>
            <w:right w:val="none" w:sz="0" w:space="0" w:color="auto"/>
          </w:divBdr>
        </w:div>
        <w:div w:id="2055276856">
          <w:marLeft w:val="480"/>
          <w:marRight w:val="0"/>
          <w:marTop w:val="0"/>
          <w:marBottom w:val="0"/>
          <w:divBdr>
            <w:top w:val="none" w:sz="0" w:space="0" w:color="auto"/>
            <w:left w:val="none" w:sz="0" w:space="0" w:color="auto"/>
            <w:bottom w:val="none" w:sz="0" w:space="0" w:color="auto"/>
            <w:right w:val="none" w:sz="0" w:space="0" w:color="auto"/>
          </w:divBdr>
        </w:div>
        <w:div w:id="748040897">
          <w:marLeft w:val="480"/>
          <w:marRight w:val="0"/>
          <w:marTop w:val="0"/>
          <w:marBottom w:val="0"/>
          <w:divBdr>
            <w:top w:val="none" w:sz="0" w:space="0" w:color="auto"/>
            <w:left w:val="none" w:sz="0" w:space="0" w:color="auto"/>
            <w:bottom w:val="none" w:sz="0" w:space="0" w:color="auto"/>
            <w:right w:val="none" w:sz="0" w:space="0" w:color="auto"/>
          </w:divBdr>
        </w:div>
        <w:div w:id="863517015">
          <w:marLeft w:val="480"/>
          <w:marRight w:val="0"/>
          <w:marTop w:val="0"/>
          <w:marBottom w:val="0"/>
          <w:divBdr>
            <w:top w:val="none" w:sz="0" w:space="0" w:color="auto"/>
            <w:left w:val="none" w:sz="0" w:space="0" w:color="auto"/>
            <w:bottom w:val="none" w:sz="0" w:space="0" w:color="auto"/>
            <w:right w:val="none" w:sz="0" w:space="0" w:color="auto"/>
          </w:divBdr>
        </w:div>
        <w:div w:id="1362318668">
          <w:marLeft w:val="480"/>
          <w:marRight w:val="0"/>
          <w:marTop w:val="0"/>
          <w:marBottom w:val="0"/>
          <w:divBdr>
            <w:top w:val="none" w:sz="0" w:space="0" w:color="auto"/>
            <w:left w:val="none" w:sz="0" w:space="0" w:color="auto"/>
            <w:bottom w:val="none" w:sz="0" w:space="0" w:color="auto"/>
            <w:right w:val="none" w:sz="0" w:space="0" w:color="auto"/>
          </w:divBdr>
        </w:div>
        <w:div w:id="1643995870">
          <w:marLeft w:val="480"/>
          <w:marRight w:val="0"/>
          <w:marTop w:val="0"/>
          <w:marBottom w:val="0"/>
          <w:divBdr>
            <w:top w:val="none" w:sz="0" w:space="0" w:color="auto"/>
            <w:left w:val="none" w:sz="0" w:space="0" w:color="auto"/>
            <w:bottom w:val="none" w:sz="0" w:space="0" w:color="auto"/>
            <w:right w:val="none" w:sz="0" w:space="0" w:color="auto"/>
          </w:divBdr>
        </w:div>
        <w:div w:id="337775391">
          <w:marLeft w:val="480"/>
          <w:marRight w:val="0"/>
          <w:marTop w:val="0"/>
          <w:marBottom w:val="0"/>
          <w:divBdr>
            <w:top w:val="none" w:sz="0" w:space="0" w:color="auto"/>
            <w:left w:val="none" w:sz="0" w:space="0" w:color="auto"/>
            <w:bottom w:val="none" w:sz="0" w:space="0" w:color="auto"/>
            <w:right w:val="none" w:sz="0" w:space="0" w:color="auto"/>
          </w:divBdr>
        </w:div>
        <w:div w:id="1007749297">
          <w:marLeft w:val="480"/>
          <w:marRight w:val="0"/>
          <w:marTop w:val="0"/>
          <w:marBottom w:val="0"/>
          <w:divBdr>
            <w:top w:val="none" w:sz="0" w:space="0" w:color="auto"/>
            <w:left w:val="none" w:sz="0" w:space="0" w:color="auto"/>
            <w:bottom w:val="none" w:sz="0" w:space="0" w:color="auto"/>
            <w:right w:val="none" w:sz="0" w:space="0" w:color="auto"/>
          </w:divBdr>
        </w:div>
        <w:div w:id="2110807094">
          <w:marLeft w:val="480"/>
          <w:marRight w:val="0"/>
          <w:marTop w:val="0"/>
          <w:marBottom w:val="0"/>
          <w:divBdr>
            <w:top w:val="none" w:sz="0" w:space="0" w:color="auto"/>
            <w:left w:val="none" w:sz="0" w:space="0" w:color="auto"/>
            <w:bottom w:val="none" w:sz="0" w:space="0" w:color="auto"/>
            <w:right w:val="none" w:sz="0" w:space="0" w:color="auto"/>
          </w:divBdr>
        </w:div>
        <w:div w:id="962732078">
          <w:marLeft w:val="480"/>
          <w:marRight w:val="0"/>
          <w:marTop w:val="0"/>
          <w:marBottom w:val="0"/>
          <w:divBdr>
            <w:top w:val="none" w:sz="0" w:space="0" w:color="auto"/>
            <w:left w:val="none" w:sz="0" w:space="0" w:color="auto"/>
            <w:bottom w:val="none" w:sz="0" w:space="0" w:color="auto"/>
            <w:right w:val="none" w:sz="0" w:space="0" w:color="auto"/>
          </w:divBdr>
        </w:div>
        <w:div w:id="576284794">
          <w:marLeft w:val="480"/>
          <w:marRight w:val="0"/>
          <w:marTop w:val="0"/>
          <w:marBottom w:val="0"/>
          <w:divBdr>
            <w:top w:val="none" w:sz="0" w:space="0" w:color="auto"/>
            <w:left w:val="none" w:sz="0" w:space="0" w:color="auto"/>
            <w:bottom w:val="none" w:sz="0" w:space="0" w:color="auto"/>
            <w:right w:val="none" w:sz="0" w:space="0" w:color="auto"/>
          </w:divBdr>
        </w:div>
        <w:div w:id="1013995100">
          <w:marLeft w:val="480"/>
          <w:marRight w:val="0"/>
          <w:marTop w:val="0"/>
          <w:marBottom w:val="0"/>
          <w:divBdr>
            <w:top w:val="none" w:sz="0" w:space="0" w:color="auto"/>
            <w:left w:val="none" w:sz="0" w:space="0" w:color="auto"/>
            <w:bottom w:val="none" w:sz="0" w:space="0" w:color="auto"/>
            <w:right w:val="none" w:sz="0" w:space="0" w:color="auto"/>
          </w:divBdr>
        </w:div>
        <w:div w:id="901213496">
          <w:marLeft w:val="480"/>
          <w:marRight w:val="0"/>
          <w:marTop w:val="0"/>
          <w:marBottom w:val="0"/>
          <w:divBdr>
            <w:top w:val="none" w:sz="0" w:space="0" w:color="auto"/>
            <w:left w:val="none" w:sz="0" w:space="0" w:color="auto"/>
            <w:bottom w:val="none" w:sz="0" w:space="0" w:color="auto"/>
            <w:right w:val="none" w:sz="0" w:space="0" w:color="auto"/>
          </w:divBdr>
        </w:div>
        <w:div w:id="383068973">
          <w:marLeft w:val="480"/>
          <w:marRight w:val="0"/>
          <w:marTop w:val="0"/>
          <w:marBottom w:val="0"/>
          <w:divBdr>
            <w:top w:val="none" w:sz="0" w:space="0" w:color="auto"/>
            <w:left w:val="none" w:sz="0" w:space="0" w:color="auto"/>
            <w:bottom w:val="none" w:sz="0" w:space="0" w:color="auto"/>
            <w:right w:val="none" w:sz="0" w:space="0" w:color="auto"/>
          </w:divBdr>
        </w:div>
        <w:div w:id="44989324">
          <w:marLeft w:val="480"/>
          <w:marRight w:val="0"/>
          <w:marTop w:val="0"/>
          <w:marBottom w:val="0"/>
          <w:divBdr>
            <w:top w:val="none" w:sz="0" w:space="0" w:color="auto"/>
            <w:left w:val="none" w:sz="0" w:space="0" w:color="auto"/>
            <w:bottom w:val="none" w:sz="0" w:space="0" w:color="auto"/>
            <w:right w:val="none" w:sz="0" w:space="0" w:color="auto"/>
          </w:divBdr>
        </w:div>
        <w:div w:id="1188569722">
          <w:marLeft w:val="480"/>
          <w:marRight w:val="0"/>
          <w:marTop w:val="0"/>
          <w:marBottom w:val="0"/>
          <w:divBdr>
            <w:top w:val="none" w:sz="0" w:space="0" w:color="auto"/>
            <w:left w:val="none" w:sz="0" w:space="0" w:color="auto"/>
            <w:bottom w:val="none" w:sz="0" w:space="0" w:color="auto"/>
            <w:right w:val="none" w:sz="0" w:space="0" w:color="auto"/>
          </w:divBdr>
        </w:div>
        <w:div w:id="745104291">
          <w:marLeft w:val="480"/>
          <w:marRight w:val="0"/>
          <w:marTop w:val="0"/>
          <w:marBottom w:val="0"/>
          <w:divBdr>
            <w:top w:val="none" w:sz="0" w:space="0" w:color="auto"/>
            <w:left w:val="none" w:sz="0" w:space="0" w:color="auto"/>
            <w:bottom w:val="none" w:sz="0" w:space="0" w:color="auto"/>
            <w:right w:val="none" w:sz="0" w:space="0" w:color="auto"/>
          </w:divBdr>
        </w:div>
        <w:div w:id="161284426">
          <w:marLeft w:val="480"/>
          <w:marRight w:val="0"/>
          <w:marTop w:val="0"/>
          <w:marBottom w:val="0"/>
          <w:divBdr>
            <w:top w:val="none" w:sz="0" w:space="0" w:color="auto"/>
            <w:left w:val="none" w:sz="0" w:space="0" w:color="auto"/>
            <w:bottom w:val="none" w:sz="0" w:space="0" w:color="auto"/>
            <w:right w:val="none" w:sz="0" w:space="0" w:color="auto"/>
          </w:divBdr>
        </w:div>
        <w:div w:id="1849322653">
          <w:marLeft w:val="480"/>
          <w:marRight w:val="0"/>
          <w:marTop w:val="0"/>
          <w:marBottom w:val="0"/>
          <w:divBdr>
            <w:top w:val="none" w:sz="0" w:space="0" w:color="auto"/>
            <w:left w:val="none" w:sz="0" w:space="0" w:color="auto"/>
            <w:bottom w:val="none" w:sz="0" w:space="0" w:color="auto"/>
            <w:right w:val="none" w:sz="0" w:space="0" w:color="auto"/>
          </w:divBdr>
        </w:div>
        <w:div w:id="1633092505">
          <w:marLeft w:val="480"/>
          <w:marRight w:val="0"/>
          <w:marTop w:val="0"/>
          <w:marBottom w:val="0"/>
          <w:divBdr>
            <w:top w:val="none" w:sz="0" w:space="0" w:color="auto"/>
            <w:left w:val="none" w:sz="0" w:space="0" w:color="auto"/>
            <w:bottom w:val="none" w:sz="0" w:space="0" w:color="auto"/>
            <w:right w:val="none" w:sz="0" w:space="0" w:color="auto"/>
          </w:divBdr>
        </w:div>
        <w:div w:id="100876206">
          <w:marLeft w:val="480"/>
          <w:marRight w:val="0"/>
          <w:marTop w:val="0"/>
          <w:marBottom w:val="0"/>
          <w:divBdr>
            <w:top w:val="none" w:sz="0" w:space="0" w:color="auto"/>
            <w:left w:val="none" w:sz="0" w:space="0" w:color="auto"/>
            <w:bottom w:val="none" w:sz="0" w:space="0" w:color="auto"/>
            <w:right w:val="none" w:sz="0" w:space="0" w:color="auto"/>
          </w:divBdr>
        </w:div>
        <w:div w:id="535386633">
          <w:marLeft w:val="480"/>
          <w:marRight w:val="0"/>
          <w:marTop w:val="0"/>
          <w:marBottom w:val="0"/>
          <w:divBdr>
            <w:top w:val="none" w:sz="0" w:space="0" w:color="auto"/>
            <w:left w:val="none" w:sz="0" w:space="0" w:color="auto"/>
            <w:bottom w:val="none" w:sz="0" w:space="0" w:color="auto"/>
            <w:right w:val="none" w:sz="0" w:space="0" w:color="auto"/>
          </w:divBdr>
        </w:div>
        <w:div w:id="787890888">
          <w:marLeft w:val="480"/>
          <w:marRight w:val="0"/>
          <w:marTop w:val="0"/>
          <w:marBottom w:val="0"/>
          <w:divBdr>
            <w:top w:val="none" w:sz="0" w:space="0" w:color="auto"/>
            <w:left w:val="none" w:sz="0" w:space="0" w:color="auto"/>
            <w:bottom w:val="none" w:sz="0" w:space="0" w:color="auto"/>
            <w:right w:val="none" w:sz="0" w:space="0" w:color="auto"/>
          </w:divBdr>
        </w:div>
        <w:div w:id="500243782">
          <w:marLeft w:val="480"/>
          <w:marRight w:val="0"/>
          <w:marTop w:val="0"/>
          <w:marBottom w:val="0"/>
          <w:divBdr>
            <w:top w:val="none" w:sz="0" w:space="0" w:color="auto"/>
            <w:left w:val="none" w:sz="0" w:space="0" w:color="auto"/>
            <w:bottom w:val="none" w:sz="0" w:space="0" w:color="auto"/>
            <w:right w:val="none" w:sz="0" w:space="0" w:color="auto"/>
          </w:divBdr>
        </w:div>
        <w:div w:id="700134686">
          <w:marLeft w:val="480"/>
          <w:marRight w:val="0"/>
          <w:marTop w:val="0"/>
          <w:marBottom w:val="0"/>
          <w:divBdr>
            <w:top w:val="none" w:sz="0" w:space="0" w:color="auto"/>
            <w:left w:val="none" w:sz="0" w:space="0" w:color="auto"/>
            <w:bottom w:val="none" w:sz="0" w:space="0" w:color="auto"/>
            <w:right w:val="none" w:sz="0" w:space="0" w:color="auto"/>
          </w:divBdr>
        </w:div>
        <w:div w:id="1728649039">
          <w:marLeft w:val="480"/>
          <w:marRight w:val="0"/>
          <w:marTop w:val="0"/>
          <w:marBottom w:val="0"/>
          <w:divBdr>
            <w:top w:val="none" w:sz="0" w:space="0" w:color="auto"/>
            <w:left w:val="none" w:sz="0" w:space="0" w:color="auto"/>
            <w:bottom w:val="none" w:sz="0" w:space="0" w:color="auto"/>
            <w:right w:val="none" w:sz="0" w:space="0" w:color="auto"/>
          </w:divBdr>
        </w:div>
        <w:div w:id="1119883117">
          <w:marLeft w:val="480"/>
          <w:marRight w:val="0"/>
          <w:marTop w:val="0"/>
          <w:marBottom w:val="0"/>
          <w:divBdr>
            <w:top w:val="none" w:sz="0" w:space="0" w:color="auto"/>
            <w:left w:val="none" w:sz="0" w:space="0" w:color="auto"/>
            <w:bottom w:val="none" w:sz="0" w:space="0" w:color="auto"/>
            <w:right w:val="none" w:sz="0" w:space="0" w:color="auto"/>
          </w:divBdr>
        </w:div>
        <w:div w:id="1297444353">
          <w:marLeft w:val="480"/>
          <w:marRight w:val="0"/>
          <w:marTop w:val="0"/>
          <w:marBottom w:val="0"/>
          <w:divBdr>
            <w:top w:val="none" w:sz="0" w:space="0" w:color="auto"/>
            <w:left w:val="none" w:sz="0" w:space="0" w:color="auto"/>
            <w:bottom w:val="none" w:sz="0" w:space="0" w:color="auto"/>
            <w:right w:val="none" w:sz="0" w:space="0" w:color="auto"/>
          </w:divBdr>
        </w:div>
        <w:div w:id="1116947423">
          <w:marLeft w:val="480"/>
          <w:marRight w:val="0"/>
          <w:marTop w:val="0"/>
          <w:marBottom w:val="0"/>
          <w:divBdr>
            <w:top w:val="none" w:sz="0" w:space="0" w:color="auto"/>
            <w:left w:val="none" w:sz="0" w:space="0" w:color="auto"/>
            <w:bottom w:val="none" w:sz="0" w:space="0" w:color="auto"/>
            <w:right w:val="none" w:sz="0" w:space="0" w:color="auto"/>
          </w:divBdr>
        </w:div>
        <w:div w:id="1430271891">
          <w:marLeft w:val="480"/>
          <w:marRight w:val="0"/>
          <w:marTop w:val="0"/>
          <w:marBottom w:val="0"/>
          <w:divBdr>
            <w:top w:val="none" w:sz="0" w:space="0" w:color="auto"/>
            <w:left w:val="none" w:sz="0" w:space="0" w:color="auto"/>
            <w:bottom w:val="none" w:sz="0" w:space="0" w:color="auto"/>
            <w:right w:val="none" w:sz="0" w:space="0" w:color="auto"/>
          </w:divBdr>
        </w:div>
        <w:div w:id="234511557">
          <w:marLeft w:val="480"/>
          <w:marRight w:val="0"/>
          <w:marTop w:val="0"/>
          <w:marBottom w:val="0"/>
          <w:divBdr>
            <w:top w:val="none" w:sz="0" w:space="0" w:color="auto"/>
            <w:left w:val="none" w:sz="0" w:space="0" w:color="auto"/>
            <w:bottom w:val="none" w:sz="0" w:space="0" w:color="auto"/>
            <w:right w:val="none" w:sz="0" w:space="0" w:color="auto"/>
          </w:divBdr>
        </w:div>
        <w:div w:id="582374016">
          <w:marLeft w:val="480"/>
          <w:marRight w:val="0"/>
          <w:marTop w:val="0"/>
          <w:marBottom w:val="0"/>
          <w:divBdr>
            <w:top w:val="none" w:sz="0" w:space="0" w:color="auto"/>
            <w:left w:val="none" w:sz="0" w:space="0" w:color="auto"/>
            <w:bottom w:val="none" w:sz="0" w:space="0" w:color="auto"/>
            <w:right w:val="none" w:sz="0" w:space="0" w:color="auto"/>
          </w:divBdr>
        </w:div>
        <w:div w:id="623119370">
          <w:marLeft w:val="480"/>
          <w:marRight w:val="0"/>
          <w:marTop w:val="0"/>
          <w:marBottom w:val="0"/>
          <w:divBdr>
            <w:top w:val="none" w:sz="0" w:space="0" w:color="auto"/>
            <w:left w:val="none" w:sz="0" w:space="0" w:color="auto"/>
            <w:bottom w:val="none" w:sz="0" w:space="0" w:color="auto"/>
            <w:right w:val="none" w:sz="0" w:space="0" w:color="auto"/>
          </w:divBdr>
        </w:div>
        <w:div w:id="1425027836">
          <w:marLeft w:val="480"/>
          <w:marRight w:val="0"/>
          <w:marTop w:val="0"/>
          <w:marBottom w:val="0"/>
          <w:divBdr>
            <w:top w:val="none" w:sz="0" w:space="0" w:color="auto"/>
            <w:left w:val="none" w:sz="0" w:space="0" w:color="auto"/>
            <w:bottom w:val="none" w:sz="0" w:space="0" w:color="auto"/>
            <w:right w:val="none" w:sz="0" w:space="0" w:color="auto"/>
          </w:divBdr>
        </w:div>
      </w:divsChild>
    </w:div>
    <w:div w:id="27991783">
      <w:bodyDiv w:val="1"/>
      <w:marLeft w:val="0"/>
      <w:marRight w:val="0"/>
      <w:marTop w:val="0"/>
      <w:marBottom w:val="0"/>
      <w:divBdr>
        <w:top w:val="none" w:sz="0" w:space="0" w:color="auto"/>
        <w:left w:val="none" w:sz="0" w:space="0" w:color="auto"/>
        <w:bottom w:val="none" w:sz="0" w:space="0" w:color="auto"/>
        <w:right w:val="none" w:sz="0" w:space="0" w:color="auto"/>
      </w:divBdr>
    </w:div>
    <w:div w:id="29301682">
      <w:bodyDiv w:val="1"/>
      <w:marLeft w:val="0"/>
      <w:marRight w:val="0"/>
      <w:marTop w:val="0"/>
      <w:marBottom w:val="0"/>
      <w:divBdr>
        <w:top w:val="none" w:sz="0" w:space="0" w:color="auto"/>
        <w:left w:val="none" w:sz="0" w:space="0" w:color="auto"/>
        <w:bottom w:val="none" w:sz="0" w:space="0" w:color="auto"/>
        <w:right w:val="none" w:sz="0" w:space="0" w:color="auto"/>
      </w:divBdr>
    </w:div>
    <w:div w:id="30154839">
      <w:bodyDiv w:val="1"/>
      <w:marLeft w:val="0"/>
      <w:marRight w:val="0"/>
      <w:marTop w:val="0"/>
      <w:marBottom w:val="0"/>
      <w:divBdr>
        <w:top w:val="none" w:sz="0" w:space="0" w:color="auto"/>
        <w:left w:val="none" w:sz="0" w:space="0" w:color="auto"/>
        <w:bottom w:val="none" w:sz="0" w:space="0" w:color="auto"/>
        <w:right w:val="none" w:sz="0" w:space="0" w:color="auto"/>
      </w:divBdr>
    </w:div>
    <w:div w:id="33241427">
      <w:bodyDiv w:val="1"/>
      <w:marLeft w:val="0"/>
      <w:marRight w:val="0"/>
      <w:marTop w:val="0"/>
      <w:marBottom w:val="0"/>
      <w:divBdr>
        <w:top w:val="none" w:sz="0" w:space="0" w:color="auto"/>
        <w:left w:val="none" w:sz="0" w:space="0" w:color="auto"/>
        <w:bottom w:val="none" w:sz="0" w:space="0" w:color="auto"/>
        <w:right w:val="none" w:sz="0" w:space="0" w:color="auto"/>
      </w:divBdr>
    </w:div>
    <w:div w:id="34350469">
      <w:bodyDiv w:val="1"/>
      <w:marLeft w:val="0"/>
      <w:marRight w:val="0"/>
      <w:marTop w:val="0"/>
      <w:marBottom w:val="0"/>
      <w:divBdr>
        <w:top w:val="none" w:sz="0" w:space="0" w:color="auto"/>
        <w:left w:val="none" w:sz="0" w:space="0" w:color="auto"/>
        <w:bottom w:val="none" w:sz="0" w:space="0" w:color="auto"/>
        <w:right w:val="none" w:sz="0" w:space="0" w:color="auto"/>
      </w:divBdr>
    </w:div>
    <w:div w:id="35476334">
      <w:bodyDiv w:val="1"/>
      <w:marLeft w:val="0"/>
      <w:marRight w:val="0"/>
      <w:marTop w:val="0"/>
      <w:marBottom w:val="0"/>
      <w:divBdr>
        <w:top w:val="none" w:sz="0" w:space="0" w:color="auto"/>
        <w:left w:val="none" w:sz="0" w:space="0" w:color="auto"/>
        <w:bottom w:val="none" w:sz="0" w:space="0" w:color="auto"/>
        <w:right w:val="none" w:sz="0" w:space="0" w:color="auto"/>
      </w:divBdr>
    </w:div>
    <w:div w:id="38676065">
      <w:bodyDiv w:val="1"/>
      <w:marLeft w:val="0"/>
      <w:marRight w:val="0"/>
      <w:marTop w:val="0"/>
      <w:marBottom w:val="0"/>
      <w:divBdr>
        <w:top w:val="none" w:sz="0" w:space="0" w:color="auto"/>
        <w:left w:val="none" w:sz="0" w:space="0" w:color="auto"/>
        <w:bottom w:val="none" w:sz="0" w:space="0" w:color="auto"/>
        <w:right w:val="none" w:sz="0" w:space="0" w:color="auto"/>
      </w:divBdr>
    </w:div>
    <w:div w:id="43869124">
      <w:bodyDiv w:val="1"/>
      <w:marLeft w:val="0"/>
      <w:marRight w:val="0"/>
      <w:marTop w:val="0"/>
      <w:marBottom w:val="0"/>
      <w:divBdr>
        <w:top w:val="none" w:sz="0" w:space="0" w:color="auto"/>
        <w:left w:val="none" w:sz="0" w:space="0" w:color="auto"/>
        <w:bottom w:val="none" w:sz="0" w:space="0" w:color="auto"/>
        <w:right w:val="none" w:sz="0" w:space="0" w:color="auto"/>
      </w:divBdr>
    </w:div>
    <w:div w:id="46537341">
      <w:bodyDiv w:val="1"/>
      <w:marLeft w:val="0"/>
      <w:marRight w:val="0"/>
      <w:marTop w:val="0"/>
      <w:marBottom w:val="0"/>
      <w:divBdr>
        <w:top w:val="none" w:sz="0" w:space="0" w:color="auto"/>
        <w:left w:val="none" w:sz="0" w:space="0" w:color="auto"/>
        <w:bottom w:val="none" w:sz="0" w:space="0" w:color="auto"/>
        <w:right w:val="none" w:sz="0" w:space="0" w:color="auto"/>
      </w:divBdr>
    </w:div>
    <w:div w:id="49958288">
      <w:bodyDiv w:val="1"/>
      <w:marLeft w:val="0"/>
      <w:marRight w:val="0"/>
      <w:marTop w:val="0"/>
      <w:marBottom w:val="0"/>
      <w:divBdr>
        <w:top w:val="none" w:sz="0" w:space="0" w:color="auto"/>
        <w:left w:val="none" w:sz="0" w:space="0" w:color="auto"/>
        <w:bottom w:val="none" w:sz="0" w:space="0" w:color="auto"/>
        <w:right w:val="none" w:sz="0" w:space="0" w:color="auto"/>
      </w:divBdr>
    </w:div>
    <w:div w:id="52238094">
      <w:bodyDiv w:val="1"/>
      <w:marLeft w:val="0"/>
      <w:marRight w:val="0"/>
      <w:marTop w:val="0"/>
      <w:marBottom w:val="0"/>
      <w:divBdr>
        <w:top w:val="none" w:sz="0" w:space="0" w:color="auto"/>
        <w:left w:val="none" w:sz="0" w:space="0" w:color="auto"/>
        <w:bottom w:val="none" w:sz="0" w:space="0" w:color="auto"/>
        <w:right w:val="none" w:sz="0" w:space="0" w:color="auto"/>
      </w:divBdr>
    </w:div>
    <w:div w:id="52894613">
      <w:bodyDiv w:val="1"/>
      <w:marLeft w:val="0"/>
      <w:marRight w:val="0"/>
      <w:marTop w:val="0"/>
      <w:marBottom w:val="0"/>
      <w:divBdr>
        <w:top w:val="none" w:sz="0" w:space="0" w:color="auto"/>
        <w:left w:val="none" w:sz="0" w:space="0" w:color="auto"/>
        <w:bottom w:val="none" w:sz="0" w:space="0" w:color="auto"/>
        <w:right w:val="none" w:sz="0" w:space="0" w:color="auto"/>
      </w:divBdr>
    </w:div>
    <w:div w:id="54282352">
      <w:bodyDiv w:val="1"/>
      <w:marLeft w:val="0"/>
      <w:marRight w:val="0"/>
      <w:marTop w:val="0"/>
      <w:marBottom w:val="0"/>
      <w:divBdr>
        <w:top w:val="none" w:sz="0" w:space="0" w:color="auto"/>
        <w:left w:val="none" w:sz="0" w:space="0" w:color="auto"/>
        <w:bottom w:val="none" w:sz="0" w:space="0" w:color="auto"/>
        <w:right w:val="none" w:sz="0" w:space="0" w:color="auto"/>
      </w:divBdr>
    </w:div>
    <w:div w:id="62335701">
      <w:bodyDiv w:val="1"/>
      <w:marLeft w:val="0"/>
      <w:marRight w:val="0"/>
      <w:marTop w:val="0"/>
      <w:marBottom w:val="0"/>
      <w:divBdr>
        <w:top w:val="none" w:sz="0" w:space="0" w:color="auto"/>
        <w:left w:val="none" w:sz="0" w:space="0" w:color="auto"/>
        <w:bottom w:val="none" w:sz="0" w:space="0" w:color="auto"/>
        <w:right w:val="none" w:sz="0" w:space="0" w:color="auto"/>
      </w:divBdr>
    </w:div>
    <w:div w:id="65618431">
      <w:bodyDiv w:val="1"/>
      <w:marLeft w:val="0"/>
      <w:marRight w:val="0"/>
      <w:marTop w:val="0"/>
      <w:marBottom w:val="0"/>
      <w:divBdr>
        <w:top w:val="none" w:sz="0" w:space="0" w:color="auto"/>
        <w:left w:val="none" w:sz="0" w:space="0" w:color="auto"/>
        <w:bottom w:val="none" w:sz="0" w:space="0" w:color="auto"/>
        <w:right w:val="none" w:sz="0" w:space="0" w:color="auto"/>
      </w:divBdr>
    </w:div>
    <w:div w:id="69085414">
      <w:bodyDiv w:val="1"/>
      <w:marLeft w:val="0"/>
      <w:marRight w:val="0"/>
      <w:marTop w:val="0"/>
      <w:marBottom w:val="0"/>
      <w:divBdr>
        <w:top w:val="none" w:sz="0" w:space="0" w:color="auto"/>
        <w:left w:val="none" w:sz="0" w:space="0" w:color="auto"/>
        <w:bottom w:val="none" w:sz="0" w:space="0" w:color="auto"/>
        <w:right w:val="none" w:sz="0" w:space="0" w:color="auto"/>
      </w:divBdr>
    </w:div>
    <w:div w:id="73865577">
      <w:bodyDiv w:val="1"/>
      <w:marLeft w:val="0"/>
      <w:marRight w:val="0"/>
      <w:marTop w:val="0"/>
      <w:marBottom w:val="0"/>
      <w:divBdr>
        <w:top w:val="none" w:sz="0" w:space="0" w:color="auto"/>
        <w:left w:val="none" w:sz="0" w:space="0" w:color="auto"/>
        <w:bottom w:val="none" w:sz="0" w:space="0" w:color="auto"/>
        <w:right w:val="none" w:sz="0" w:space="0" w:color="auto"/>
      </w:divBdr>
    </w:div>
    <w:div w:id="76446470">
      <w:bodyDiv w:val="1"/>
      <w:marLeft w:val="0"/>
      <w:marRight w:val="0"/>
      <w:marTop w:val="0"/>
      <w:marBottom w:val="0"/>
      <w:divBdr>
        <w:top w:val="none" w:sz="0" w:space="0" w:color="auto"/>
        <w:left w:val="none" w:sz="0" w:space="0" w:color="auto"/>
        <w:bottom w:val="none" w:sz="0" w:space="0" w:color="auto"/>
        <w:right w:val="none" w:sz="0" w:space="0" w:color="auto"/>
      </w:divBdr>
    </w:div>
    <w:div w:id="82268027">
      <w:bodyDiv w:val="1"/>
      <w:marLeft w:val="0"/>
      <w:marRight w:val="0"/>
      <w:marTop w:val="0"/>
      <w:marBottom w:val="0"/>
      <w:divBdr>
        <w:top w:val="none" w:sz="0" w:space="0" w:color="auto"/>
        <w:left w:val="none" w:sz="0" w:space="0" w:color="auto"/>
        <w:bottom w:val="none" w:sz="0" w:space="0" w:color="auto"/>
        <w:right w:val="none" w:sz="0" w:space="0" w:color="auto"/>
      </w:divBdr>
    </w:div>
    <w:div w:id="88550265">
      <w:bodyDiv w:val="1"/>
      <w:marLeft w:val="0"/>
      <w:marRight w:val="0"/>
      <w:marTop w:val="0"/>
      <w:marBottom w:val="0"/>
      <w:divBdr>
        <w:top w:val="none" w:sz="0" w:space="0" w:color="auto"/>
        <w:left w:val="none" w:sz="0" w:space="0" w:color="auto"/>
        <w:bottom w:val="none" w:sz="0" w:space="0" w:color="auto"/>
        <w:right w:val="none" w:sz="0" w:space="0" w:color="auto"/>
      </w:divBdr>
    </w:div>
    <w:div w:id="92285428">
      <w:bodyDiv w:val="1"/>
      <w:marLeft w:val="0"/>
      <w:marRight w:val="0"/>
      <w:marTop w:val="0"/>
      <w:marBottom w:val="0"/>
      <w:divBdr>
        <w:top w:val="none" w:sz="0" w:space="0" w:color="auto"/>
        <w:left w:val="none" w:sz="0" w:space="0" w:color="auto"/>
        <w:bottom w:val="none" w:sz="0" w:space="0" w:color="auto"/>
        <w:right w:val="none" w:sz="0" w:space="0" w:color="auto"/>
      </w:divBdr>
    </w:div>
    <w:div w:id="92822996">
      <w:bodyDiv w:val="1"/>
      <w:marLeft w:val="0"/>
      <w:marRight w:val="0"/>
      <w:marTop w:val="0"/>
      <w:marBottom w:val="0"/>
      <w:divBdr>
        <w:top w:val="none" w:sz="0" w:space="0" w:color="auto"/>
        <w:left w:val="none" w:sz="0" w:space="0" w:color="auto"/>
        <w:bottom w:val="none" w:sz="0" w:space="0" w:color="auto"/>
        <w:right w:val="none" w:sz="0" w:space="0" w:color="auto"/>
      </w:divBdr>
    </w:div>
    <w:div w:id="95366007">
      <w:bodyDiv w:val="1"/>
      <w:marLeft w:val="0"/>
      <w:marRight w:val="0"/>
      <w:marTop w:val="0"/>
      <w:marBottom w:val="0"/>
      <w:divBdr>
        <w:top w:val="none" w:sz="0" w:space="0" w:color="auto"/>
        <w:left w:val="none" w:sz="0" w:space="0" w:color="auto"/>
        <w:bottom w:val="none" w:sz="0" w:space="0" w:color="auto"/>
        <w:right w:val="none" w:sz="0" w:space="0" w:color="auto"/>
      </w:divBdr>
    </w:div>
    <w:div w:id="96951946">
      <w:bodyDiv w:val="1"/>
      <w:marLeft w:val="0"/>
      <w:marRight w:val="0"/>
      <w:marTop w:val="0"/>
      <w:marBottom w:val="0"/>
      <w:divBdr>
        <w:top w:val="none" w:sz="0" w:space="0" w:color="auto"/>
        <w:left w:val="none" w:sz="0" w:space="0" w:color="auto"/>
        <w:bottom w:val="none" w:sz="0" w:space="0" w:color="auto"/>
        <w:right w:val="none" w:sz="0" w:space="0" w:color="auto"/>
      </w:divBdr>
    </w:div>
    <w:div w:id="97019841">
      <w:bodyDiv w:val="1"/>
      <w:marLeft w:val="0"/>
      <w:marRight w:val="0"/>
      <w:marTop w:val="0"/>
      <w:marBottom w:val="0"/>
      <w:divBdr>
        <w:top w:val="none" w:sz="0" w:space="0" w:color="auto"/>
        <w:left w:val="none" w:sz="0" w:space="0" w:color="auto"/>
        <w:bottom w:val="none" w:sz="0" w:space="0" w:color="auto"/>
        <w:right w:val="none" w:sz="0" w:space="0" w:color="auto"/>
      </w:divBdr>
    </w:div>
    <w:div w:id="100225237">
      <w:bodyDiv w:val="1"/>
      <w:marLeft w:val="0"/>
      <w:marRight w:val="0"/>
      <w:marTop w:val="0"/>
      <w:marBottom w:val="0"/>
      <w:divBdr>
        <w:top w:val="none" w:sz="0" w:space="0" w:color="auto"/>
        <w:left w:val="none" w:sz="0" w:space="0" w:color="auto"/>
        <w:bottom w:val="none" w:sz="0" w:space="0" w:color="auto"/>
        <w:right w:val="none" w:sz="0" w:space="0" w:color="auto"/>
      </w:divBdr>
    </w:div>
    <w:div w:id="101456639">
      <w:bodyDiv w:val="1"/>
      <w:marLeft w:val="0"/>
      <w:marRight w:val="0"/>
      <w:marTop w:val="0"/>
      <w:marBottom w:val="0"/>
      <w:divBdr>
        <w:top w:val="none" w:sz="0" w:space="0" w:color="auto"/>
        <w:left w:val="none" w:sz="0" w:space="0" w:color="auto"/>
        <w:bottom w:val="none" w:sz="0" w:space="0" w:color="auto"/>
        <w:right w:val="none" w:sz="0" w:space="0" w:color="auto"/>
      </w:divBdr>
    </w:div>
    <w:div w:id="101845128">
      <w:bodyDiv w:val="1"/>
      <w:marLeft w:val="0"/>
      <w:marRight w:val="0"/>
      <w:marTop w:val="0"/>
      <w:marBottom w:val="0"/>
      <w:divBdr>
        <w:top w:val="none" w:sz="0" w:space="0" w:color="auto"/>
        <w:left w:val="none" w:sz="0" w:space="0" w:color="auto"/>
        <w:bottom w:val="none" w:sz="0" w:space="0" w:color="auto"/>
        <w:right w:val="none" w:sz="0" w:space="0" w:color="auto"/>
      </w:divBdr>
    </w:div>
    <w:div w:id="103696744">
      <w:bodyDiv w:val="1"/>
      <w:marLeft w:val="0"/>
      <w:marRight w:val="0"/>
      <w:marTop w:val="0"/>
      <w:marBottom w:val="0"/>
      <w:divBdr>
        <w:top w:val="none" w:sz="0" w:space="0" w:color="auto"/>
        <w:left w:val="none" w:sz="0" w:space="0" w:color="auto"/>
        <w:bottom w:val="none" w:sz="0" w:space="0" w:color="auto"/>
        <w:right w:val="none" w:sz="0" w:space="0" w:color="auto"/>
      </w:divBdr>
    </w:div>
    <w:div w:id="106706378">
      <w:bodyDiv w:val="1"/>
      <w:marLeft w:val="0"/>
      <w:marRight w:val="0"/>
      <w:marTop w:val="0"/>
      <w:marBottom w:val="0"/>
      <w:divBdr>
        <w:top w:val="none" w:sz="0" w:space="0" w:color="auto"/>
        <w:left w:val="none" w:sz="0" w:space="0" w:color="auto"/>
        <w:bottom w:val="none" w:sz="0" w:space="0" w:color="auto"/>
        <w:right w:val="none" w:sz="0" w:space="0" w:color="auto"/>
      </w:divBdr>
    </w:div>
    <w:div w:id="107698684">
      <w:bodyDiv w:val="1"/>
      <w:marLeft w:val="0"/>
      <w:marRight w:val="0"/>
      <w:marTop w:val="0"/>
      <w:marBottom w:val="0"/>
      <w:divBdr>
        <w:top w:val="none" w:sz="0" w:space="0" w:color="auto"/>
        <w:left w:val="none" w:sz="0" w:space="0" w:color="auto"/>
        <w:bottom w:val="none" w:sz="0" w:space="0" w:color="auto"/>
        <w:right w:val="none" w:sz="0" w:space="0" w:color="auto"/>
      </w:divBdr>
    </w:div>
    <w:div w:id="108091797">
      <w:bodyDiv w:val="1"/>
      <w:marLeft w:val="0"/>
      <w:marRight w:val="0"/>
      <w:marTop w:val="0"/>
      <w:marBottom w:val="0"/>
      <w:divBdr>
        <w:top w:val="none" w:sz="0" w:space="0" w:color="auto"/>
        <w:left w:val="none" w:sz="0" w:space="0" w:color="auto"/>
        <w:bottom w:val="none" w:sz="0" w:space="0" w:color="auto"/>
        <w:right w:val="none" w:sz="0" w:space="0" w:color="auto"/>
      </w:divBdr>
    </w:div>
    <w:div w:id="110787409">
      <w:bodyDiv w:val="1"/>
      <w:marLeft w:val="0"/>
      <w:marRight w:val="0"/>
      <w:marTop w:val="0"/>
      <w:marBottom w:val="0"/>
      <w:divBdr>
        <w:top w:val="none" w:sz="0" w:space="0" w:color="auto"/>
        <w:left w:val="none" w:sz="0" w:space="0" w:color="auto"/>
        <w:bottom w:val="none" w:sz="0" w:space="0" w:color="auto"/>
        <w:right w:val="none" w:sz="0" w:space="0" w:color="auto"/>
      </w:divBdr>
    </w:div>
    <w:div w:id="111023827">
      <w:bodyDiv w:val="1"/>
      <w:marLeft w:val="0"/>
      <w:marRight w:val="0"/>
      <w:marTop w:val="0"/>
      <w:marBottom w:val="0"/>
      <w:divBdr>
        <w:top w:val="none" w:sz="0" w:space="0" w:color="auto"/>
        <w:left w:val="none" w:sz="0" w:space="0" w:color="auto"/>
        <w:bottom w:val="none" w:sz="0" w:space="0" w:color="auto"/>
        <w:right w:val="none" w:sz="0" w:space="0" w:color="auto"/>
      </w:divBdr>
    </w:div>
    <w:div w:id="113722072">
      <w:bodyDiv w:val="1"/>
      <w:marLeft w:val="0"/>
      <w:marRight w:val="0"/>
      <w:marTop w:val="0"/>
      <w:marBottom w:val="0"/>
      <w:divBdr>
        <w:top w:val="none" w:sz="0" w:space="0" w:color="auto"/>
        <w:left w:val="none" w:sz="0" w:space="0" w:color="auto"/>
        <w:bottom w:val="none" w:sz="0" w:space="0" w:color="auto"/>
        <w:right w:val="none" w:sz="0" w:space="0" w:color="auto"/>
      </w:divBdr>
    </w:div>
    <w:div w:id="114102211">
      <w:bodyDiv w:val="1"/>
      <w:marLeft w:val="0"/>
      <w:marRight w:val="0"/>
      <w:marTop w:val="0"/>
      <w:marBottom w:val="0"/>
      <w:divBdr>
        <w:top w:val="none" w:sz="0" w:space="0" w:color="auto"/>
        <w:left w:val="none" w:sz="0" w:space="0" w:color="auto"/>
        <w:bottom w:val="none" w:sz="0" w:space="0" w:color="auto"/>
        <w:right w:val="none" w:sz="0" w:space="0" w:color="auto"/>
      </w:divBdr>
    </w:div>
    <w:div w:id="118112887">
      <w:bodyDiv w:val="1"/>
      <w:marLeft w:val="0"/>
      <w:marRight w:val="0"/>
      <w:marTop w:val="0"/>
      <w:marBottom w:val="0"/>
      <w:divBdr>
        <w:top w:val="none" w:sz="0" w:space="0" w:color="auto"/>
        <w:left w:val="none" w:sz="0" w:space="0" w:color="auto"/>
        <w:bottom w:val="none" w:sz="0" w:space="0" w:color="auto"/>
        <w:right w:val="none" w:sz="0" w:space="0" w:color="auto"/>
      </w:divBdr>
    </w:div>
    <w:div w:id="124199885">
      <w:bodyDiv w:val="1"/>
      <w:marLeft w:val="0"/>
      <w:marRight w:val="0"/>
      <w:marTop w:val="0"/>
      <w:marBottom w:val="0"/>
      <w:divBdr>
        <w:top w:val="none" w:sz="0" w:space="0" w:color="auto"/>
        <w:left w:val="none" w:sz="0" w:space="0" w:color="auto"/>
        <w:bottom w:val="none" w:sz="0" w:space="0" w:color="auto"/>
        <w:right w:val="none" w:sz="0" w:space="0" w:color="auto"/>
      </w:divBdr>
    </w:div>
    <w:div w:id="124278879">
      <w:bodyDiv w:val="1"/>
      <w:marLeft w:val="0"/>
      <w:marRight w:val="0"/>
      <w:marTop w:val="0"/>
      <w:marBottom w:val="0"/>
      <w:divBdr>
        <w:top w:val="none" w:sz="0" w:space="0" w:color="auto"/>
        <w:left w:val="none" w:sz="0" w:space="0" w:color="auto"/>
        <w:bottom w:val="none" w:sz="0" w:space="0" w:color="auto"/>
        <w:right w:val="none" w:sz="0" w:space="0" w:color="auto"/>
      </w:divBdr>
    </w:div>
    <w:div w:id="125239496">
      <w:bodyDiv w:val="1"/>
      <w:marLeft w:val="0"/>
      <w:marRight w:val="0"/>
      <w:marTop w:val="0"/>
      <w:marBottom w:val="0"/>
      <w:divBdr>
        <w:top w:val="none" w:sz="0" w:space="0" w:color="auto"/>
        <w:left w:val="none" w:sz="0" w:space="0" w:color="auto"/>
        <w:bottom w:val="none" w:sz="0" w:space="0" w:color="auto"/>
        <w:right w:val="none" w:sz="0" w:space="0" w:color="auto"/>
      </w:divBdr>
    </w:div>
    <w:div w:id="125398913">
      <w:bodyDiv w:val="1"/>
      <w:marLeft w:val="0"/>
      <w:marRight w:val="0"/>
      <w:marTop w:val="0"/>
      <w:marBottom w:val="0"/>
      <w:divBdr>
        <w:top w:val="none" w:sz="0" w:space="0" w:color="auto"/>
        <w:left w:val="none" w:sz="0" w:space="0" w:color="auto"/>
        <w:bottom w:val="none" w:sz="0" w:space="0" w:color="auto"/>
        <w:right w:val="none" w:sz="0" w:space="0" w:color="auto"/>
      </w:divBdr>
    </w:div>
    <w:div w:id="125582977">
      <w:bodyDiv w:val="1"/>
      <w:marLeft w:val="0"/>
      <w:marRight w:val="0"/>
      <w:marTop w:val="0"/>
      <w:marBottom w:val="0"/>
      <w:divBdr>
        <w:top w:val="none" w:sz="0" w:space="0" w:color="auto"/>
        <w:left w:val="none" w:sz="0" w:space="0" w:color="auto"/>
        <w:bottom w:val="none" w:sz="0" w:space="0" w:color="auto"/>
        <w:right w:val="none" w:sz="0" w:space="0" w:color="auto"/>
      </w:divBdr>
    </w:div>
    <w:div w:id="132873984">
      <w:bodyDiv w:val="1"/>
      <w:marLeft w:val="0"/>
      <w:marRight w:val="0"/>
      <w:marTop w:val="0"/>
      <w:marBottom w:val="0"/>
      <w:divBdr>
        <w:top w:val="none" w:sz="0" w:space="0" w:color="auto"/>
        <w:left w:val="none" w:sz="0" w:space="0" w:color="auto"/>
        <w:bottom w:val="none" w:sz="0" w:space="0" w:color="auto"/>
        <w:right w:val="none" w:sz="0" w:space="0" w:color="auto"/>
      </w:divBdr>
    </w:div>
    <w:div w:id="133446531">
      <w:bodyDiv w:val="1"/>
      <w:marLeft w:val="0"/>
      <w:marRight w:val="0"/>
      <w:marTop w:val="0"/>
      <w:marBottom w:val="0"/>
      <w:divBdr>
        <w:top w:val="none" w:sz="0" w:space="0" w:color="auto"/>
        <w:left w:val="none" w:sz="0" w:space="0" w:color="auto"/>
        <w:bottom w:val="none" w:sz="0" w:space="0" w:color="auto"/>
        <w:right w:val="none" w:sz="0" w:space="0" w:color="auto"/>
      </w:divBdr>
    </w:div>
    <w:div w:id="134108143">
      <w:bodyDiv w:val="1"/>
      <w:marLeft w:val="0"/>
      <w:marRight w:val="0"/>
      <w:marTop w:val="0"/>
      <w:marBottom w:val="0"/>
      <w:divBdr>
        <w:top w:val="none" w:sz="0" w:space="0" w:color="auto"/>
        <w:left w:val="none" w:sz="0" w:space="0" w:color="auto"/>
        <w:bottom w:val="none" w:sz="0" w:space="0" w:color="auto"/>
        <w:right w:val="none" w:sz="0" w:space="0" w:color="auto"/>
      </w:divBdr>
    </w:div>
    <w:div w:id="137189101">
      <w:bodyDiv w:val="1"/>
      <w:marLeft w:val="0"/>
      <w:marRight w:val="0"/>
      <w:marTop w:val="0"/>
      <w:marBottom w:val="0"/>
      <w:divBdr>
        <w:top w:val="none" w:sz="0" w:space="0" w:color="auto"/>
        <w:left w:val="none" w:sz="0" w:space="0" w:color="auto"/>
        <w:bottom w:val="none" w:sz="0" w:space="0" w:color="auto"/>
        <w:right w:val="none" w:sz="0" w:space="0" w:color="auto"/>
      </w:divBdr>
    </w:div>
    <w:div w:id="138109693">
      <w:bodyDiv w:val="1"/>
      <w:marLeft w:val="0"/>
      <w:marRight w:val="0"/>
      <w:marTop w:val="0"/>
      <w:marBottom w:val="0"/>
      <w:divBdr>
        <w:top w:val="none" w:sz="0" w:space="0" w:color="auto"/>
        <w:left w:val="none" w:sz="0" w:space="0" w:color="auto"/>
        <w:bottom w:val="none" w:sz="0" w:space="0" w:color="auto"/>
        <w:right w:val="none" w:sz="0" w:space="0" w:color="auto"/>
      </w:divBdr>
    </w:div>
    <w:div w:id="141780904">
      <w:bodyDiv w:val="1"/>
      <w:marLeft w:val="0"/>
      <w:marRight w:val="0"/>
      <w:marTop w:val="0"/>
      <w:marBottom w:val="0"/>
      <w:divBdr>
        <w:top w:val="none" w:sz="0" w:space="0" w:color="auto"/>
        <w:left w:val="none" w:sz="0" w:space="0" w:color="auto"/>
        <w:bottom w:val="none" w:sz="0" w:space="0" w:color="auto"/>
        <w:right w:val="none" w:sz="0" w:space="0" w:color="auto"/>
      </w:divBdr>
    </w:div>
    <w:div w:id="142044447">
      <w:bodyDiv w:val="1"/>
      <w:marLeft w:val="0"/>
      <w:marRight w:val="0"/>
      <w:marTop w:val="0"/>
      <w:marBottom w:val="0"/>
      <w:divBdr>
        <w:top w:val="none" w:sz="0" w:space="0" w:color="auto"/>
        <w:left w:val="none" w:sz="0" w:space="0" w:color="auto"/>
        <w:bottom w:val="none" w:sz="0" w:space="0" w:color="auto"/>
        <w:right w:val="none" w:sz="0" w:space="0" w:color="auto"/>
      </w:divBdr>
    </w:div>
    <w:div w:id="142360165">
      <w:bodyDiv w:val="1"/>
      <w:marLeft w:val="0"/>
      <w:marRight w:val="0"/>
      <w:marTop w:val="0"/>
      <w:marBottom w:val="0"/>
      <w:divBdr>
        <w:top w:val="none" w:sz="0" w:space="0" w:color="auto"/>
        <w:left w:val="none" w:sz="0" w:space="0" w:color="auto"/>
        <w:bottom w:val="none" w:sz="0" w:space="0" w:color="auto"/>
        <w:right w:val="none" w:sz="0" w:space="0" w:color="auto"/>
      </w:divBdr>
    </w:div>
    <w:div w:id="145169968">
      <w:bodyDiv w:val="1"/>
      <w:marLeft w:val="0"/>
      <w:marRight w:val="0"/>
      <w:marTop w:val="0"/>
      <w:marBottom w:val="0"/>
      <w:divBdr>
        <w:top w:val="none" w:sz="0" w:space="0" w:color="auto"/>
        <w:left w:val="none" w:sz="0" w:space="0" w:color="auto"/>
        <w:bottom w:val="none" w:sz="0" w:space="0" w:color="auto"/>
        <w:right w:val="none" w:sz="0" w:space="0" w:color="auto"/>
      </w:divBdr>
    </w:div>
    <w:div w:id="145434971">
      <w:bodyDiv w:val="1"/>
      <w:marLeft w:val="0"/>
      <w:marRight w:val="0"/>
      <w:marTop w:val="0"/>
      <w:marBottom w:val="0"/>
      <w:divBdr>
        <w:top w:val="none" w:sz="0" w:space="0" w:color="auto"/>
        <w:left w:val="none" w:sz="0" w:space="0" w:color="auto"/>
        <w:bottom w:val="none" w:sz="0" w:space="0" w:color="auto"/>
        <w:right w:val="none" w:sz="0" w:space="0" w:color="auto"/>
      </w:divBdr>
    </w:div>
    <w:div w:id="145979345">
      <w:bodyDiv w:val="1"/>
      <w:marLeft w:val="0"/>
      <w:marRight w:val="0"/>
      <w:marTop w:val="0"/>
      <w:marBottom w:val="0"/>
      <w:divBdr>
        <w:top w:val="none" w:sz="0" w:space="0" w:color="auto"/>
        <w:left w:val="none" w:sz="0" w:space="0" w:color="auto"/>
        <w:bottom w:val="none" w:sz="0" w:space="0" w:color="auto"/>
        <w:right w:val="none" w:sz="0" w:space="0" w:color="auto"/>
      </w:divBdr>
    </w:div>
    <w:div w:id="146408622">
      <w:bodyDiv w:val="1"/>
      <w:marLeft w:val="0"/>
      <w:marRight w:val="0"/>
      <w:marTop w:val="0"/>
      <w:marBottom w:val="0"/>
      <w:divBdr>
        <w:top w:val="none" w:sz="0" w:space="0" w:color="auto"/>
        <w:left w:val="none" w:sz="0" w:space="0" w:color="auto"/>
        <w:bottom w:val="none" w:sz="0" w:space="0" w:color="auto"/>
        <w:right w:val="none" w:sz="0" w:space="0" w:color="auto"/>
      </w:divBdr>
    </w:div>
    <w:div w:id="147482406">
      <w:bodyDiv w:val="1"/>
      <w:marLeft w:val="0"/>
      <w:marRight w:val="0"/>
      <w:marTop w:val="0"/>
      <w:marBottom w:val="0"/>
      <w:divBdr>
        <w:top w:val="none" w:sz="0" w:space="0" w:color="auto"/>
        <w:left w:val="none" w:sz="0" w:space="0" w:color="auto"/>
        <w:bottom w:val="none" w:sz="0" w:space="0" w:color="auto"/>
        <w:right w:val="none" w:sz="0" w:space="0" w:color="auto"/>
      </w:divBdr>
    </w:div>
    <w:div w:id="152993135">
      <w:bodyDiv w:val="1"/>
      <w:marLeft w:val="0"/>
      <w:marRight w:val="0"/>
      <w:marTop w:val="0"/>
      <w:marBottom w:val="0"/>
      <w:divBdr>
        <w:top w:val="none" w:sz="0" w:space="0" w:color="auto"/>
        <w:left w:val="none" w:sz="0" w:space="0" w:color="auto"/>
        <w:bottom w:val="none" w:sz="0" w:space="0" w:color="auto"/>
        <w:right w:val="none" w:sz="0" w:space="0" w:color="auto"/>
      </w:divBdr>
    </w:div>
    <w:div w:id="153648899">
      <w:bodyDiv w:val="1"/>
      <w:marLeft w:val="0"/>
      <w:marRight w:val="0"/>
      <w:marTop w:val="0"/>
      <w:marBottom w:val="0"/>
      <w:divBdr>
        <w:top w:val="none" w:sz="0" w:space="0" w:color="auto"/>
        <w:left w:val="none" w:sz="0" w:space="0" w:color="auto"/>
        <w:bottom w:val="none" w:sz="0" w:space="0" w:color="auto"/>
        <w:right w:val="none" w:sz="0" w:space="0" w:color="auto"/>
      </w:divBdr>
    </w:div>
    <w:div w:id="154539751">
      <w:bodyDiv w:val="1"/>
      <w:marLeft w:val="0"/>
      <w:marRight w:val="0"/>
      <w:marTop w:val="0"/>
      <w:marBottom w:val="0"/>
      <w:divBdr>
        <w:top w:val="none" w:sz="0" w:space="0" w:color="auto"/>
        <w:left w:val="none" w:sz="0" w:space="0" w:color="auto"/>
        <w:bottom w:val="none" w:sz="0" w:space="0" w:color="auto"/>
        <w:right w:val="none" w:sz="0" w:space="0" w:color="auto"/>
      </w:divBdr>
    </w:div>
    <w:div w:id="154692598">
      <w:bodyDiv w:val="1"/>
      <w:marLeft w:val="0"/>
      <w:marRight w:val="0"/>
      <w:marTop w:val="0"/>
      <w:marBottom w:val="0"/>
      <w:divBdr>
        <w:top w:val="none" w:sz="0" w:space="0" w:color="auto"/>
        <w:left w:val="none" w:sz="0" w:space="0" w:color="auto"/>
        <w:bottom w:val="none" w:sz="0" w:space="0" w:color="auto"/>
        <w:right w:val="none" w:sz="0" w:space="0" w:color="auto"/>
      </w:divBdr>
    </w:div>
    <w:div w:id="155459646">
      <w:bodyDiv w:val="1"/>
      <w:marLeft w:val="0"/>
      <w:marRight w:val="0"/>
      <w:marTop w:val="0"/>
      <w:marBottom w:val="0"/>
      <w:divBdr>
        <w:top w:val="none" w:sz="0" w:space="0" w:color="auto"/>
        <w:left w:val="none" w:sz="0" w:space="0" w:color="auto"/>
        <w:bottom w:val="none" w:sz="0" w:space="0" w:color="auto"/>
        <w:right w:val="none" w:sz="0" w:space="0" w:color="auto"/>
      </w:divBdr>
    </w:div>
    <w:div w:id="159581371">
      <w:bodyDiv w:val="1"/>
      <w:marLeft w:val="0"/>
      <w:marRight w:val="0"/>
      <w:marTop w:val="0"/>
      <w:marBottom w:val="0"/>
      <w:divBdr>
        <w:top w:val="none" w:sz="0" w:space="0" w:color="auto"/>
        <w:left w:val="none" w:sz="0" w:space="0" w:color="auto"/>
        <w:bottom w:val="none" w:sz="0" w:space="0" w:color="auto"/>
        <w:right w:val="none" w:sz="0" w:space="0" w:color="auto"/>
      </w:divBdr>
    </w:div>
    <w:div w:id="161743030">
      <w:bodyDiv w:val="1"/>
      <w:marLeft w:val="0"/>
      <w:marRight w:val="0"/>
      <w:marTop w:val="0"/>
      <w:marBottom w:val="0"/>
      <w:divBdr>
        <w:top w:val="none" w:sz="0" w:space="0" w:color="auto"/>
        <w:left w:val="none" w:sz="0" w:space="0" w:color="auto"/>
        <w:bottom w:val="none" w:sz="0" w:space="0" w:color="auto"/>
        <w:right w:val="none" w:sz="0" w:space="0" w:color="auto"/>
      </w:divBdr>
    </w:div>
    <w:div w:id="162160703">
      <w:bodyDiv w:val="1"/>
      <w:marLeft w:val="0"/>
      <w:marRight w:val="0"/>
      <w:marTop w:val="0"/>
      <w:marBottom w:val="0"/>
      <w:divBdr>
        <w:top w:val="none" w:sz="0" w:space="0" w:color="auto"/>
        <w:left w:val="none" w:sz="0" w:space="0" w:color="auto"/>
        <w:bottom w:val="none" w:sz="0" w:space="0" w:color="auto"/>
        <w:right w:val="none" w:sz="0" w:space="0" w:color="auto"/>
      </w:divBdr>
    </w:div>
    <w:div w:id="163933938">
      <w:bodyDiv w:val="1"/>
      <w:marLeft w:val="0"/>
      <w:marRight w:val="0"/>
      <w:marTop w:val="0"/>
      <w:marBottom w:val="0"/>
      <w:divBdr>
        <w:top w:val="none" w:sz="0" w:space="0" w:color="auto"/>
        <w:left w:val="none" w:sz="0" w:space="0" w:color="auto"/>
        <w:bottom w:val="none" w:sz="0" w:space="0" w:color="auto"/>
        <w:right w:val="none" w:sz="0" w:space="0" w:color="auto"/>
      </w:divBdr>
    </w:div>
    <w:div w:id="164976664">
      <w:bodyDiv w:val="1"/>
      <w:marLeft w:val="0"/>
      <w:marRight w:val="0"/>
      <w:marTop w:val="0"/>
      <w:marBottom w:val="0"/>
      <w:divBdr>
        <w:top w:val="none" w:sz="0" w:space="0" w:color="auto"/>
        <w:left w:val="none" w:sz="0" w:space="0" w:color="auto"/>
        <w:bottom w:val="none" w:sz="0" w:space="0" w:color="auto"/>
        <w:right w:val="none" w:sz="0" w:space="0" w:color="auto"/>
      </w:divBdr>
    </w:div>
    <w:div w:id="165634322">
      <w:bodyDiv w:val="1"/>
      <w:marLeft w:val="0"/>
      <w:marRight w:val="0"/>
      <w:marTop w:val="0"/>
      <w:marBottom w:val="0"/>
      <w:divBdr>
        <w:top w:val="none" w:sz="0" w:space="0" w:color="auto"/>
        <w:left w:val="none" w:sz="0" w:space="0" w:color="auto"/>
        <w:bottom w:val="none" w:sz="0" w:space="0" w:color="auto"/>
        <w:right w:val="none" w:sz="0" w:space="0" w:color="auto"/>
      </w:divBdr>
    </w:div>
    <w:div w:id="171798983">
      <w:bodyDiv w:val="1"/>
      <w:marLeft w:val="0"/>
      <w:marRight w:val="0"/>
      <w:marTop w:val="0"/>
      <w:marBottom w:val="0"/>
      <w:divBdr>
        <w:top w:val="none" w:sz="0" w:space="0" w:color="auto"/>
        <w:left w:val="none" w:sz="0" w:space="0" w:color="auto"/>
        <w:bottom w:val="none" w:sz="0" w:space="0" w:color="auto"/>
        <w:right w:val="none" w:sz="0" w:space="0" w:color="auto"/>
      </w:divBdr>
    </w:div>
    <w:div w:id="172110643">
      <w:bodyDiv w:val="1"/>
      <w:marLeft w:val="0"/>
      <w:marRight w:val="0"/>
      <w:marTop w:val="0"/>
      <w:marBottom w:val="0"/>
      <w:divBdr>
        <w:top w:val="none" w:sz="0" w:space="0" w:color="auto"/>
        <w:left w:val="none" w:sz="0" w:space="0" w:color="auto"/>
        <w:bottom w:val="none" w:sz="0" w:space="0" w:color="auto"/>
        <w:right w:val="none" w:sz="0" w:space="0" w:color="auto"/>
      </w:divBdr>
    </w:div>
    <w:div w:id="176626063">
      <w:bodyDiv w:val="1"/>
      <w:marLeft w:val="0"/>
      <w:marRight w:val="0"/>
      <w:marTop w:val="0"/>
      <w:marBottom w:val="0"/>
      <w:divBdr>
        <w:top w:val="none" w:sz="0" w:space="0" w:color="auto"/>
        <w:left w:val="none" w:sz="0" w:space="0" w:color="auto"/>
        <w:bottom w:val="none" w:sz="0" w:space="0" w:color="auto"/>
        <w:right w:val="none" w:sz="0" w:space="0" w:color="auto"/>
      </w:divBdr>
    </w:div>
    <w:div w:id="181551160">
      <w:bodyDiv w:val="1"/>
      <w:marLeft w:val="0"/>
      <w:marRight w:val="0"/>
      <w:marTop w:val="0"/>
      <w:marBottom w:val="0"/>
      <w:divBdr>
        <w:top w:val="none" w:sz="0" w:space="0" w:color="auto"/>
        <w:left w:val="none" w:sz="0" w:space="0" w:color="auto"/>
        <w:bottom w:val="none" w:sz="0" w:space="0" w:color="auto"/>
        <w:right w:val="none" w:sz="0" w:space="0" w:color="auto"/>
      </w:divBdr>
    </w:div>
    <w:div w:id="182672830">
      <w:bodyDiv w:val="1"/>
      <w:marLeft w:val="0"/>
      <w:marRight w:val="0"/>
      <w:marTop w:val="0"/>
      <w:marBottom w:val="0"/>
      <w:divBdr>
        <w:top w:val="none" w:sz="0" w:space="0" w:color="auto"/>
        <w:left w:val="none" w:sz="0" w:space="0" w:color="auto"/>
        <w:bottom w:val="none" w:sz="0" w:space="0" w:color="auto"/>
        <w:right w:val="none" w:sz="0" w:space="0" w:color="auto"/>
      </w:divBdr>
    </w:div>
    <w:div w:id="184759596">
      <w:bodyDiv w:val="1"/>
      <w:marLeft w:val="0"/>
      <w:marRight w:val="0"/>
      <w:marTop w:val="0"/>
      <w:marBottom w:val="0"/>
      <w:divBdr>
        <w:top w:val="none" w:sz="0" w:space="0" w:color="auto"/>
        <w:left w:val="none" w:sz="0" w:space="0" w:color="auto"/>
        <w:bottom w:val="none" w:sz="0" w:space="0" w:color="auto"/>
        <w:right w:val="none" w:sz="0" w:space="0" w:color="auto"/>
      </w:divBdr>
    </w:div>
    <w:div w:id="185099491">
      <w:bodyDiv w:val="1"/>
      <w:marLeft w:val="0"/>
      <w:marRight w:val="0"/>
      <w:marTop w:val="0"/>
      <w:marBottom w:val="0"/>
      <w:divBdr>
        <w:top w:val="none" w:sz="0" w:space="0" w:color="auto"/>
        <w:left w:val="none" w:sz="0" w:space="0" w:color="auto"/>
        <w:bottom w:val="none" w:sz="0" w:space="0" w:color="auto"/>
        <w:right w:val="none" w:sz="0" w:space="0" w:color="auto"/>
      </w:divBdr>
    </w:div>
    <w:div w:id="185409006">
      <w:bodyDiv w:val="1"/>
      <w:marLeft w:val="0"/>
      <w:marRight w:val="0"/>
      <w:marTop w:val="0"/>
      <w:marBottom w:val="0"/>
      <w:divBdr>
        <w:top w:val="none" w:sz="0" w:space="0" w:color="auto"/>
        <w:left w:val="none" w:sz="0" w:space="0" w:color="auto"/>
        <w:bottom w:val="none" w:sz="0" w:space="0" w:color="auto"/>
        <w:right w:val="none" w:sz="0" w:space="0" w:color="auto"/>
      </w:divBdr>
    </w:div>
    <w:div w:id="185991815">
      <w:bodyDiv w:val="1"/>
      <w:marLeft w:val="0"/>
      <w:marRight w:val="0"/>
      <w:marTop w:val="0"/>
      <w:marBottom w:val="0"/>
      <w:divBdr>
        <w:top w:val="none" w:sz="0" w:space="0" w:color="auto"/>
        <w:left w:val="none" w:sz="0" w:space="0" w:color="auto"/>
        <w:bottom w:val="none" w:sz="0" w:space="0" w:color="auto"/>
        <w:right w:val="none" w:sz="0" w:space="0" w:color="auto"/>
      </w:divBdr>
    </w:div>
    <w:div w:id="186188101">
      <w:bodyDiv w:val="1"/>
      <w:marLeft w:val="0"/>
      <w:marRight w:val="0"/>
      <w:marTop w:val="0"/>
      <w:marBottom w:val="0"/>
      <w:divBdr>
        <w:top w:val="none" w:sz="0" w:space="0" w:color="auto"/>
        <w:left w:val="none" w:sz="0" w:space="0" w:color="auto"/>
        <w:bottom w:val="none" w:sz="0" w:space="0" w:color="auto"/>
        <w:right w:val="none" w:sz="0" w:space="0" w:color="auto"/>
      </w:divBdr>
    </w:div>
    <w:div w:id="190388420">
      <w:bodyDiv w:val="1"/>
      <w:marLeft w:val="0"/>
      <w:marRight w:val="0"/>
      <w:marTop w:val="0"/>
      <w:marBottom w:val="0"/>
      <w:divBdr>
        <w:top w:val="none" w:sz="0" w:space="0" w:color="auto"/>
        <w:left w:val="none" w:sz="0" w:space="0" w:color="auto"/>
        <w:bottom w:val="none" w:sz="0" w:space="0" w:color="auto"/>
        <w:right w:val="none" w:sz="0" w:space="0" w:color="auto"/>
      </w:divBdr>
    </w:div>
    <w:div w:id="191118442">
      <w:bodyDiv w:val="1"/>
      <w:marLeft w:val="0"/>
      <w:marRight w:val="0"/>
      <w:marTop w:val="0"/>
      <w:marBottom w:val="0"/>
      <w:divBdr>
        <w:top w:val="none" w:sz="0" w:space="0" w:color="auto"/>
        <w:left w:val="none" w:sz="0" w:space="0" w:color="auto"/>
        <w:bottom w:val="none" w:sz="0" w:space="0" w:color="auto"/>
        <w:right w:val="none" w:sz="0" w:space="0" w:color="auto"/>
      </w:divBdr>
    </w:div>
    <w:div w:id="193882153">
      <w:bodyDiv w:val="1"/>
      <w:marLeft w:val="0"/>
      <w:marRight w:val="0"/>
      <w:marTop w:val="0"/>
      <w:marBottom w:val="0"/>
      <w:divBdr>
        <w:top w:val="none" w:sz="0" w:space="0" w:color="auto"/>
        <w:left w:val="none" w:sz="0" w:space="0" w:color="auto"/>
        <w:bottom w:val="none" w:sz="0" w:space="0" w:color="auto"/>
        <w:right w:val="none" w:sz="0" w:space="0" w:color="auto"/>
      </w:divBdr>
    </w:div>
    <w:div w:id="194268751">
      <w:bodyDiv w:val="1"/>
      <w:marLeft w:val="0"/>
      <w:marRight w:val="0"/>
      <w:marTop w:val="0"/>
      <w:marBottom w:val="0"/>
      <w:divBdr>
        <w:top w:val="none" w:sz="0" w:space="0" w:color="auto"/>
        <w:left w:val="none" w:sz="0" w:space="0" w:color="auto"/>
        <w:bottom w:val="none" w:sz="0" w:space="0" w:color="auto"/>
        <w:right w:val="none" w:sz="0" w:space="0" w:color="auto"/>
      </w:divBdr>
    </w:div>
    <w:div w:id="205139491">
      <w:bodyDiv w:val="1"/>
      <w:marLeft w:val="0"/>
      <w:marRight w:val="0"/>
      <w:marTop w:val="0"/>
      <w:marBottom w:val="0"/>
      <w:divBdr>
        <w:top w:val="none" w:sz="0" w:space="0" w:color="auto"/>
        <w:left w:val="none" w:sz="0" w:space="0" w:color="auto"/>
        <w:bottom w:val="none" w:sz="0" w:space="0" w:color="auto"/>
        <w:right w:val="none" w:sz="0" w:space="0" w:color="auto"/>
      </w:divBdr>
    </w:div>
    <w:div w:id="207229317">
      <w:bodyDiv w:val="1"/>
      <w:marLeft w:val="0"/>
      <w:marRight w:val="0"/>
      <w:marTop w:val="0"/>
      <w:marBottom w:val="0"/>
      <w:divBdr>
        <w:top w:val="none" w:sz="0" w:space="0" w:color="auto"/>
        <w:left w:val="none" w:sz="0" w:space="0" w:color="auto"/>
        <w:bottom w:val="none" w:sz="0" w:space="0" w:color="auto"/>
        <w:right w:val="none" w:sz="0" w:space="0" w:color="auto"/>
      </w:divBdr>
    </w:div>
    <w:div w:id="211383387">
      <w:bodyDiv w:val="1"/>
      <w:marLeft w:val="0"/>
      <w:marRight w:val="0"/>
      <w:marTop w:val="0"/>
      <w:marBottom w:val="0"/>
      <w:divBdr>
        <w:top w:val="none" w:sz="0" w:space="0" w:color="auto"/>
        <w:left w:val="none" w:sz="0" w:space="0" w:color="auto"/>
        <w:bottom w:val="none" w:sz="0" w:space="0" w:color="auto"/>
        <w:right w:val="none" w:sz="0" w:space="0" w:color="auto"/>
      </w:divBdr>
    </w:div>
    <w:div w:id="212692469">
      <w:bodyDiv w:val="1"/>
      <w:marLeft w:val="0"/>
      <w:marRight w:val="0"/>
      <w:marTop w:val="0"/>
      <w:marBottom w:val="0"/>
      <w:divBdr>
        <w:top w:val="none" w:sz="0" w:space="0" w:color="auto"/>
        <w:left w:val="none" w:sz="0" w:space="0" w:color="auto"/>
        <w:bottom w:val="none" w:sz="0" w:space="0" w:color="auto"/>
        <w:right w:val="none" w:sz="0" w:space="0" w:color="auto"/>
      </w:divBdr>
    </w:div>
    <w:div w:id="216354173">
      <w:bodyDiv w:val="1"/>
      <w:marLeft w:val="0"/>
      <w:marRight w:val="0"/>
      <w:marTop w:val="0"/>
      <w:marBottom w:val="0"/>
      <w:divBdr>
        <w:top w:val="none" w:sz="0" w:space="0" w:color="auto"/>
        <w:left w:val="none" w:sz="0" w:space="0" w:color="auto"/>
        <w:bottom w:val="none" w:sz="0" w:space="0" w:color="auto"/>
        <w:right w:val="none" w:sz="0" w:space="0" w:color="auto"/>
      </w:divBdr>
    </w:div>
    <w:div w:id="221908952">
      <w:bodyDiv w:val="1"/>
      <w:marLeft w:val="0"/>
      <w:marRight w:val="0"/>
      <w:marTop w:val="0"/>
      <w:marBottom w:val="0"/>
      <w:divBdr>
        <w:top w:val="none" w:sz="0" w:space="0" w:color="auto"/>
        <w:left w:val="none" w:sz="0" w:space="0" w:color="auto"/>
        <w:bottom w:val="none" w:sz="0" w:space="0" w:color="auto"/>
        <w:right w:val="none" w:sz="0" w:space="0" w:color="auto"/>
      </w:divBdr>
    </w:div>
    <w:div w:id="222104697">
      <w:bodyDiv w:val="1"/>
      <w:marLeft w:val="0"/>
      <w:marRight w:val="0"/>
      <w:marTop w:val="0"/>
      <w:marBottom w:val="0"/>
      <w:divBdr>
        <w:top w:val="none" w:sz="0" w:space="0" w:color="auto"/>
        <w:left w:val="none" w:sz="0" w:space="0" w:color="auto"/>
        <w:bottom w:val="none" w:sz="0" w:space="0" w:color="auto"/>
        <w:right w:val="none" w:sz="0" w:space="0" w:color="auto"/>
      </w:divBdr>
    </w:div>
    <w:div w:id="225841382">
      <w:bodyDiv w:val="1"/>
      <w:marLeft w:val="0"/>
      <w:marRight w:val="0"/>
      <w:marTop w:val="0"/>
      <w:marBottom w:val="0"/>
      <w:divBdr>
        <w:top w:val="none" w:sz="0" w:space="0" w:color="auto"/>
        <w:left w:val="none" w:sz="0" w:space="0" w:color="auto"/>
        <w:bottom w:val="none" w:sz="0" w:space="0" w:color="auto"/>
        <w:right w:val="none" w:sz="0" w:space="0" w:color="auto"/>
      </w:divBdr>
    </w:div>
    <w:div w:id="231162779">
      <w:bodyDiv w:val="1"/>
      <w:marLeft w:val="0"/>
      <w:marRight w:val="0"/>
      <w:marTop w:val="0"/>
      <w:marBottom w:val="0"/>
      <w:divBdr>
        <w:top w:val="none" w:sz="0" w:space="0" w:color="auto"/>
        <w:left w:val="none" w:sz="0" w:space="0" w:color="auto"/>
        <w:bottom w:val="none" w:sz="0" w:space="0" w:color="auto"/>
        <w:right w:val="none" w:sz="0" w:space="0" w:color="auto"/>
      </w:divBdr>
    </w:div>
    <w:div w:id="232743540">
      <w:bodyDiv w:val="1"/>
      <w:marLeft w:val="0"/>
      <w:marRight w:val="0"/>
      <w:marTop w:val="0"/>
      <w:marBottom w:val="0"/>
      <w:divBdr>
        <w:top w:val="none" w:sz="0" w:space="0" w:color="auto"/>
        <w:left w:val="none" w:sz="0" w:space="0" w:color="auto"/>
        <w:bottom w:val="none" w:sz="0" w:space="0" w:color="auto"/>
        <w:right w:val="none" w:sz="0" w:space="0" w:color="auto"/>
      </w:divBdr>
    </w:div>
    <w:div w:id="233199462">
      <w:bodyDiv w:val="1"/>
      <w:marLeft w:val="0"/>
      <w:marRight w:val="0"/>
      <w:marTop w:val="0"/>
      <w:marBottom w:val="0"/>
      <w:divBdr>
        <w:top w:val="none" w:sz="0" w:space="0" w:color="auto"/>
        <w:left w:val="none" w:sz="0" w:space="0" w:color="auto"/>
        <w:bottom w:val="none" w:sz="0" w:space="0" w:color="auto"/>
        <w:right w:val="none" w:sz="0" w:space="0" w:color="auto"/>
      </w:divBdr>
    </w:div>
    <w:div w:id="250504025">
      <w:bodyDiv w:val="1"/>
      <w:marLeft w:val="0"/>
      <w:marRight w:val="0"/>
      <w:marTop w:val="0"/>
      <w:marBottom w:val="0"/>
      <w:divBdr>
        <w:top w:val="none" w:sz="0" w:space="0" w:color="auto"/>
        <w:left w:val="none" w:sz="0" w:space="0" w:color="auto"/>
        <w:bottom w:val="none" w:sz="0" w:space="0" w:color="auto"/>
        <w:right w:val="none" w:sz="0" w:space="0" w:color="auto"/>
      </w:divBdr>
    </w:div>
    <w:div w:id="251398056">
      <w:bodyDiv w:val="1"/>
      <w:marLeft w:val="0"/>
      <w:marRight w:val="0"/>
      <w:marTop w:val="0"/>
      <w:marBottom w:val="0"/>
      <w:divBdr>
        <w:top w:val="none" w:sz="0" w:space="0" w:color="auto"/>
        <w:left w:val="none" w:sz="0" w:space="0" w:color="auto"/>
        <w:bottom w:val="none" w:sz="0" w:space="0" w:color="auto"/>
        <w:right w:val="none" w:sz="0" w:space="0" w:color="auto"/>
      </w:divBdr>
    </w:div>
    <w:div w:id="251860008">
      <w:bodyDiv w:val="1"/>
      <w:marLeft w:val="0"/>
      <w:marRight w:val="0"/>
      <w:marTop w:val="0"/>
      <w:marBottom w:val="0"/>
      <w:divBdr>
        <w:top w:val="none" w:sz="0" w:space="0" w:color="auto"/>
        <w:left w:val="none" w:sz="0" w:space="0" w:color="auto"/>
        <w:bottom w:val="none" w:sz="0" w:space="0" w:color="auto"/>
        <w:right w:val="none" w:sz="0" w:space="0" w:color="auto"/>
      </w:divBdr>
    </w:div>
    <w:div w:id="254290791">
      <w:bodyDiv w:val="1"/>
      <w:marLeft w:val="0"/>
      <w:marRight w:val="0"/>
      <w:marTop w:val="0"/>
      <w:marBottom w:val="0"/>
      <w:divBdr>
        <w:top w:val="none" w:sz="0" w:space="0" w:color="auto"/>
        <w:left w:val="none" w:sz="0" w:space="0" w:color="auto"/>
        <w:bottom w:val="none" w:sz="0" w:space="0" w:color="auto"/>
        <w:right w:val="none" w:sz="0" w:space="0" w:color="auto"/>
      </w:divBdr>
    </w:div>
    <w:div w:id="254555819">
      <w:bodyDiv w:val="1"/>
      <w:marLeft w:val="0"/>
      <w:marRight w:val="0"/>
      <w:marTop w:val="0"/>
      <w:marBottom w:val="0"/>
      <w:divBdr>
        <w:top w:val="none" w:sz="0" w:space="0" w:color="auto"/>
        <w:left w:val="none" w:sz="0" w:space="0" w:color="auto"/>
        <w:bottom w:val="none" w:sz="0" w:space="0" w:color="auto"/>
        <w:right w:val="none" w:sz="0" w:space="0" w:color="auto"/>
      </w:divBdr>
    </w:div>
    <w:div w:id="259487059">
      <w:bodyDiv w:val="1"/>
      <w:marLeft w:val="0"/>
      <w:marRight w:val="0"/>
      <w:marTop w:val="0"/>
      <w:marBottom w:val="0"/>
      <w:divBdr>
        <w:top w:val="none" w:sz="0" w:space="0" w:color="auto"/>
        <w:left w:val="none" w:sz="0" w:space="0" w:color="auto"/>
        <w:bottom w:val="none" w:sz="0" w:space="0" w:color="auto"/>
        <w:right w:val="none" w:sz="0" w:space="0" w:color="auto"/>
      </w:divBdr>
    </w:div>
    <w:div w:id="261954470">
      <w:bodyDiv w:val="1"/>
      <w:marLeft w:val="0"/>
      <w:marRight w:val="0"/>
      <w:marTop w:val="0"/>
      <w:marBottom w:val="0"/>
      <w:divBdr>
        <w:top w:val="none" w:sz="0" w:space="0" w:color="auto"/>
        <w:left w:val="none" w:sz="0" w:space="0" w:color="auto"/>
        <w:bottom w:val="none" w:sz="0" w:space="0" w:color="auto"/>
        <w:right w:val="none" w:sz="0" w:space="0" w:color="auto"/>
      </w:divBdr>
    </w:div>
    <w:div w:id="264046051">
      <w:bodyDiv w:val="1"/>
      <w:marLeft w:val="0"/>
      <w:marRight w:val="0"/>
      <w:marTop w:val="0"/>
      <w:marBottom w:val="0"/>
      <w:divBdr>
        <w:top w:val="none" w:sz="0" w:space="0" w:color="auto"/>
        <w:left w:val="none" w:sz="0" w:space="0" w:color="auto"/>
        <w:bottom w:val="none" w:sz="0" w:space="0" w:color="auto"/>
        <w:right w:val="none" w:sz="0" w:space="0" w:color="auto"/>
      </w:divBdr>
    </w:div>
    <w:div w:id="264654626">
      <w:bodyDiv w:val="1"/>
      <w:marLeft w:val="0"/>
      <w:marRight w:val="0"/>
      <w:marTop w:val="0"/>
      <w:marBottom w:val="0"/>
      <w:divBdr>
        <w:top w:val="none" w:sz="0" w:space="0" w:color="auto"/>
        <w:left w:val="none" w:sz="0" w:space="0" w:color="auto"/>
        <w:bottom w:val="none" w:sz="0" w:space="0" w:color="auto"/>
        <w:right w:val="none" w:sz="0" w:space="0" w:color="auto"/>
      </w:divBdr>
    </w:div>
    <w:div w:id="265507188">
      <w:bodyDiv w:val="1"/>
      <w:marLeft w:val="0"/>
      <w:marRight w:val="0"/>
      <w:marTop w:val="0"/>
      <w:marBottom w:val="0"/>
      <w:divBdr>
        <w:top w:val="none" w:sz="0" w:space="0" w:color="auto"/>
        <w:left w:val="none" w:sz="0" w:space="0" w:color="auto"/>
        <w:bottom w:val="none" w:sz="0" w:space="0" w:color="auto"/>
        <w:right w:val="none" w:sz="0" w:space="0" w:color="auto"/>
      </w:divBdr>
    </w:div>
    <w:div w:id="270212768">
      <w:bodyDiv w:val="1"/>
      <w:marLeft w:val="0"/>
      <w:marRight w:val="0"/>
      <w:marTop w:val="0"/>
      <w:marBottom w:val="0"/>
      <w:divBdr>
        <w:top w:val="none" w:sz="0" w:space="0" w:color="auto"/>
        <w:left w:val="none" w:sz="0" w:space="0" w:color="auto"/>
        <w:bottom w:val="none" w:sz="0" w:space="0" w:color="auto"/>
        <w:right w:val="none" w:sz="0" w:space="0" w:color="auto"/>
      </w:divBdr>
    </w:div>
    <w:div w:id="271324568">
      <w:bodyDiv w:val="1"/>
      <w:marLeft w:val="0"/>
      <w:marRight w:val="0"/>
      <w:marTop w:val="0"/>
      <w:marBottom w:val="0"/>
      <w:divBdr>
        <w:top w:val="none" w:sz="0" w:space="0" w:color="auto"/>
        <w:left w:val="none" w:sz="0" w:space="0" w:color="auto"/>
        <w:bottom w:val="none" w:sz="0" w:space="0" w:color="auto"/>
        <w:right w:val="none" w:sz="0" w:space="0" w:color="auto"/>
      </w:divBdr>
    </w:div>
    <w:div w:id="272712780">
      <w:bodyDiv w:val="1"/>
      <w:marLeft w:val="0"/>
      <w:marRight w:val="0"/>
      <w:marTop w:val="0"/>
      <w:marBottom w:val="0"/>
      <w:divBdr>
        <w:top w:val="none" w:sz="0" w:space="0" w:color="auto"/>
        <w:left w:val="none" w:sz="0" w:space="0" w:color="auto"/>
        <w:bottom w:val="none" w:sz="0" w:space="0" w:color="auto"/>
        <w:right w:val="none" w:sz="0" w:space="0" w:color="auto"/>
      </w:divBdr>
    </w:div>
    <w:div w:id="275647421">
      <w:bodyDiv w:val="1"/>
      <w:marLeft w:val="0"/>
      <w:marRight w:val="0"/>
      <w:marTop w:val="0"/>
      <w:marBottom w:val="0"/>
      <w:divBdr>
        <w:top w:val="none" w:sz="0" w:space="0" w:color="auto"/>
        <w:left w:val="none" w:sz="0" w:space="0" w:color="auto"/>
        <w:bottom w:val="none" w:sz="0" w:space="0" w:color="auto"/>
        <w:right w:val="none" w:sz="0" w:space="0" w:color="auto"/>
      </w:divBdr>
    </w:div>
    <w:div w:id="281501022">
      <w:bodyDiv w:val="1"/>
      <w:marLeft w:val="0"/>
      <w:marRight w:val="0"/>
      <w:marTop w:val="0"/>
      <w:marBottom w:val="0"/>
      <w:divBdr>
        <w:top w:val="none" w:sz="0" w:space="0" w:color="auto"/>
        <w:left w:val="none" w:sz="0" w:space="0" w:color="auto"/>
        <w:bottom w:val="none" w:sz="0" w:space="0" w:color="auto"/>
        <w:right w:val="none" w:sz="0" w:space="0" w:color="auto"/>
      </w:divBdr>
    </w:div>
    <w:div w:id="282656853">
      <w:bodyDiv w:val="1"/>
      <w:marLeft w:val="0"/>
      <w:marRight w:val="0"/>
      <w:marTop w:val="0"/>
      <w:marBottom w:val="0"/>
      <w:divBdr>
        <w:top w:val="none" w:sz="0" w:space="0" w:color="auto"/>
        <w:left w:val="none" w:sz="0" w:space="0" w:color="auto"/>
        <w:bottom w:val="none" w:sz="0" w:space="0" w:color="auto"/>
        <w:right w:val="none" w:sz="0" w:space="0" w:color="auto"/>
      </w:divBdr>
    </w:div>
    <w:div w:id="285699444">
      <w:bodyDiv w:val="1"/>
      <w:marLeft w:val="0"/>
      <w:marRight w:val="0"/>
      <w:marTop w:val="0"/>
      <w:marBottom w:val="0"/>
      <w:divBdr>
        <w:top w:val="none" w:sz="0" w:space="0" w:color="auto"/>
        <w:left w:val="none" w:sz="0" w:space="0" w:color="auto"/>
        <w:bottom w:val="none" w:sz="0" w:space="0" w:color="auto"/>
        <w:right w:val="none" w:sz="0" w:space="0" w:color="auto"/>
      </w:divBdr>
    </w:div>
    <w:div w:id="289553150">
      <w:bodyDiv w:val="1"/>
      <w:marLeft w:val="0"/>
      <w:marRight w:val="0"/>
      <w:marTop w:val="0"/>
      <w:marBottom w:val="0"/>
      <w:divBdr>
        <w:top w:val="none" w:sz="0" w:space="0" w:color="auto"/>
        <w:left w:val="none" w:sz="0" w:space="0" w:color="auto"/>
        <w:bottom w:val="none" w:sz="0" w:space="0" w:color="auto"/>
        <w:right w:val="none" w:sz="0" w:space="0" w:color="auto"/>
      </w:divBdr>
    </w:div>
    <w:div w:id="291785328">
      <w:bodyDiv w:val="1"/>
      <w:marLeft w:val="0"/>
      <w:marRight w:val="0"/>
      <w:marTop w:val="0"/>
      <w:marBottom w:val="0"/>
      <w:divBdr>
        <w:top w:val="none" w:sz="0" w:space="0" w:color="auto"/>
        <w:left w:val="none" w:sz="0" w:space="0" w:color="auto"/>
        <w:bottom w:val="none" w:sz="0" w:space="0" w:color="auto"/>
        <w:right w:val="none" w:sz="0" w:space="0" w:color="auto"/>
      </w:divBdr>
    </w:div>
    <w:div w:id="292558573">
      <w:bodyDiv w:val="1"/>
      <w:marLeft w:val="0"/>
      <w:marRight w:val="0"/>
      <w:marTop w:val="0"/>
      <w:marBottom w:val="0"/>
      <w:divBdr>
        <w:top w:val="none" w:sz="0" w:space="0" w:color="auto"/>
        <w:left w:val="none" w:sz="0" w:space="0" w:color="auto"/>
        <w:bottom w:val="none" w:sz="0" w:space="0" w:color="auto"/>
        <w:right w:val="none" w:sz="0" w:space="0" w:color="auto"/>
      </w:divBdr>
    </w:div>
    <w:div w:id="292714782">
      <w:bodyDiv w:val="1"/>
      <w:marLeft w:val="0"/>
      <w:marRight w:val="0"/>
      <w:marTop w:val="0"/>
      <w:marBottom w:val="0"/>
      <w:divBdr>
        <w:top w:val="none" w:sz="0" w:space="0" w:color="auto"/>
        <w:left w:val="none" w:sz="0" w:space="0" w:color="auto"/>
        <w:bottom w:val="none" w:sz="0" w:space="0" w:color="auto"/>
        <w:right w:val="none" w:sz="0" w:space="0" w:color="auto"/>
      </w:divBdr>
    </w:div>
    <w:div w:id="292908074">
      <w:bodyDiv w:val="1"/>
      <w:marLeft w:val="0"/>
      <w:marRight w:val="0"/>
      <w:marTop w:val="0"/>
      <w:marBottom w:val="0"/>
      <w:divBdr>
        <w:top w:val="none" w:sz="0" w:space="0" w:color="auto"/>
        <w:left w:val="none" w:sz="0" w:space="0" w:color="auto"/>
        <w:bottom w:val="none" w:sz="0" w:space="0" w:color="auto"/>
        <w:right w:val="none" w:sz="0" w:space="0" w:color="auto"/>
      </w:divBdr>
    </w:div>
    <w:div w:id="297032247">
      <w:bodyDiv w:val="1"/>
      <w:marLeft w:val="0"/>
      <w:marRight w:val="0"/>
      <w:marTop w:val="0"/>
      <w:marBottom w:val="0"/>
      <w:divBdr>
        <w:top w:val="none" w:sz="0" w:space="0" w:color="auto"/>
        <w:left w:val="none" w:sz="0" w:space="0" w:color="auto"/>
        <w:bottom w:val="none" w:sz="0" w:space="0" w:color="auto"/>
        <w:right w:val="none" w:sz="0" w:space="0" w:color="auto"/>
      </w:divBdr>
    </w:div>
    <w:div w:id="299575896">
      <w:bodyDiv w:val="1"/>
      <w:marLeft w:val="0"/>
      <w:marRight w:val="0"/>
      <w:marTop w:val="0"/>
      <w:marBottom w:val="0"/>
      <w:divBdr>
        <w:top w:val="none" w:sz="0" w:space="0" w:color="auto"/>
        <w:left w:val="none" w:sz="0" w:space="0" w:color="auto"/>
        <w:bottom w:val="none" w:sz="0" w:space="0" w:color="auto"/>
        <w:right w:val="none" w:sz="0" w:space="0" w:color="auto"/>
      </w:divBdr>
    </w:div>
    <w:div w:id="299962713">
      <w:bodyDiv w:val="1"/>
      <w:marLeft w:val="0"/>
      <w:marRight w:val="0"/>
      <w:marTop w:val="0"/>
      <w:marBottom w:val="0"/>
      <w:divBdr>
        <w:top w:val="none" w:sz="0" w:space="0" w:color="auto"/>
        <w:left w:val="none" w:sz="0" w:space="0" w:color="auto"/>
        <w:bottom w:val="none" w:sz="0" w:space="0" w:color="auto"/>
        <w:right w:val="none" w:sz="0" w:space="0" w:color="auto"/>
      </w:divBdr>
    </w:div>
    <w:div w:id="302849611">
      <w:bodyDiv w:val="1"/>
      <w:marLeft w:val="0"/>
      <w:marRight w:val="0"/>
      <w:marTop w:val="0"/>
      <w:marBottom w:val="0"/>
      <w:divBdr>
        <w:top w:val="none" w:sz="0" w:space="0" w:color="auto"/>
        <w:left w:val="none" w:sz="0" w:space="0" w:color="auto"/>
        <w:bottom w:val="none" w:sz="0" w:space="0" w:color="auto"/>
        <w:right w:val="none" w:sz="0" w:space="0" w:color="auto"/>
      </w:divBdr>
    </w:div>
    <w:div w:id="302925636">
      <w:bodyDiv w:val="1"/>
      <w:marLeft w:val="0"/>
      <w:marRight w:val="0"/>
      <w:marTop w:val="0"/>
      <w:marBottom w:val="0"/>
      <w:divBdr>
        <w:top w:val="none" w:sz="0" w:space="0" w:color="auto"/>
        <w:left w:val="none" w:sz="0" w:space="0" w:color="auto"/>
        <w:bottom w:val="none" w:sz="0" w:space="0" w:color="auto"/>
        <w:right w:val="none" w:sz="0" w:space="0" w:color="auto"/>
      </w:divBdr>
    </w:div>
    <w:div w:id="308556421">
      <w:bodyDiv w:val="1"/>
      <w:marLeft w:val="0"/>
      <w:marRight w:val="0"/>
      <w:marTop w:val="0"/>
      <w:marBottom w:val="0"/>
      <w:divBdr>
        <w:top w:val="none" w:sz="0" w:space="0" w:color="auto"/>
        <w:left w:val="none" w:sz="0" w:space="0" w:color="auto"/>
        <w:bottom w:val="none" w:sz="0" w:space="0" w:color="auto"/>
        <w:right w:val="none" w:sz="0" w:space="0" w:color="auto"/>
      </w:divBdr>
    </w:div>
    <w:div w:id="312150443">
      <w:bodyDiv w:val="1"/>
      <w:marLeft w:val="0"/>
      <w:marRight w:val="0"/>
      <w:marTop w:val="0"/>
      <w:marBottom w:val="0"/>
      <w:divBdr>
        <w:top w:val="none" w:sz="0" w:space="0" w:color="auto"/>
        <w:left w:val="none" w:sz="0" w:space="0" w:color="auto"/>
        <w:bottom w:val="none" w:sz="0" w:space="0" w:color="auto"/>
        <w:right w:val="none" w:sz="0" w:space="0" w:color="auto"/>
      </w:divBdr>
    </w:div>
    <w:div w:id="314267346">
      <w:bodyDiv w:val="1"/>
      <w:marLeft w:val="0"/>
      <w:marRight w:val="0"/>
      <w:marTop w:val="0"/>
      <w:marBottom w:val="0"/>
      <w:divBdr>
        <w:top w:val="none" w:sz="0" w:space="0" w:color="auto"/>
        <w:left w:val="none" w:sz="0" w:space="0" w:color="auto"/>
        <w:bottom w:val="none" w:sz="0" w:space="0" w:color="auto"/>
        <w:right w:val="none" w:sz="0" w:space="0" w:color="auto"/>
      </w:divBdr>
    </w:div>
    <w:div w:id="315963928">
      <w:bodyDiv w:val="1"/>
      <w:marLeft w:val="0"/>
      <w:marRight w:val="0"/>
      <w:marTop w:val="0"/>
      <w:marBottom w:val="0"/>
      <w:divBdr>
        <w:top w:val="none" w:sz="0" w:space="0" w:color="auto"/>
        <w:left w:val="none" w:sz="0" w:space="0" w:color="auto"/>
        <w:bottom w:val="none" w:sz="0" w:space="0" w:color="auto"/>
        <w:right w:val="none" w:sz="0" w:space="0" w:color="auto"/>
      </w:divBdr>
    </w:div>
    <w:div w:id="318077741">
      <w:bodyDiv w:val="1"/>
      <w:marLeft w:val="0"/>
      <w:marRight w:val="0"/>
      <w:marTop w:val="0"/>
      <w:marBottom w:val="0"/>
      <w:divBdr>
        <w:top w:val="none" w:sz="0" w:space="0" w:color="auto"/>
        <w:left w:val="none" w:sz="0" w:space="0" w:color="auto"/>
        <w:bottom w:val="none" w:sz="0" w:space="0" w:color="auto"/>
        <w:right w:val="none" w:sz="0" w:space="0" w:color="auto"/>
      </w:divBdr>
    </w:div>
    <w:div w:id="319969124">
      <w:bodyDiv w:val="1"/>
      <w:marLeft w:val="0"/>
      <w:marRight w:val="0"/>
      <w:marTop w:val="0"/>
      <w:marBottom w:val="0"/>
      <w:divBdr>
        <w:top w:val="none" w:sz="0" w:space="0" w:color="auto"/>
        <w:left w:val="none" w:sz="0" w:space="0" w:color="auto"/>
        <w:bottom w:val="none" w:sz="0" w:space="0" w:color="auto"/>
        <w:right w:val="none" w:sz="0" w:space="0" w:color="auto"/>
      </w:divBdr>
    </w:div>
    <w:div w:id="320887949">
      <w:bodyDiv w:val="1"/>
      <w:marLeft w:val="0"/>
      <w:marRight w:val="0"/>
      <w:marTop w:val="0"/>
      <w:marBottom w:val="0"/>
      <w:divBdr>
        <w:top w:val="none" w:sz="0" w:space="0" w:color="auto"/>
        <w:left w:val="none" w:sz="0" w:space="0" w:color="auto"/>
        <w:bottom w:val="none" w:sz="0" w:space="0" w:color="auto"/>
        <w:right w:val="none" w:sz="0" w:space="0" w:color="auto"/>
      </w:divBdr>
    </w:div>
    <w:div w:id="321545545">
      <w:bodyDiv w:val="1"/>
      <w:marLeft w:val="0"/>
      <w:marRight w:val="0"/>
      <w:marTop w:val="0"/>
      <w:marBottom w:val="0"/>
      <w:divBdr>
        <w:top w:val="none" w:sz="0" w:space="0" w:color="auto"/>
        <w:left w:val="none" w:sz="0" w:space="0" w:color="auto"/>
        <w:bottom w:val="none" w:sz="0" w:space="0" w:color="auto"/>
        <w:right w:val="none" w:sz="0" w:space="0" w:color="auto"/>
      </w:divBdr>
    </w:div>
    <w:div w:id="322129955">
      <w:bodyDiv w:val="1"/>
      <w:marLeft w:val="0"/>
      <w:marRight w:val="0"/>
      <w:marTop w:val="0"/>
      <w:marBottom w:val="0"/>
      <w:divBdr>
        <w:top w:val="none" w:sz="0" w:space="0" w:color="auto"/>
        <w:left w:val="none" w:sz="0" w:space="0" w:color="auto"/>
        <w:bottom w:val="none" w:sz="0" w:space="0" w:color="auto"/>
        <w:right w:val="none" w:sz="0" w:space="0" w:color="auto"/>
      </w:divBdr>
    </w:div>
    <w:div w:id="330448308">
      <w:bodyDiv w:val="1"/>
      <w:marLeft w:val="0"/>
      <w:marRight w:val="0"/>
      <w:marTop w:val="0"/>
      <w:marBottom w:val="0"/>
      <w:divBdr>
        <w:top w:val="none" w:sz="0" w:space="0" w:color="auto"/>
        <w:left w:val="none" w:sz="0" w:space="0" w:color="auto"/>
        <w:bottom w:val="none" w:sz="0" w:space="0" w:color="auto"/>
        <w:right w:val="none" w:sz="0" w:space="0" w:color="auto"/>
      </w:divBdr>
    </w:div>
    <w:div w:id="330524681">
      <w:bodyDiv w:val="1"/>
      <w:marLeft w:val="0"/>
      <w:marRight w:val="0"/>
      <w:marTop w:val="0"/>
      <w:marBottom w:val="0"/>
      <w:divBdr>
        <w:top w:val="none" w:sz="0" w:space="0" w:color="auto"/>
        <w:left w:val="none" w:sz="0" w:space="0" w:color="auto"/>
        <w:bottom w:val="none" w:sz="0" w:space="0" w:color="auto"/>
        <w:right w:val="none" w:sz="0" w:space="0" w:color="auto"/>
      </w:divBdr>
    </w:div>
    <w:div w:id="333798229">
      <w:bodyDiv w:val="1"/>
      <w:marLeft w:val="0"/>
      <w:marRight w:val="0"/>
      <w:marTop w:val="0"/>
      <w:marBottom w:val="0"/>
      <w:divBdr>
        <w:top w:val="none" w:sz="0" w:space="0" w:color="auto"/>
        <w:left w:val="none" w:sz="0" w:space="0" w:color="auto"/>
        <w:bottom w:val="none" w:sz="0" w:space="0" w:color="auto"/>
        <w:right w:val="none" w:sz="0" w:space="0" w:color="auto"/>
      </w:divBdr>
    </w:div>
    <w:div w:id="334655693">
      <w:bodyDiv w:val="1"/>
      <w:marLeft w:val="0"/>
      <w:marRight w:val="0"/>
      <w:marTop w:val="0"/>
      <w:marBottom w:val="0"/>
      <w:divBdr>
        <w:top w:val="none" w:sz="0" w:space="0" w:color="auto"/>
        <w:left w:val="none" w:sz="0" w:space="0" w:color="auto"/>
        <w:bottom w:val="none" w:sz="0" w:space="0" w:color="auto"/>
        <w:right w:val="none" w:sz="0" w:space="0" w:color="auto"/>
      </w:divBdr>
    </w:div>
    <w:div w:id="340471005">
      <w:bodyDiv w:val="1"/>
      <w:marLeft w:val="0"/>
      <w:marRight w:val="0"/>
      <w:marTop w:val="0"/>
      <w:marBottom w:val="0"/>
      <w:divBdr>
        <w:top w:val="none" w:sz="0" w:space="0" w:color="auto"/>
        <w:left w:val="none" w:sz="0" w:space="0" w:color="auto"/>
        <w:bottom w:val="none" w:sz="0" w:space="0" w:color="auto"/>
        <w:right w:val="none" w:sz="0" w:space="0" w:color="auto"/>
      </w:divBdr>
    </w:div>
    <w:div w:id="341132712">
      <w:bodyDiv w:val="1"/>
      <w:marLeft w:val="0"/>
      <w:marRight w:val="0"/>
      <w:marTop w:val="0"/>
      <w:marBottom w:val="0"/>
      <w:divBdr>
        <w:top w:val="none" w:sz="0" w:space="0" w:color="auto"/>
        <w:left w:val="none" w:sz="0" w:space="0" w:color="auto"/>
        <w:bottom w:val="none" w:sz="0" w:space="0" w:color="auto"/>
        <w:right w:val="none" w:sz="0" w:space="0" w:color="auto"/>
      </w:divBdr>
    </w:div>
    <w:div w:id="344065224">
      <w:bodyDiv w:val="1"/>
      <w:marLeft w:val="0"/>
      <w:marRight w:val="0"/>
      <w:marTop w:val="0"/>
      <w:marBottom w:val="0"/>
      <w:divBdr>
        <w:top w:val="none" w:sz="0" w:space="0" w:color="auto"/>
        <w:left w:val="none" w:sz="0" w:space="0" w:color="auto"/>
        <w:bottom w:val="none" w:sz="0" w:space="0" w:color="auto"/>
        <w:right w:val="none" w:sz="0" w:space="0" w:color="auto"/>
      </w:divBdr>
    </w:div>
    <w:div w:id="346054986">
      <w:bodyDiv w:val="1"/>
      <w:marLeft w:val="0"/>
      <w:marRight w:val="0"/>
      <w:marTop w:val="0"/>
      <w:marBottom w:val="0"/>
      <w:divBdr>
        <w:top w:val="none" w:sz="0" w:space="0" w:color="auto"/>
        <w:left w:val="none" w:sz="0" w:space="0" w:color="auto"/>
        <w:bottom w:val="none" w:sz="0" w:space="0" w:color="auto"/>
        <w:right w:val="none" w:sz="0" w:space="0" w:color="auto"/>
      </w:divBdr>
    </w:div>
    <w:div w:id="352849879">
      <w:bodyDiv w:val="1"/>
      <w:marLeft w:val="0"/>
      <w:marRight w:val="0"/>
      <w:marTop w:val="0"/>
      <w:marBottom w:val="0"/>
      <w:divBdr>
        <w:top w:val="none" w:sz="0" w:space="0" w:color="auto"/>
        <w:left w:val="none" w:sz="0" w:space="0" w:color="auto"/>
        <w:bottom w:val="none" w:sz="0" w:space="0" w:color="auto"/>
        <w:right w:val="none" w:sz="0" w:space="0" w:color="auto"/>
      </w:divBdr>
    </w:div>
    <w:div w:id="352920817">
      <w:bodyDiv w:val="1"/>
      <w:marLeft w:val="0"/>
      <w:marRight w:val="0"/>
      <w:marTop w:val="0"/>
      <w:marBottom w:val="0"/>
      <w:divBdr>
        <w:top w:val="none" w:sz="0" w:space="0" w:color="auto"/>
        <w:left w:val="none" w:sz="0" w:space="0" w:color="auto"/>
        <w:bottom w:val="none" w:sz="0" w:space="0" w:color="auto"/>
        <w:right w:val="none" w:sz="0" w:space="0" w:color="auto"/>
      </w:divBdr>
    </w:div>
    <w:div w:id="356350015">
      <w:bodyDiv w:val="1"/>
      <w:marLeft w:val="0"/>
      <w:marRight w:val="0"/>
      <w:marTop w:val="0"/>
      <w:marBottom w:val="0"/>
      <w:divBdr>
        <w:top w:val="none" w:sz="0" w:space="0" w:color="auto"/>
        <w:left w:val="none" w:sz="0" w:space="0" w:color="auto"/>
        <w:bottom w:val="none" w:sz="0" w:space="0" w:color="auto"/>
        <w:right w:val="none" w:sz="0" w:space="0" w:color="auto"/>
      </w:divBdr>
    </w:div>
    <w:div w:id="358549227">
      <w:bodyDiv w:val="1"/>
      <w:marLeft w:val="0"/>
      <w:marRight w:val="0"/>
      <w:marTop w:val="0"/>
      <w:marBottom w:val="0"/>
      <w:divBdr>
        <w:top w:val="none" w:sz="0" w:space="0" w:color="auto"/>
        <w:left w:val="none" w:sz="0" w:space="0" w:color="auto"/>
        <w:bottom w:val="none" w:sz="0" w:space="0" w:color="auto"/>
        <w:right w:val="none" w:sz="0" w:space="0" w:color="auto"/>
      </w:divBdr>
    </w:div>
    <w:div w:id="360520911">
      <w:bodyDiv w:val="1"/>
      <w:marLeft w:val="0"/>
      <w:marRight w:val="0"/>
      <w:marTop w:val="0"/>
      <w:marBottom w:val="0"/>
      <w:divBdr>
        <w:top w:val="none" w:sz="0" w:space="0" w:color="auto"/>
        <w:left w:val="none" w:sz="0" w:space="0" w:color="auto"/>
        <w:bottom w:val="none" w:sz="0" w:space="0" w:color="auto"/>
        <w:right w:val="none" w:sz="0" w:space="0" w:color="auto"/>
      </w:divBdr>
    </w:div>
    <w:div w:id="362287964">
      <w:bodyDiv w:val="1"/>
      <w:marLeft w:val="0"/>
      <w:marRight w:val="0"/>
      <w:marTop w:val="0"/>
      <w:marBottom w:val="0"/>
      <w:divBdr>
        <w:top w:val="none" w:sz="0" w:space="0" w:color="auto"/>
        <w:left w:val="none" w:sz="0" w:space="0" w:color="auto"/>
        <w:bottom w:val="none" w:sz="0" w:space="0" w:color="auto"/>
        <w:right w:val="none" w:sz="0" w:space="0" w:color="auto"/>
      </w:divBdr>
    </w:div>
    <w:div w:id="376903902">
      <w:bodyDiv w:val="1"/>
      <w:marLeft w:val="0"/>
      <w:marRight w:val="0"/>
      <w:marTop w:val="0"/>
      <w:marBottom w:val="0"/>
      <w:divBdr>
        <w:top w:val="none" w:sz="0" w:space="0" w:color="auto"/>
        <w:left w:val="none" w:sz="0" w:space="0" w:color="auto"/>
        <w:bottom w:val="none" w:sz="0" w:space="0" w:color="auto"/>
        <w:right w:val="none" w:sz="0" w:space="0" w:color="auto"/>
      </w:divBdr>
    </w:div>
    <w:div w:id="379087676">
      <w:bodyDiv w:val="1"/>
      <w:marLeft w:val="0"/>
      <w:marRight w:val="0"/>
      <w:marTop w:val="0"/>
      <w:marBottom w:val="0"/>
      <w:divBdr>
        <w:top w:val="none" w:sz="0" w:space="0" w:color="auto"/>
        <w:left w:val="none" w:sz="0" w:space="0" w:color="auto"/>
        <w:bottom w:val="none" w:sz="0" w:space="0" w:color="auto"/>
        <w:right w:val="none" w:sz="0" w:space="0" w:color="auto"/>
      </w:divBdr>
    </w:div>
    <w:div w:id="379863458">
      <w:bodyDiv w:val="1"/>
      <w:marLeft w:val="0"/>
      <w:marRight w:val="0"/>
      <w:marTop w:val="0"/>
      <w:marBottom w:val="0"/>
      <w:divBdr>
        <w:top w:val="none" w:sz="0" w:space="0" w:color="auto"/>
        <w:left w:val="none" w:sz="0" w:space="0" w:color="auto"/>
        <w:bottom w:val="none" w:sz="0" w:space="0" w:color="auto"/>
        <w:right w:val="none" w:sz="0" w:space="0" w:color="auto"/>
      </w:divBdr>
    </w:div>
    <w:div w:id="381055851">
      <w:bodyDiv w:val="1"/>
      <w:marLeft w:val="0"/>
      <w:marRight w:val="0"/>
      <w:marTop w:val="0"/>
      <w:marBottom w:val="0"/>
      <w:divBdr>
        <w:top w:val="none" w:sz="0" w:space="0" w:color="auto"/>
        <w:left w:val="none" w:sz="0" w:space="0" w:color="auto"/>
        <w:bottom w:val="none" w:sz="0" w:space="0" w:color="auto"/>
        <w:right w:val="none" w:sz="0" w:space="0" w:color="auto"/>
      </w:divBdr>
    </w:div>
    <w:div w:id="381640800">
      <w:bodyDiv w:val="1"/>
      <w:marLeft w:val="0"/>
      <w:marRight w:val="0"/>
      <w:marTop w:val="0"/>
      <w:marBottom w:val="0"/>
      <w:divBdr>
        <w:top w:val="none" w:sz="0" w:space="0" w:color="auto"/>
        <w:left w:val="none" w:sz="0" w:space="0" w:color="auto"/>
        <w:bottom w:val="none" w:sz="0" w:space="0" w:color="auto"/>
        <w:right w:val="none" w:sz="0" w:space="0" w:color="auto"/>
      </w:divBdr>
    </w:div>
    <w:div w:id="383994106">
      <w:bodyDiv w:val="1"/>
      <w:marLeft w:val="0"/>
      <w:marRight w:val="0"/>
      <w:marTop w:val="0"/>
      <w:marBottom w:val="0"/>
      <w:divBdr>
        <w:top w:val="none" w:sz="0" w:space="0" w:color="auto"/>
        <w:left w:val="none" w:sz="0" w:space="0" w:color="auto"/>
        <w:bottom w:val="none" w:sz="0" w:space="0" w:color="auto"/>
        <w:right w:val="none" w:sz="0" w:space="0" w:color="auto"/>
      </w:divBdr>
      <w:divsChild>
        <w:div w:id="1593591587">
          <w:marLeft w:val="0"/>
          <w:marRight w:val="0"/>
          <w:marTop w:val="0"/>
          <w:marBottom w:val="0"/>
          <w:divBdr>
            <w:top w:val="none" w:sz="0" w:space="0" w:color="auto"/>
            <w:left w:val="none" w:sz="0" w:space="0" w:color="auto"/>
            <w:bottom w:val="none" w:sz="0" w:space="0" w:color="auto"/>
            <w:right w:val="none" w:sz="0" w:space="0" w:color="auto"/>
          </w:divBdr>
          <w:divsChild>
            <w:div w:id="1980760863">
              <w:marLeft w:val="0"/>
              <w:marRight w:val="0"/>
              <w:marTop w:val="0"/>
              <w:marBottom w:val="0"/>
              <w:divBdr>
                <w:top w:val="none" w:sz="0" w:space="0" w:color="auto"/>
                <w:left w:val="none" w:sz="0" w:space="0" w:color="auto"/>
                <w:bottom w:val="none" w:sz="0" w:space="0" w:color="auto"/>
                <w:right w:val="none" w:sz="0" w:space="0" w:color="auto"/>
              </w:divBdr>
              <w:divsChild>
                <w:div w:id="1604143172">
                  <w:marLeft w:val="0"/>
                  <w:marRight w:val="0"/>
                  <w:marTop w:val="0"/>
                  <w:marBottom w:val="0"/>
                  <w:divBdr>
                    <w:top w:val="none" w:sz="0" w:space="0" w:color="auto"/>
                    <w:left w:val="none" w:sz="0" w:space="0" w:color="auto"/>
                    <w:bottom w:val="none" w:sz="0" w:space="0" w:color="auto"/>
                    <w:right w:val="none" w:sz="0" w:space="0" w:color="auto"/>
                  </w:divBdr>
                  <w:divsChild>
                    <w:div w:id="1507137857">
                      <w:marLeft w:val="0"/>
                      <w:marRight w:val="0"/>
                      <w:marTop w:val="0"/>
                      <w:marBottom w:val="0"/>
                      <w:divBdr>
                        <w:top w:val="none" w:sz="0" w:space="0" w:color="auto"/>
                        <w:left w:val="none" w:sz="0" w:space="0" w:color="auto"/>
                        <w:bottom w:val="none" w:sz="0" w:space="0" w:color="auto"/>
                        <w:right w:val="none" w:sz="0" w:space="0" w:color="auto"/>
                      </w:divBdr>
                      <w:divsChild>
                        <w:div w:id="1895658329">
                          <w:marLeft w:val="0"/>
                          <w:marRight w:val="0"/>
                          <w:marTop w:val="0"/>
                          <w:marBottom w:val="0"/>
                          <w:divBdr>
                            <w:top w:val="none" w:sz="0" w:space="0" w:color="auto"/>
                            <w:left w:val="none" w:sz="0" w:space="0" w:color="auto"/>
                            <w:bottom w:val="none" w:sz="0" w:space="0" w:color="auto"/>
                            <w:right w:val="none" w:sz="0" w:space="0" w:color="auto"/>
                          </w:divBdr>
                          <w:divsChild>
                            <w:div w:id="1549537274">
                              <w:marLeft w:val="0"/>
                              <w:marRight w:val="0"/>
                              <w:marTop w:val="0"/>
                              <w:marBottom w:val="0"/>
                              <w:divBdr>
                                <w:top w:val="none" w:sz="0" w:space="0" w:color="auto"/>
                                <w:left w:val="none" w:sz="0" w:space="0" w:color="auto"/>
                                <w:bottom w:val="none" w:sz="0" w:space="0" w:color="auto"/>
                                <w:right w:val="none" w:sz="0" w:space="0" w:color="auto"/>
                              </w:divBdr>
                              <w:divsChild>
                                <w:div w:id="532884836">
                                  <w:marLeft w:val="0"/>
                                  <w:marRight w:val="0"/>
                                  <w:marTop w:val="0"/>
                                  <w:marBottom w:val="0"/>
                                  <w:divBdr>
                                    <w:top w:val="none" w:sz="0" w:space="0" w:color="auto"/>
                                    <w:left w:val="none" w:sz="0" w:space="0" w:color="auto"/>
                                    <w:bottom w:val="none" w:sz="0" w:space="0" w:color="auto"/>
                                    <w:right w:val="none" w:sz="0" w:space="0" w:color="auto"/>
                                  </w:divBdr>
                                  <w:divsChild>
                                    <w:div w:id="595132497">
                                      <w:marLeft w:val="0"/>
                                      <w:marRight w:val="0"/>
                                      <w:marTop w:val="0"/>
                                      <w:marBottom w:val="0"/>
                                      <w:divBdr>
                                        <w:top w:val="none" w:sz="0" w:space="0" w:color="auto"/>
                                        <w:left w:val="none" w:sz="0" w:space="0" w:color="auto"/>
                                        <w:bottom w:val="none" w:sz="0" w:space="0" w:color="auto"/>
                                        <w:right w:val="none" w:sz="0" w:space="0" w:color="auto"/>
                                      </w:divBdr>
                                      <w:divsChild>
                                        <w:div w:id="349377815">
                                          <w:marLeft w:val="0"/>
                                          <w:marRight w:val="0"/>
                                          <w:marTop w:val="0"/>
                                          <w:marBottom w:val="0"/>
                                          <w:divBdr>
                                            <w:top w:val="none" w:sz="0" w:space="0" w:color="auto"/>
                                            <w:left w:val="none" w:sz="0" w:space="0" w:color="auto"/>
                                            <w:bottom w:val="none" w:sz="0" w:space="0" w:color="auto"/>
                                            <w:right w:val="none" w:sz="0" w:space="0" w:color="auto"/>
                                          </w:divBdr>
                                        </w:div>
                                      </w:divsChild>
                                    </w:div>
                                    <w:div w:id="1589927079">
                                      <w:marLeft w:val="0"/>
                                      <w:marRight w:val="0"/>
                                      <w:marTop w:val="0"/>
                                      <w:marBottom w:val="0"/>
                                      <w:divBdr>
                                        <w:top w:val="none" w:sz="0" w:space="0" w:color="auto"/>
                                        <w:left w:val="none" w:sz="0" w:space="0" w:color="auto"/>
                                        <w:bottom w:val="none" w:sz="0" w:space="0" w:color="auto"/>
                                        <w:right w:val="none" w:sz="0" w:space="0" w:color="auto"/>
                                      </w:divBdr>
                                      <w:divsChild>
                                        <w:div w:id="14904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921971">
              <w:marLeft w:val="0"/>
              <w:marRight w:val="0"/>
              <w:marTop w:val="0"/>
              <w:marBottom w:val="0"/>
              <w:divBdr>
                <w:top w:val="none" w:sz="0" w:space="0" w:color="auto"/>
                <w:left w:val="none" w:sz="0" w:space="0" w:color="auto"/>
                <w:bottom w:val="none" w:sz="0" w:space="0" w:color="auto"/>
                <w:right w:val="none" w:sz="0" w:space="0" w:color="auto"/>
              </w:divBdr>
              <w:divsChild>
                <w:div w:id="1834296763">
                  <w:marLeft w:val="0"/>
                  <w:marRight w:val="0"/>
                  <w:marTop w:val="0"/>
                  <w:marBottom w:val="0"/>
                  <w:divBdr>
                    <w:top w:val="none" w:sz="0" w:space="0" w:color="auto"/>
                    <w:left w:val="none" w:sz="0" w:space="0" w:color="auto"/>
                    <w:bottom w:val="none" w:sz="0" w:space="0" w:color="auto"/>
                    <w:right w:val="none" w:sz="0" w:space="0" w:color="auto"/>
                  </w:divBdr>
                  <w:divsChild>
                    <w:div w:id="1077173661">
                      <w:marLeft w:val="0"/>
                      <w:marRight w:val="0"/>
                      <w:marTop w:val="0"/>
                      <w:marBottom w:val="0"/>
                      <w:divBdr>
                        <w:top w:val="none" w:sz="0" w:space="0" w:color="auto"/>
                        <w:left w:val="none" w:sz="0" w:space="0" w:color="auto"/>
                        <w:bottom w:val="none" w:sz="0" w:space="0" w:color="auto"/>
                        <w:right w:val="none" w:sz="0" w:space="0" w:color="auto"/>
                      </w:divBdr>
                      <w:divsChild>
                        <w:div w:id="662318889">
                          <w:marLeft w:val="0"/>
                          <w:marRight w:val="0"/>
                          <w:marTop w:val="0"/>
                          <w:marBottom w:val="0"/>
                          <w:divBdr>
                            <w:top w:val="none" w:sz="0" w:space="0" w:color="auto"/>
                            <w:left w:val="none" w:sz="0" w:space="0" w:color="auto"/>
                            <w:bottom w:val="none" w:sz="0" w:space="0" w:color="auto"/>
                            <w:right w:val="none" w:sz="0" w:space="0" w:color="auto"/>
                          </w:divBdr>
                          <w:divsChild>
                            <w:div w:id="1034889296">
                              <w:marLeft w:val="0"/>
                              <w:marRight w:val="0"/>
                              <w:marTop w:val="0"/>
                              <w:marBottom w:val="0"/>
                              <w:divBdr>
                                <w:top w:val="none" w:sz="0" w:space="0" w:color="auto"/>
                                <w:left w:val="none" w:sz="0" w:space="0" w:color="auto"/>
                                <w:bottom w:val="none" w:sz="0" w:space="0" w:color="auto"/>
                                <w:right w:val="none" w:sz="0" w:space="0" w:color="auto"/>
                              </w:divBdr>
                              <w:divsChild>
                                <w:div w:id="572936383">
                                  <w:marLeft w:val="0"/>
                                  <w:marRight w:val="0"/>
                                  <w:marTop w:val="0"/>
                                  <w:marBottom w:val="0"/>
                                  <w:divBdr>
                                    <w:top w:val="none" w:sz="0" w:space="0" w:color="auto"/>
                                    <w:left w:val="none" w:sz="0" w:space="0" w:color="auto"/>
                                    <w:bottom w:val="none" w:sz="0" w:space="0" w:color="auto"/>
                                    <w:right w:val="none" w:sz="0" w:space="0" w:color="auto"/>
                                  </w:divBdr>
                                  <w:divsChild>
                                    <w:div w:id="10101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91468">
              <w:marLeft w:val="0"/>
              <w:marRight w:val="0"/>
              <w:marTop w:val="0"/>
              <w:marBottom w:val="0"/>
              <w:divBdr>
                <w:top w:val="none" w:sz="0" w:space="0" w:color="auto"/>
                <w:left w:val="none" w:sz="0" w:space="0" w:color="auto"/>
                <w:bottom w:val="none" w:sz="0" w:space="0" w:color="auto"/>
                <w:right w:val="none" w:sz="0" w:space="0" w:color="auto"/>
              </w:divBdr>
              <w:divsChild>
                <w:div w:id="404186414">
                  <w:marLeft w:val="0"/>
                  <w:marRight w:val="0"/>
                  <w:marTop w:val="0"/>
                  <w:marBottom w:val="0"/>
                  <w:divBdr>
                    <w:top w:val="none" w:sz="0" w:space="0" w:color="auto"/>
                    <w:left w:val="none" w:sz="0" w:space="0" w:color="auto"/>
                    <w:bottom w:val="none" w:sz="0" w:space="0" w:color="auto"/>
                    <w:right w:val="none" w:sz="0" w:space="0" w:color="auto"/>
                  </w:divBdr>
                  <w:divsChild>
                    <w:div w:id="627468576">
                      <w:marLeft w:val="0"/>
                      <w:marRight w:val="0"/>
                      <w:marTop w:val="0"/>
                      <w:marBottom w:val="0"/>
                      <w:divBdr>
                        <w:top w:val="none" w:sz="0" w:space="0" w:color="auto"/>
                        <w:left w:val="none" w:sz="0" w:space="0" w:color="auto"/>
                        <w:bottom w:val="none" w:sz="0" w:space="0" w:color="auto"/>
                        <w:right w:val="none" w:sz="0" w:space="0" w:color="auto"/>
                      </w:divBdr>
                      <w:divsChild>
                        <w:div w:id="1387022655">
                          <w:marLeft w:val="0"/>
                          <w:marRight w:val="0"/>
                          <w:marTop w:val="0"/>
                          <w:marBottom w:val="0"/>
                          <w:divBdr>
                            <w:top w:val="none" w:sz="0" w:space="0" w:color="auto"/>
                            <w:left w:val="none" w:sz="0" w:space="0" w:color="auto"/>
                            <w:bottom w:val="none" w:sz="0" w:space="0" w:color="auto"/>
                            <w:right w:val="none" w:sz="0" w:space="0" w:color="auto"/>
                          </w:divBdr>
                          <w:divsChild>
                            <w:div w:id="1190487987">
                              <w:marLeft w:val="0"/>
                              <w:marRight w:val="0"/>
                              <w:marTop w:val="0"/>
                              <w:marBottom w:val="0"/>
                              <w:divBdr>
                                <w:top w:val="none" w:sz="0" w:space="0" w:color="auto"/>
                                <w:left w:val="none" w:sz="0" w:space="0" w:color="auto"/>
                                <w:bottom w:val="none" w:sz="0" w:space="0" w:color="auto"/>
                                <w:right w:val="none" w:sz="0" w:space="0" w:color="auto"/>
                              </w:divBdr>
                              <w:divsChild>
                                <w:div w:id="963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110131">
      <w:bodyDiv w:val="1"/>
      <w:marLeft w:val="0"/>
      <w:marRight w:val="0"/>
      <w:marTop w:val="0"/>
      <w:marBottom w:val="0"/>
      <w:divBdr>
        <w:top w:val="none" w:sz="0" w:space="0" w:color="auto"/>
        <w:left w:val="none" w:sz="0" w:space="0" w:color="auto"/>
        <w:bottom w:val="none" w:sz="0" w:space="0" w:color="auto"/>
        <w:right w:val="none" w:sz="0" w:space="0" w:color="auto"/>
      </w:divBdr>
    </w:div>
    <w:div w:id="385759563">
      <w:bodyDiv w:val="1"/>
      <w:marLeft w:val="0"/>
      <w:marRight w:val="0"/>
      <w:marTop w:val="0"/>
      <w:marBottom w:val="0"/>
      <w:divBdr>
        <w:top w:val="none" w:sz="0" w:space="0" w:color="auto"/>
        <w:left w:val="none" w:sz="0" w:space="0" w:color="auto"/>
        <w:bottom w:val="none" w:sz="0" w:space="0" w:color="auto"/>
        <w:right w:val="none" w:sz="0" w:space="0" w:color="auto"/>
      </w:divBdr>
    </w:div>
    <w:div w:id="386883144">
      <w:bodyDiv w:val="1"/>
      <w:marLeft w:val="0"/>
      <w:marRight w:val="0"/>
      <w:marTop w:val="0"/>
      <w:marBottom w:val="0"/>
      <w:divBdr>
        <w:top w:val="none" w:sz="0" w:space="0" w:color="auto"/>
        <w:left w:val="none" w:sz="0" w:space="0" w:color="auto"/>
        <w:bottom w:val="none" w:sz="0" w:space="0" w:color="auto"/>
        <w:right w:val="none" w:sz="0" w:space="0" w:color="auto"/>
      </w:divBdr>
    </w:div>
    <w:div w:id="391273350">
      <w:bodyDiv w:val="1"/>
      <w:marLeft w:val="0"/>
      <w:marRight w:val="0"/>
      <w:marTop w:val="0"/>
      <w:marBottom w:val="0"/>
      <w:divBdr>
        <w:top w:val="none" w:sz="0" w:space="0" w:color="auto"/>
        <w:left w:val="none" w:sz="0" w:space="0" w:color="auto"/>
        <w:bottom w:val="none" w:sz="0" w:space="0" w:color="auto"/>
        <w:right w:val="none" w:sz="0" w:space="0" w:color="auto"/>
      </w:divBdr>
    </w:div>
    <w:div w:id="391580533">
      <w:bodyDiv w:val="1"/>
      <w:marLeft w:val="0"/>
      <w:marRight w:val="0"/>
      <w:marTop w:val="0"/>
      <w:marBottom w:val="0"/>
      <w:divBdr>
        <w:top w:val="none" w:sz="0" w:space="0" w:color="auto"/>
        <w:left w:val="none" w:sz="0" w:space="0" w:color="auto"/>
        <w:bottom w:val="none" w:sz="0" w:space="0" w:color="auto"/>
        <w:right w:val="none" w:sz="0" w:space="0" w:color="auto"/>
      </w:divBdr>
    </w:div>
    <w:div w:id="394864071">
      <w:bodyDiv w:val="1"/>
      <w:marLeft w:val="0"/>
      <w:marRight w:val="0"/>
      <w:marTop w:val="0"/>
      <w:marBottom w:val="0"/>
      <w:divBdr>
        <w:top w:val="none" w:sz="0" w:space="0" w:color="auto"/>
        <w:left w:val="none" w:sz="0" w:space="0" w:color="auto"/>
        <w:bottom w:val="none" w:sz="0" w:space="0" w:color="auto"/>
        <w:right w:val="none" w:sz="0" w:space="0" w:color="auto"/>
      </w:divBdr>
    </w:div>
    <w:div w:id="396321673">
      <w:bodyDiv w:val="1"/>
      <w:marLeft w:val="0"/>
      <w:marRight w:val="0"/>
      <w:marTop w:val="0"/>
      <w:marBottom w:val="0"/>
      <w:divBdr>
        <w:top w:val="none" w:sz="0" w:space="0" w:color="auto"/>
        <w:left w:val="none" w:sz="0" w:space="0" w:color="auto"/>
        <w:bottom w:val="none" w:sz="0" w:space="0" w:color="auto"/>
        <w:right w:val="none" w:sz="0" w:space="0" w:color="auto"/>
      </w:divBdr>
    </w:div>
    <w:div w:id="402335724">
      <w:bodyDiv w:val="1"/>
      <w:marLeft w:val="0"/>
      <w:marRight w:val="0"/>
      <w:marTop w:val="0"/>
      <w:marBottom w:val="0"/>
      <w:divBdr>
        <w:top w:val="none" w:sz="0" w:space="0" w:color="auto"/>
        <w:left w:val="none" w:sz="0" w:space="0" w:color="auto"/>
        <w:bottom w:val="none" w:sz="0" w:space="0" w:color="auto"/>
        <w:right w:val="none" w:sz="0" w:space="0" w:color="auto"/>
      </w:divBdr>
    </w:div>
    <w:div w:id="403062957">
      <w:bodyDiv w:val="1"/>
      <w:marLeft w:val="0"/>
      <w:marRight w:val="0"/>
      <w:marTop w:val="0"/>
      <w:marBottom w:val="0"/>
      <w:divBdr>
        <w:top w:val="none" w:sz="0" w:space="0" w:color="auto"/>
        <w:left w:val="none" w:sz="0" w:space="0" w:color="auto"/>
        <w:bottom w:val="none" w:sz="0" w:space="0" w:color="auto"/>
        <w:right w:val="none" w:sz="0" w:space="0" w:color="auto"/>
      </w:divBdr>
    </w:div>
    <w:div w:id="403574952">
      <w:bodyDiv w:val="1"/>
      <w:marLeft w:val="0"/>
      <w:marRight w:val="0"/>
      <w:marTop w:val="0"/>
      <w:marBottom w:val="0"/>
      <w:divBdr>
        <w:top w:val="none" w:sz="0" w:space="0" w:color="auto"/>
        <w:left w:val="none" w:sz="0" w:space="0" w:color="auto"/>
        <w:bottom w:val="none" w:sz="0" w:space="0" w:color="auto"/>
        <w:right w:val="none" w:sz="0" w:space="0" w:color="auto"/>
      </w:divBdr>
    </w:div>
    <w:div w:id="407117395">
      <w:bodyDiv w:val="1"/>
      <w:marLeft w:val="0"/>
      <w:marRight w:val="0"/>
      <w:marTop w:val="0"/>
      <w:marBottom w:val="0"/>
      <w:divBdr>
        <w:top w:val="none" w:sz="0" w:space="0" w:color="auto"/>
        <w:left w:val="none" w:sz="0" w:space="0" w:color="auto"/>
        <w:bottom w:val="none" w:sz="0" w:space="0" w:color="auto"/>
        <w:right w:val="none" w:sz="0" w:space="0" w:color="auto"/>
      </w:divBdr>
    </w:div>
    <w:div w:id="415590008">
      <w:bodyDiv w:val="1"/>
      <w:marLeft w:val="0"/>
      <w:marRight w:val="0"/>
      <w:marTop w:val="0"/>
      <w:marBottom w:val="0"/>
      <w:divBdr>
        <w:top w:val="none" w:sz="0" w:space="0" w:color="auto"/>
        <w:left w:val="none" w:sz="0" w:space="0" w:color="auto"/>
        <w:bottom w:val="none" w:sz="0" w:space="0" w:color="auto"/>
        <w:right w:val="none" w:sz="0" w:space="0" w:color="auto"/>
      </w:divBdr>
    </w:div>
    <w:div w:id="423384364">
      <w:bodyDiv w:val="1"/>
      <w:marLeft w:val="0"/>
      <w:marRight w:val="0"/>
      <w:marTop w:val="0"/>
      <w:marBottom w:val="0"/>
      <w:divBdr>
        <w:top w:val="none" w:sz="0" w:space="0" w:color="auto"/>
        <w:left w:val="none" w:sz="0" w:space="0" w:color="auto"/>
        <w:bottom w:val="none" w:sz="0" w:space="0" w:color="auto"/>
        <w:right w:val="none" w:sz="0" w:space="0" w:color="auto"/>
      </w:divBdr>
    </w:div>
    <w:div w:id="423845743">
      <w:bodyDiv w:val="1"/>
      <w:marLeft w:val="0"/>
      <w:marRight w:val="0"/>
      <w:marTop w:val="0"/>
      <w:marBottom w:val="0"/>
      <w:divBdr>
        <w:top w:val="none" w:sz="0" w:space="0" w:color="auto"/>
        <w:left w:val="none" w:sz="0" w:space="0" w:color="auto"/>
        <w:bottom w:val="none" w:sz="0" w:space="0" w:color="auto"/>
        <w:right w:val="none" w:sz="0" w:space="0" w:color="auto"/>
      </w:divBdr>
    </w:div>
    <w:div w:id="430007615">
      <w:bodyDiv w:val="1"/>
      <w:marLeft w:val="0"/>
      <w:marRight w:val="0"/>
      <w:marTop w:val="0"/>
      <w:marBottom w:val="0"/>
      <w:divBdr>
        <w:top w:val="none" w:sz="0" w:space="0" w:color="auto"/>
        <w:left w:val="none" w:sz="0" w:space="0" w:color="auto"/>
        <w:bottom w:val="none" w:sz="0" w:space="0" w:color="auto"/>
        <w:right w:val="none" w:sz="0" w:space="0" w:color="auto"/>
      </w:divBdr>
    </w:div>
    <w:div w:id="433207222">
      <w:bodyDiv w:val="1"/>
      <w:marLeft w:val="0"/>
      <w:marRight w:val="0"/>
      <w:marTop w:val="0"/>
      <w:marBottom w:val="0"/>
      <w:divBdr>
        <w:top w:val="none" w:sz="0" w:space="0" w:color="auto"/>
        <w:left w:val="none" w:sz="0" w:space="0" w:color="auto"/>
        <w:bottom w:val="none" w:sz="0" w:space="0" w:color="auto"/>
        <w:right w:val="none" w:sz="0" w:space="0" w:color="auto"/>
      </w:divBdr>
    </w:div>
    <w:div w:id="434863727">
      <w:bodyDiv w:val="1"/>
      <w:marLeft w:val="0"/>
      <w:marRight w:val="0"/>
      <w:marTop w:val="0"/>
      <w:marBottom w:val="0"/>
      <w:divBdr>
        <w:top w:val="none" w:sz="0" w:space="0" w:color="auto"/>
        <w:left w:val="none" w:sz="0" w:space="0" w:color="auto"/>
        <w:bottom w:val="none" w:sz="0" w:space="0" w:color="auto"/>
        <w:right w:val="none" w:sz="0" w:space="0" w:color="auto"/>
      </w:divBdr>
    </w:div>
    <w:div w:id="440415140">
      <w:bodyDiv w:val="1"/>
      <w:marLeft w:val="0"/>
      <w:marRight w:val="0"/>
      <w:marTop w:val="0"/>
      <w:marBottom w:val="0"/>
      <w:divBdr>
        <w:top w:val="none" w:sz="0" w:space="0" w:color="auto"/>
        <w:left w:val="none" w:sz="0" w:space="0" w:color="auto"/>
        <w:bottom w:val="none" w:sz="0" w:space="0" w:color="auto"/>
        <w:right w:val="none" w:sz="0" w:space="0" w:color="auto"/>
      </w:divBdr>
    </w:div>
    <w:div w:id="442652848">
      <w:bodyDiv w:val="1"/>
      <w:marLeft w:val="0"/>
      <w:marRight w:val="0"/>
      <w:marTop w:val="0"/>
      <w:marBottom w:val="0"/>
      <w:divBdr>
        <w:top w:val="none" w:sz="0" w:space="0" w:color="auto"/>
        <w:left w:val="none" w:sz="0" w:space="0" w:color="auto"/>
        <w:bottom w:val="none" w:sz="0" w:space="0" w:color="auto"/>
        <w:right w:val="none" w:sz="0" w:space="0" w:color="auto"/>
      </w:divBdr>
    </w:div>
    <w:div w:id="444154451">
      <w:bodyDiv w:val="1"/>
      <w:marLeft w:val="0"/>
      <w:marRight w:val="0"/>
      <w:marTop w:val="0"/>
      <w:marBottom w:val="0"/>
      <w:divBdr>
        <w:top w:val="none" w:sz="0" w:space="0" w:color="auto"/>
        <w:left w:val="none" w:sz="0" w:space="0" w:color="auto"/>
        <w:bottom w:val="none" w:sz="0" w:space="0" w:color="auto"/>
        <w:right w:val="none" w:sz="0" w:space="0" w:color="auto"/>
      </w:divBdr>
    </w:div>
    <w:div w:id="446392801">
      <w:bodyDiv w:val="1"/>
      <w:marLeft w:val="0"/>
      <w:marRight w:val="0"/>
      <w:marTop w:val="0"/>
      <w:marBottom w:val="0"/>
      <w:divBdr>
        <w:top w:val="none" w:sz="0" w:space="0" w:color="auto"/>
        <w:left w:val="none" w:sz="0" w:space="0" w:color="auto"/>
        <w:bottom w:val="none" w:sz="0" w:space="0" w:color="auto"/>
        <w:right w:val="none" w:sz="0" w:space="0" w:color="auto"/>
      </w:divBdr>
    </w:div>
    <w:div w:id="452528992">
      <w:bodyDiv w:val="1"/>
      <w:marLeft w:val="0"/>
      <w:marRight w:val="0"/>
      <w:marTop w:val="0"/>
      <w:marBottom w:val="0"/>
      <w:divBdr>
        <w:top w:val="none" w:sz="0" w:space="0" w:color="auto"/>
        <w:left w:val="none" w:sz="0" w:space="0" w:color="auto"/>
        <w:bottom w:val="none" w:sz="0" w:space="0" w:color="auto"/>
        <w:right w:val="none" w:sz="0" w:space="0" w:color="auto"/>
      </w:divBdr>
    </w:div>
    <w:div w:id="453596036">
      <w:bodyDiv w:val="1"/>
      <w:marLeft w:val="0"/>
      <w:marRight w:val="0"/>
      <w:marTop w:val="0"/>
      <w:marBottom w:val="0"/>
      <w:divBdr>
        <w:top w:val="none" w:sz="0" w:space="0" w:color="auto"/>
        <w:left w:val="none" w:sz="0" w:space="0" w:color="auto"/>
        <w:bottom w:val="none" w:sz="0" w:space="0" w:color="auto"/>
        <w:right w:val="none" w:sz="0" w:space="0" w:color="auto"/>
      </w:divBdr>
    </w:div>
    <w:div w:id="458454250">
      <w:bodyDiv w:val="1"/>
      <w:marLeft w:val="0"/>
      <w:marRight w:val="0"/>
      <w:marTop w:val="0"/>
      <w:marBottom w:val="0"/>
      <w:divBdr>
        <w:top w:val="none" w:sz="0" w:space="0" w:color="auto"/>
        <w:left w:val="none" w:sz="0" w:space="0" w:color="auto"/>
        <w:bottom w:val="none" w:sz="0" w:space="0" w:color="auto"/>
        <w:right w:val="none" w:sz="0" w:space="0" w:color="auto"/>
      </w:divBdr>
    </w:div>
    <w:div w:id="459613128">
      <w:bodyDiv w:val="1"/>
      <w:marLeft w:val="0"/>
      <w:marRight w:val="0"/>
      <w:marTop w:val="0"/>
      <w:marBottom w:val="0"/>
      <w:divBdr>
        <w:top w:val="none" w:sz="0" w:space="0" w:color="auto"/>
        <w:left w:val="none" w:sz="0" w:space="0" w:color="auto"/>
        <w:bottom w:val="none" w:sz="0" w:space="0" w:color="auto"/>
        <w:right w:val="none" w:sz="0" w:space="0" w:color="auto"/>
      </w:divBdr>
    </w:div>
    <w:div w:id="461313638">
      <w:bodyDiv w:val="1"/>
      <w:marLeft w:val="0"/>
      <w:marRight w:val="0"/>
      <w:marTop w:val="0"/>
      <w:marBottom w:val="0"/>
      <w:divBdr>
        <w:top w:val="none" w:sz="0" w:space="0" w:color="auto"/>
        <w:left w:val="none" w:sz="0" w:space="0" w:color="auto"/>
        <w:bottom w:val="none" w:sz="0" w:space="0" w:color="auto"/>
        <w:right w:val="none" w:sz="0" w:space="0" w:color="auto"/>
      </w:divBdr>
    </w:div>
    <w:div w:id="462040395">
      <w:bodyDiv w:val="1"/>
      <w:marLeft w:val="0"/>
      <w:marRight w:val="0"/>
      <w:marTop w:val="0"/>
      <w:marBottom w:val="0"/>
      <w:divBdr>
        <w:top w:val="none" w:sz="0" w:space="0" w:color="auto"/>
        <w:left w:val="none" w:sz="0" w:space="0" w:color="auto"/>
        <w:bottom w:val="none" w:sz="0" w:space="0" w:color="auto"/>
        <w:right w:val="none" w:sz="0" w:space="0" w:color="auto"/>
      </w:divBdr>
    </w:div>
    <w:div w:id="463349457">
      <w:bodyDiv w:val="1"/>
      <w:marLeft w:val="0"/>
      <w:marRight w:val="0"/>
      <w:marTop w:val="0"/>
      <w:marBottom w:val="0"/>
      <w:divBdr>
        <w:top w:val="none" w:sz="0" w:space="0" w:color="auto"/>
        <w:left w:val="none" w:sz="0" w:space="0" w:color="auto"/>
        <w:bottom w:val="none" w:sz="0" w:space="0" w:color="auto"/>
        <w:right w:val="none" w:sz="0" w:space="0" w:color="auto"/>
      </w:divBdr>
    </w:div>
    <w:div w:id="466944183">
      <w:bodyDiv w:val="1"/>
      <w:marLeft w:val="0"/>
      <w:marRight w:val="0"/>
      <w:marTop w:val="0"/>
      <w:marBottom w:val="0"/>
      <w:divBdr>
        <w:top w:val="none" w:sz="0" w:space="0" w:color="auto"/>
        <w:left w:val="none" w:sz="0" w:space="0" w:color="auto"/>
        <w:bottom w:val="none" w:sz="0" w:space="0" w:color="auto"/>
        <w:right w:val="none" w:sz="0" w:space="0" w:color="auto"/>
      </w:divBdr>
    </w:div>
    <w:div w:id="469594710">
      <w:bodyDiv w:val="1"/>
      <w:marLeft w:val="0"/>
      <w:marRight w:val="0"/>
      <w:marTop w:val="0"/>
      <w:marBottom w:val="0"/>
      <w:divBdr>
        <w:top w:val="none" w:sz="0" w:space="0" w:color="auto"/>
        <w:left w:val="none" w:sz="0" w:space="0" w:color="auto"/>
        <w:bottom w:val="none" w:sz="0" w:space="0" w:color="auto"/>
        <w:right w:val="none" w:sz="0" w:space="0" w:color="auto"/>
      </w:divBdr>
    </w:div>
    <w:div w:id="471214777">
      <w:bodyDiv w:val="1"/>
      <w:marLeft w:val="0"/>
      <w:marRight w:val="0"/>
      <w:marTop w:val="0"/>
      <w:marBottom w:val="0"/>
      <w:divBdr>
        <w:top w:val="none" w:sz="0" w:space="0" w:color="auto"/>
        <w:left w:val="none" w:sz="0" w:space="0" w:color="auto"/>
        <w:bottom w:val="none" w:sz="0" w:space="0" w:color="auto"/>
        <w:right w:val="none" w:sz="0" w:space="0" w:color="auto"/>
      </w:divBdr>
    </w:div>
    <w:div w:id="476604860">
      <w:bodyDiv w:val="1"/>
      <w:marLeft w:val="0"/>
      <w:marRight w:val="0"/>
      <w:marTop w:val="0"/>
      <w:marBottom w:val="0"/>
      <w:divBdr>
        <w:top w:val="none" w:sz="0" w:space="0" w:color="auto"/>
        <w:left w:val="none" w:sz="0" w:space="0" w:color="auto"/>
        <w:bottom w:val="none" w:sz="0" w:space="0" w:color="auto"/>
        <w:right w:val="none" w:sz="0" w:space="0" w:color="auto"/>
      </w:divBdr>
    </w:div>
    <w:div w:id="479273436">
      <w:bodyDiv w:val="1"/>
      <w:marLeft w:val="0"/>
      <w:marRight w:val="0"/>
      <w:marTop w:val="0"/>
      <w:marBottom w:val="0"/>
      <w:divBdr>
        <w:top w:val="none" w:sz="0" w:space="0" w:color="auto"/>
        <w:left w:val="none" w:sz="0" w:space="0" w:color="auto"/>
        <w:bottom w:val="none" w:sz="0" w:space="0" w:color="auto"/>
        <w:right w:val="none" w:sz="0" w:space="0" w:color="auto"/>
      </w:divBdr>
    </w:div>
    <w:div w:id="484014364">
      <w:bodyDiv w:val="1"/>
      <w:marLeft w:val="0"/>
      <w:marRight w:val="0"/>
      <w:marTop w:val="0"/>
      <w:marBottom w:val="0"/>
      <w:divBdr>
        <w:top w:val="none" w:sz="0" w:space="0" w:color="auto"/>
        <w:left w:val="none" w:sz="0" w:space="0" w:color="auto"/>
        <w:bottom w:val="none" w:sz="0" w:space="0" w:color="auto"/>
        <w:right w:val="none" w:sz="0" w:space="0" w:color="auto"/>
      </w:divBdr>
    </w:div>
    <w:div w:id="486167862">
      <w:bodyDiv w:val="1"/>
      <w:marLeft w:val="0"/>
      <w:marRight w:val="0"/>
      <w:marTop w:val="0"/>
      <w:marBottom w:val="0"/>
      <w:divBdr>
        <w:top w:val="none" w:sz="0" w:space="0" w:color="auto"/>
        <w:left w:val="none" w:sz="0" w:space="0" w:color="auto"/>
        <w:bottom w:val="none" w:sz="0" w:space="0" w:color="auto"/>
        <w:right w:val="none" w:sz="0" w:space="0" w:color="auto"/>
      </w:divBdr>
    </w:div>
    <w:div w:id="486822400">
      <w:bodyDiv w:val="1"/>
      <w:marLeft w:val="0"/>
      <w:marRight w:val="0"/>
      <w:marTop w:val="0"/>
      <w:marBottom w:val="0"/>
      <w:divBdr>
        <w:top w:val="none" w:sz="0" w:space="0" w:color="auto"/>
        <w:left w:val="none" w:sz="0" w:space="0" w:color="auto"/>
        <w:bottom w:val="none" w:sz="0" w:space="0" w:color="auto"/>
        <w:right w:val="none" w:sz="0" w:space="0" w:color="auto"/>
      </w:divBdr>
    </w:div>
    <w:div w:id="487525297">
      <w:bodyDiv w:val="1"/>
      <w:marLeft w:val="0"/>
      <w:marRight w:val="0"/>
      <w:marTop w:val="0"/>
      <w:marBottom w:val="0"/>
      <w:divBdr>
        <w:top w:val="none" w:sz="0" w:space="0" w:color="auto"/>
        <w:left w:val="none" w:sz="0" w:space="0" w:color="auto"/>
        <w:bottom w:val="none" w:sz="0" w:space="0" w:color="auto"/>
        <w:right w:val="none" w:sz="0" w:space="0" w:color="auto"/>
      </w:divBdr>
    </w:div>
    <w:div w:id="491022292">
      <w:bodyDiv w:val="1"/>
      <w:marLeft w:val="0"/>
      <w:marRight w:val="0"/>
      <w:marTop w:val="0"/>
      <w:marBottom w:val="0"/>
      <w:divBdr>
        <w:top w:val="none" w:sz="0" w:space="0" w:color="auto"/>
        <w:left w:val="none" w:sz="0" w:space="0" w:color="auto"/>
        <w:bottom w:val="none" w:sz="0" w:space="0" w:color="auto"/>
        <w:right w:val="none" w:sz="0" w:space="0" w:color="auto"/>
      </w:divBdr>
    </w:div>
    <w:div w:id="491024053">
      <w:bodyDiv w:val="1"/>
      <w:marLeft w:val="0"/>
      <w:marRight w:val="0"/>
      <w:marTop w:val="0"/>
      <w:marBottom w:val="0"/>
      <w:divBdr>
        <w:top w:val="none" w:sz="0" w:space="0" w:color="auto"/>
        <w:left w:val="none" w:sz="0" w:space="0" w:color="auto"/>
        <w:bottom w:val="none" w:sz="0" w:space="0" w:color="auto"/>
        <w:right w:val="none" w:sz="0" w:space="0" w:color="auto"/>
      </w:divBdr>
    </w:div>
    <w:div w:id="493571486">
      <w:bodyDiv w:val="1"/>
      <w:marLeft w:val="0"/>
      <w:marRight w:val="0"/>
      <w:marTop w:val="0"/>
      <w:marBottom w:val="0"/>
      <w:divBdr>
        <w:top w:val="none" w:sz="0" w:space="0" w:color="auto"/>
        <w:left w:val="none" w:sz="0" w:space="0" w:color="auto"/>
        <w:bottom w:val="none" w:sz="0" w:space="0" w:color="auto"/>
        <w:right w:val="none" w:sz="0" w:space="0" w:color="auto"/>
      </w:divBdr>
    </w:div>
    <w:div w:id="495268876">
      <w:bodyDiv w:val="1"/>
      <w:marLeft w:val="0"/>
      <w:marRight w:val="0"/>
      <w:marTop w:val="0"/>
      <w:marBottom w:val="0"/>
      <w:divBdr>
        <w:top w:val="none" w:sz="0" w:space="0" w:color="auto"/>
        <w:left w:val="none" w:sz="0" w:space="0" w:color="auto"/>
        <w:bottom w:val="none" w:sz="0" w:space="0" w:color="auto"/>
        <w:right w:val="none" w:sz="0" w:space="0" w:color="auto"/>
      </w:divBdr>
    </w:div>
    <w:div w:id="495533756">
      <w:bodyDiv w:val="1"/>
      <w:marLeft w:val="0"/>
      <w:marRight w:val="0"/>
      <w:marTop w:val="0"/>
      <w:marBottom w:val="0"/>
      <w:divBdr>
        <w:top w:val="none" w:sz="0" w:space="0" w:color="auto"/>
        <w:left w:val="none" w:sz="0" w:space="0" w:color="auto"/>
        <w:bottom w:val="none" w:sz="0" w:space="0" w:color="auto"/>
        <w:right w:val="none" w:sz="0" w:space="0" w:color="auto"/>
      </w:divBdr>
    </w:div>
    <w:div w:id="499739504">
      <w:bodyDiv w:val="1"/>
      <w:marLeft w:val="0"/>
      <w:marRight w:val="0"/>
      <w:marTop w:val="0"/>
      <w:marBottom w:val="0"/>
      <w:divBdr>
        <w:top w:val="none" w:sz="0" w:space="0" w:color="auto"/>
        <w:left w:val="none" w:sz="0" w:space="0" w:color="auto"/>
        <w:bottom w:val="none" w:sz="0" w:space="0" w:color="auto"/>
        <w:right w:val="none" w:sz="0" w:space="0" w:color="auto"/>
      </w:divBdr>
    </w:div>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501969429">
      <w:bodyDiv w:val="1"/>
      <w:marLeft w:val="0"/>
      <w:marRight w:val="0"/>
      <w:marTop w:val="0"/>
      <w:marBottom w:val="0"/>
      <w:divBdr>
        <w:top w:val="none" w:sz="0" w:space="0" w:color="auto"/>
        <w:left w:val="none" w:sz="0" w:space="0" w:color="auto"/>
        <w:bottom w:val="none" w:sz="0" w:space="0" w:color="auto"/>
        <w:right w:val="none" w:sz="0" w:space="0" w:color="auto"/>
      </w:divBdr>
    </w:div>
    <w:div w:id="505830441">
      <w:bodyDiv w:val="1"/>
      <w:marLeft w:val="0"/>
      <w:marRight w:val="0"/>
      <w:marTop w:val="0"/>
      <w:marBottom w:val="0"/>
      <w:divBdr>
        <w:top w:val="none" w:sz="0" w:space="0" w:color="auto"/>
        <w:left w:val="none" w:sz="0" w:space="0" w:color="auto"/>
        <w:bottom w:val="none" w:sz="0" w:space="0" w:color="auto"/>
        <w:right w:val="none" w:sz="0" w:space="0" w:color="auto"/>
      </w:divBdr>
    </w:div>
    <w:div w:id="506212674">
      <w:bodyDiv w:val="1"/>
      <w:marLeft w:val="0"/>
      <w:marRight w:val="0"/>
      <w:marTop w:val="0"/>
      <w:marBottom w:val="0"/>
      <w:divBdr>
        <w:top w:val="none" w:sz="0" w:space="0" w:color="auto"/>
        <w:left w:val="none" w:sz="0" w:space="0" w:color="auto"/>
        <w:bottom w:val="none" w:sz="0" w:space="0" w:color="auto"/>
        <w:right w:val="none" w:sz="0" w:space="0" w:color="auto"/>
      </w:divBdr>
    </w:div>
    <w:div w:id="507981652">
      <w:bodyDiv w:val="1"/>
      <w:marLeft w:val="0"/>
      <w:marRight w:val="0"/>
      <w:marTop w:val="0"/>
      <w:marBottom w:val="0"/>
      <w:divBdr>
        <w:top w:val="none" w:sz="0" w:space="0" w:color="auto"/>
        <w:left w:val="none" w:sz="0" w:space="0" w:color="auto"/>
        <w:bottom w:val="none" w:sz="0" w:space="0" w:color="auto"/>
        <w:right w:val="none" w:sz="0" w:space="0" w:color="auto"/>
      </w:divBdr>
    </w:div>
    <w:div w:id="508065647">
      <w:bodyDiv w:val="1"/>
      <w:marLeft w:val="0"/>
      <w:marRight w:val="0"/>
      <w:marTop w:val="0"/>
      <w:marBottom w:val="0"/>
      <w:divBdr>
        <w:top w:val="none" w:sz="0" w:space="0" w:color="auto"/>
        <w:left w:val="none" w:sz="0" w:space="0" w:color="auto"/>
        <w:bottom w:val="none" w:sz="0" w:space="0" w:color="auto"/>
        <w:right w:val="none" w:sz="0" w:space="0" w:color="auto"/>
      </w:divBdr>
    </w:div>
    <w:div w:id="508831936">
      <w:bodyDiv w:val="1"/>
      <w:marLeft w:val="0"/>
      <w:marRight w:val="0"/>
      <w:marTop w:val="0"/>
      <w:marBottom w:val="0"/>
      <w:divBdr>
        <w:top w:val="none" w:sz="0" w:space="0" w:color="auto"/>
        <w:left w:val="none" w:sz="0" w:space="0" w:color="auto"/>
        <w:bottom w:val="none" w:sz="0" w:space="0" w:color="auto"/>
        <w:right w:val="none" w:sz="0" w:space="0" w:color="auto"/>
      </w:divBdr>
    </w:div>
    <w:div w:id="511535231">
      <w:bodyDiv w:val="1"/>
      <w:marLeft w:val="0"/>
      <w:marRight w:val="0"/>
      <w:marTop w:val="0"/>
      <w:marBottom w:val="0"/>
      <w:divBdr>
        <w:top w:val="none" w:sz="0" w:space="0" w:color="auto"/>
        <w:left w:val="none" w:sz="0" w:space="0" w:color="auto"/>
        <w:bottom w:val="none" w:sz="0" w:space="0" w:color="auto"/>
        <w:right w:val="none" w:sz="0" w:space="0" w:color="auto"/>
      </w:divBdr>
    </w:div>
    <w:div w:id="512451693">
      <w:bodyDiv w:val="1"/>
      <w:marLeft w:val="0"/>
      <w:marRight w:val="0"/>
      <w:marTop w:val="0"/>
      <w:marBottom w:val="0"/>
      <w:divBdr>
        <w:top w:val="none" w:sz="0" w:space="0" w:color="auto"/>
        <w:left w:val="none" w:sz="0" w:space="0" w:color="auto"/>
        <w:bottom w:val="none" w:sz="0" w:space="0" w:color="auto"/>
        <w:right w:val="none" w:sz="0" w:space="0" w:color="auto"/>
      </w:divBdr>
    </w:div>
    <w:div w:id="514079254">
      <w:bodyDiv w:val="1"/>
      <w:marLeft w:val="0"/>
      <w:marRight w:val="0"/>
      <w:marTop w:val="0"/>
      <w:marBottom w:val="0"/>
      <w:divBdr>
        <w:top w:val="none" w:sz="0" w:space="0" w:color="auto"/>
        <w:left w:val="none" w:sz="0" w:space="0" w:color="auto"/>
        <w:bottom w:val="none" w:sz="0" w:space="0" w:color="auto"/>
        <w:right w:val="none" w:sz="0" w:space="0" w:color="auto"/>
      </w:divBdr>
    </w:div>
    <w:div w:id="515851765">
      <w:bodyDiv w:val="1"/>
      <w:marLeft w:val="0"/>
      <w:marRight w:val="0"/>
      <w:marTop w:val="0"/>
      <w:marBottom w:val="0"/>
      <w:divBdr>
        <w:top w:val="none" w:sz="0" w:space="0" w:color="auto"/>
        <w:left w:val="none" w:sz="0" w:space="0" w:color="auto"/>
        <w:bottom w:val="none" w:sz="0" w:space="0" w:color="auto"/>
        <w:right w:val="none" w:sz="0" w:space="0" w:color="auto"/>
      </w:divBdr>
    </w:div>
    <w:div w:id="518785433">
      <w:bodyDiv w:val="1"/>
      <w:marLeft w:val="0"/>
      <w:marRight w:val="0"/>
      <w:marTop w:val="0"/>
      <w:marBottom w:val="0"/>
      <w:divBdr>
        <w:top w:val="none" w:sz="0" w:space="0" w:color="auto"/>
        <w:left w:val="none" w:sz="0" w:space="0" w:color="auto"/>
        <w:bottom w:val="none" w:sz="0" w:space="0" w:color="auto"/>
        <w:right w:val="none" w:sz="0" w:space="0" w:color="auto"/>
      </w:divBdr>
    </w:div>
    <w:div w:id="521356499">
      <w:bodyDiv w:val="1"/>
      <w:marLeft w:val="0"/>
      <w:marRight w:val="0"/>
      <w:marTop w:val="0"/>
      <w:marBottom w:val="0"/>
      <w:divBdr>
        <w:top w:val="none" w:sz="0" w:space="0" w:color="auto"/>
        <w:left w:val="none" w:sz="0" w:space="0" w:color="auto"/>
        <w:bottom w:val="none" w:sz="0" w:space="0" w:color="auto"/>
        <w:right w:val="none" w:sz="0" w:space="0" w:color="auto"/>
      </w:divBdr>
    </w:div>
    <w:div w:id="524904968">
      <w:bodyDiv w:val="1"/>
      <w:marLeft w:val="0"/>
      <w:marRight w:val="0"/>
      <w:marTop w:val="0"/>
      <w:marBottom w:val="0"/>
      <w:divBdr>
        <w:top w:val="none" w:sz="0" w:space="0" w:color="auto"/>
        <w:left w:val="none" w:sz="0" w:space="0" w:color="auto"/>
        <w:bottom w:val="none" w:sz="0" w:space="0" w:color="auto"/>
        <w:right w:val="none" w:sz="0" w:space="0" w:color="auto"/>
      </w:divBdr>
    </w:div>
    <w:div w:id="524944236">
      <w:bodyDiv w:val="1"/>
      <w:marLeft w:val="0"/>
      <w:marRight w:val="0"/>
      <w:marTop w:val="0"/>
      <w:marBottom w:val="0"/>
      <w:divBdr>
        <w:top w:val="none" w:sz="0" w:space="0" w:color="auto"/>
        <w:left w:val="none" w:sz="0" w:space="0" w:color="auto"/>
        <w:bottom w:val="none" w:sz="0" w:space="0" w:color="auto"/>
        <w:right w:val="none" w:sz="0" w:space="0" w:color="auto"/>
      </w:divBdr>
    </w:div>
    <w:div w:id="525560395">
      <w:bodyDiv w:val="1"/>
      <w:marLeft w:val="0"/>
      <w:marRight w:val="0"/>
      <w:marTop w:val="0"/>
      <w:marBottom w:val="0"/>
      <w:divBdr>
        <w:top w:val="none" w:sz="0" w:space="0" w:color="auto"/>
        <w:left w:val="none" w:sz="0" w:space="0" w:color="auto"/>
        <w:bottom w:val="none" w:sz="0" w:space="0" w:color="auto"/>
        <w:right w:val="none" w:sz="0" w:space="0" w:color="auto"/>
      </w:divBdr>
    </w:div>
    <w:div w:id="526212910">
      <w:bodyDiv w:val="1"/>
      <w:marLeft w:val="0"/>
      <w:marRight w:val="0"/>
      <w:marTop w:val="0"/>
      <w:marBottom w:val="0"/>
      <w:divBdr>
        <w:top w:val="none" w:sz="0" w:space="0" w:color="auto"/>
        <w:left w:val="none" w:sz="0" w:space="0" w:color="auto"/>
        <w:bottom w:val="none" w:sz="0" w:space="0" w:color="auto"/>
        <w:right w:val="none" w:sz="0" w:space="0" w:color="auto"/>
      </w:divBdr>
    </w:div>
    <w:div w:id="526599848">
      <w:bodyDiv w:val="1"/>
      <w:marLeft w:val="0"/>
      <w:marRight w:val="0"/>
      <w:marTop w:val="0"/>
      <w:marBottom w:val="0"/>
      <w:divBdr>
        <w:top w:val="none" w:sz="0" w:space="0" w:color="auto"/>
        <w:left w:val="none" w:sz="0" w:space="0" w:color="auto"/>
        <w:bottom w:val="none" w:sz="0" w:space="0" w:color="auto"/>
        <w:right w:val="none" w:sz="0" w:space="0" w:color="auto"/>
      </w:divBdr>
    </w:div>
    <w:div w:id="535629349">
      <w:bodyDiv w:val="1"/>
      <w:marLeft w:val="0"/>
      <w:marRight w:val="0"/>
      <w:marTop w:val="0"/>
      <w:marBottom w:val="0"/>
      <w:divBdr>
        <w:top w:val="none" w:sz="0" w:space="0" w:color="auto"/>
        <w:left w:val="none" w:sz="0" w:space="0" w:color="auto"/>
        <w:bottom w:val="none" w:sz="0" w:space="0" w:color="auto"/>
        <w:right w:val="none" w:sz="0" w:space="0" w:color="auto"/>
      </w:divBdr>
    </w:div>
    <w:div w:id="537593763">
      <w:bodyDiv w:val="1"/>
      <w:marLeft w:val="0"/>
      <w:marRight w:val="0"/>
      <w:marTop w:val="0"/>
      <w:marBottom w:val="0"/>
      <w:divBdr>
        <w:top w:val="none" w:sz="0" w:space="0" w:color="auto"/>
        <w:left w:val="none" w:sz="0" w:space="0" w:color="auto"/>
        <w:bottom w:val="none" w:sz="0" w:space="0" w:color="auto"/>
        <w:right w:val="none" w:sz="0" w:space="0" w:color="auto"/>
      </w:divBdr>
    </w:div>
    <w:div w:id="538204815">
      <w:bodyDiv w:val="1"/>
      <w:marLeft w:val="0"/>
      <w:marRight w:val="0"/>
      <w:marTop w:val="0"/>
      <w:marBottom w:val="0"/>
      <w:divBdr>
        <w:top w:val="none" w:sz="0" w:space="0" w:color="auto"/>
        <w:left w:val="none" w:sz="0" w:space="0" w:color="auto"/>
        <w:bottom w:val="none" w:sz="0" w:space="0" w:color="auto"/>
        <w:right w:val="none" w:sz="0" w:space="0" w:color="auto"/>
      </w:divBdr>
    </w:div>
    <w:div w:id="539979211">
      <w:bodyDiv w:val="1"/>
      <w:marLeft w:val="0"/>
      <w:marRight w:val="0"/>
      <w:marTop w:val="0"/>
      <w:marBottom w:val="0"/>
      <w:divBdr>
        <w:top w:val="none" w:sz="0" w:space="0" w:color="auto"/>
        <w:left w:val="none" w:sz="0" w:space="0" w:color="auto"/>
        <w:bottom w:val="none" w:sz="0" w:space="0" w:color="auto"/>
        <w:right w:val="none" w:sz="0" w:space="0" w:color="auto"/>
      </w:divBdr>
    </w:div>
    <w:div w:id="540553982">
      <w:bodyDiv w:val="1"/>
      <w:marLeft w:val="0"/>
      <w:marRight w:val="0"/>
      <w:marTop w:val="0"/>
      <w:marBottom w:val="0"/>
      <w:divBdr>
        <w:top w:val="none" w:sz="0" w:space="0" w:color="auto"/>
        <w:left w:val="none" w:sz="0" w:space="0" w:color="auto"/>
        <w:bottom w:val="none" w:sz="0" w:space="0" w:color="auto"/>
        <w:right w:val="none" w:sz="0" w:space="0" w:color="auto"/>
      </w:divBdr>
    </w:div>
    <w:div w:id="543952968">
      <w:bodyDiv w:val="1"/>
      <w:marLeft w:val="0"/>
      <w:marRight w:val="0"/>
      <w:marTop w:val="0"/>
      <w:marBottom w:val="0"/>
      <w:divBdr>
        <w:top w:val="none" w:sz="0" w:space="0" w:color="auto"/>
        <w:left w:val="none" w:sz="0" w:space="0" w:color="auto"/>
        <w:bottom w:val="none" w:sz="0" w:space="0" w:color="auto"/>
        <w:right w:val="none" w:sz="0" w:space="0" w:color="auto"/>
      </w:divBdr>
    </w:div>
    <w:div w:id="544102445">
      <w:bodyDiv w:val="1"/>
      <w:marLeft w:val="0"/>
      <w:marRight w:val="0"/>
      <w:marTop w:val="0"/>
      <w:marBottom w:val="0"/>
      <w:divBdr>
        <w:top w:val="none" w:sz="0" w:space="0" w:color="auto"/>
        <w:left w:val="none" w:sz="0" w:space="0" w:color="auto"/>
        <w:bottom w:val="none" w:sz="0" w:space="0" w:color="auto"/>
        <w:right w:val="none" w:sz="0" w:space="0" w:color="auto"/>
      </w:divBdr>
    </w:div>
    <w:div w:id="550308687">
      <w:bodyDiv w:val="1"/>
      <w:marLeft w:val="0"/>
      <w:marRight w:val="0"/>
      <w:marTop w:val="0"/>
      <w:marBottom w:val="0"/>
      <w:divBdr>
        <w:top w:val="none" w:sz="0" w:space="0" w:color="auto"/>
        <w:left w:val="none" w:sz="0" w:space="0" w:color="auto"/>
        <w:bottom w:val="none" w:sz="0" w:space="0" w:color="auto"/>
        <w:right w:val="none" w:sz="0" w:space="0" w:color="auto"/>
      </w:divBdr>
    </w:div>
    <w:div w:id="551355854">
      <w:bodyDiv w:val="1"/>
      <w:marLeft w:val="0"/>
      <w:marRight w:val="0"/>
      <w:marTop w:val="0"/>
      <w:marBottom w:val="0"/>
      <w:divBdr>
        <w:top w:val="none" w:sz="0" w:space="0" w:color="auto"/>
        <w:left w:val="none" w:sz="0" w:space="0" w:color="auto"/>
        <w:bottom w:val="none" w:sz="0" w:space="0" w:color="auto"/>
        <w:right w:val="none" w:sz="0" w:space="0" w:color="auto"/>
      </w:divBdr>
    </w:div>
    <w:div w:id="552229796">
      <w:bodyDiv w:val="1"/>
      <w:marLeft w:val="0"/>
      <w:marRight w:val="0"/>
      <w:marTop w:val="0"/>
      <w:marBottom w:val="0"/>
      <w:divBdr>
        <w:top w:val="none" w:sz="0" w:space="0" w:color="auto"/>
        <w:left w:val="none" w:sz="0" w:space="0" w:color="auto"/>
        <w:bottom w:val="none" w:sz="0" w:space="0" w:color="auto"/>
        <w:right w:val="none" w:sz="0" w:space="0" w:color="auto"/>
      </w:divBdr>
    </w:div>
    <w:div w:id="556208887">
      <w:bodyDiv w:val="1"/>
      <w:marLeft w:val="0"/>
      <w:marRight w:val="0"/>
      <w:marTop w:val="0"/>
      <w:marBottom w:val="0"/>
      <w:divBdr>
        <w:top w:val="none" w:sz="0" w:space="0" w:color="auto"/>
        <w:left w:val="none" w:sz="0" w:space="0" w:color="auto"/>
        <w:bottom w:val="none" w:sz="0" w:space="0" w:color="auto"/>
        <w:right w:val="none" w:sz="0" w:space="0" w:color="auto"/>
      </w:divBdr>
    </w:div>
    <w:div w:id="557515748">
      <w:bodyDiv w:val="1"/>
      <w:marLeft w:val="0"/>
      <w:marRight w:val="0"/>
      <w:marTop w:val="0"/>
      <w:marBottom w:val="0"/>
      <w:divBdr>
        <w:top w:val="none" w:sz="0" w:space="0" w:color="auto"/>
        <w:left w:val="none" w:sz="0" w:space="0" w:color="auto"/>
        <w:bottom w:val="none" w:sz="0" w:space="0" w:color="auto"/>
        <w:right w:val="none" w:sz="0" w:space="0" w:color="auto"/>
      </w:divBdr>
    </w:div>
    <w:div w:id="558243936">
      <w:bodyDiv w:val="1"/>
      <w:marLeft w:val="0"/>
      <w:marRight w:val="0"/>
      <w:marTop w:val="0"/>
      <w:marBottom w:val="0"/>
      <w:divBdr>
        <w:top w:val="none" w:sz="0" w:space="0" w:color="auto"/>
        <w:left w:val="none" w:sz="0" w:space="0" w:color="auto"/>
        <w:bottom w:val="none" w:sz="0" w:space="0" w:color="auto"/>
        <w:right w:val="none" w:sz="0" w:space="0" w:color="auto"/>
      </w:divBdr>
    </w:div>
    <w:div w:id="559707423">
      <w:bodyDiv w:val="1"/>
      <w:marLeft w:val="0"/>
      <w:marRight w:val="0"/>
      <w:marTop w:val="0"/>
      <w:marBottom w:val="0"/>
      <w:divBdr>
        <w:top w:val="none" w:sz="0" w:space="0" w:color="auto"/>
        <w:left w:val="none" w:sz="0" w:space="0" w:color="auto"/>
        <w:bottom w:val="none" w:sz="0" w:space="0" w:color="auto"/>
        <w:right w:val="none" w:sz="0" w:space="0" w:color="auto"/>
      </w:divBdr>
    </w:div>
    <w:div w:id="568544060">
      <w:bodyDiv w:val="1"/>
      <w:marLeft w:val="0"/>
      <w:marRight w:val="0"/>
      <w:marTop w:val="0"/>
      <w:marBottom w:val="0"/>
      <w:divBdr>
        <w:top w:val="none" w:sz="0" w:space="0" w:color="auto"/>
        <w:left w:val="none" w:sz="0" w:space="0" w:color="auto"/>
        <w:bottom w:val="none" w:sz="0" w:space="0" w:color="auto"/>
        <w:right w:val="none" w:sz="0" w:space="0" w:color="auto"/>
      </w:divBdr>
    </w:div>
    <w:div w:id="573593183">
      <w:bodyDiv w:val="1"/>
      <w:marLeft w:val="0"/>
      <w:marRight w:val="0"/>
      <w:marTop w:val="0"/>
      <w:marBottom w:val="0"/>
      <w:divBdr>
        <w:top w:val="none" w:sz="0" w:space="0" w:color="auto"/>
        <w:left w:val="none" w:sz="0" w:space="0" w:color="auto"/>
        <w:bottom w:val="none" w:sz="0" w:space="0" w:color="auto"/>
        <w:right w:val="none" w:sz="0" w:space="0" w:color="auto"/>
      </w:divBdr>
    </w:div>
    <w:div w:id="575558733">
      <w:bodyDiv w:val="1"/>
      <w:marLeft w:val="0"/>
      <w:marRight w:val="0"/>
      <w:marTop w:val="0"/>
      <w:marBottom w:val="0"/>
      <w:divBdr>
        <w:top w:val="none" w:sz="0" w:space="0" w:color="auto"/>
        <w:left w:val="none" w:sz="0" w:space="0" w:color="auto"/>
        <w:bottom w:val="none" w:sz="0" w:space="0" w:color="auto"/>
        <w:right w:val="none" w:sz="0" w:space="0" w:color="auto"/>
      </w:divBdr>
    </w:div>
    <w:div w:id="575820520">
      <w:bodyDiv w:val="1"/>
      <w:marLeft w:val="0"/>
      <w:marRight w:val="0"/>
      <w:marTop w:val="0"/>
      <w:marBottom w:val="0"/>
      <w:divBdr>
        <w:top w:val="none" w:sz="0" w:space="0" w:color="auto"/>
        <w:left w:val="none" w:sz="0" w:space="0" w:color="auto"/>
        <w:bottom w:val="none" w:sz="0" w:space="0" w:color="auto"/>
        <w:right w:val="none" w:sz="0" w:space="0" w:color="auto"/>
      </w:divBdr>
    </w:div>
    <w:div w:id="576401436">
      <w:bodyDiv w:val="1"/>
      <w:marLeft w:val="0"/>
      <w:marRight w:val="0"/>
      <w:marTop w:val="0"/>
      <w:marBottom w:val="0"/>
      <w:divBdr>
        <w:top w:val="none" w:sz="0" w:space="0" w:color="auto"/>
        <w:left w:val="none" w:sz="0" w:space="0" w:color="auto"/>
        <w:bottom w:val="none" w:sz="0" w:space="0" w:color="auto"/>
        <w:right w:val="none" w:sz="0" w:space="0" w:color="auto"/>
      </w:divBdr>
    </w:div>
    <w:div w:id="580263873">
      <w:bodyDiv w:val="1"/>
      <w:marLeft w:val="0"/>
      <w:marRight w:val="0"/>
      <w:marTop w:val="0"/>
      <w:marBottom w:val="0"/>
      <w:divBdr>
        <w:top w:val="none" w:sz="0" w:space="0" w:color="auto"/>
        <w:left w:val="none" w:sz="0" w:space="0" w:color="auto"/>
        <w:bottom w:val="none" w:sz="0" w:space="0" w:color="auto"/>
        <w:right w:val="none" w:sz="0" w:space="0" w:color="auto"/>
      </w:divBdr>
      <w:divsChild>
        <w:div w:id="1758361035">
          <w:marLeft w:val="0"/>
          <w:marRight w:val="0"/>
          <w:marTop w:val="0"/>
          <w:marBottom w:val="0"/>
          <w:divBdr>
            <w:top w:val="none" w:sz="0" w:space="0" w:color="auto"/>
            <w:left w:val="none" w:sz="0" w:space="0" w:color="auto"/>
            <w:bottom w:val="none" w:sz="0" w:space="0" w:color="auto"/>
            <w:right w:val="none" w:sz="0" w:space="0" w:color="auto"/>
          </w:divBdr>
          <w:divsChild>
            <w:div w:id="830487618">
              <w:marLeft w:val="0"/>
              <w:marRight w:val="0"/>
              <w:marTop w:val="0"/>
              <w:marBottom w:val="0"/>
              <w:divBdr>
                <w:top w:val="none" w:sz="0" w:space="0" w:color="auto"/>
                <w:left w:val="none" w:sz="0" w:space="0" w:color="auto"/>
                <w:bottom w:val="none" w:sz="0" w:space="0" w:color="auto"/>
                <w:right w:val="none" w:sz="0" w:space="0" w:color="auto"/>
              </w:divBdr>
              <w:divsChild>
                <w:div w:id="701635390">
                  <w:marLeft w:val="0"/>
                  <w:marRight w:val="0"/>
                  <w:marTop w:val="0"/>
                  <w:marBottom w:val="0"/>
                  <w:divBdr>
                    <w:top w:val="none" w:sz="0" w:space="0" w:color="auto"/>
                    <w:left w:val="none" w:sz="0" w:space="0" w:color="auto"/>
                    <w:bottom w:val="none" w:sz="0" w:space="0" w:color="auto"/>
                    <w:right w:val="none" w:sz="0" w:space="0" w:color="auto"/>
                  </w:divBdr>
                  <w:divsChild>
                    <w:div w:id="1629895718">
                      <w:marLeft w:val="0"/>
                      <w:marRight w:val="0"/>
                      <w:marTop w:val="0"/>
                      <w:marBottom w:val="0"/>
                      <w:divBdr>
                        <w:top w:val="none" w:sz="0" w:space="0" w:color="auto"/>
                        <w:left w:val="none" w:sz="0" w:space="0" w:color="auto"/>
                        <w:bottom w:val="none" w:sz="0" w:space="0" w:color="auto"/>
                        <w:right w:val="none" w:sz="0" w:space="0" w:color="auto"/>
                      </w:divBdr>
                      <w:divsChild>
                        <w:div w:id="1353073411">
                          <w:marLeft w:val="0"/>
                          <w:marRight w:val="0"/>
                          <w:marTop w:val="0"/>
                          <w:marBottom w:val="0"/>
                          <w:divBdr>
                            <w:top w:val="none" w:sz="0" w:space="0" w:color="auto"/>
                            <w:left w:val="none" w:sz="0" w:space="0" w:color="auto"/>
                            <w:bottom w:val="none" w:sz="0" w:space="0" w:color="auto"/>
                            <w:right w:val="none" w:sz="0" w:space="0" w:color="auto"/>
                          </w:divBdr>
                          <w:divsChild>
                            <w:div w:id="448746043">
                              <w:marLeft w:val="0"/>
                              <w:marRight w:val="0"/>
                              <w:marTop w:val="0"/>
                              <w:marBottom w:val="0"/>
                              <w:divBdr>
                                <w:top w:val="none" w:sz="0" w:space="0" w:color="auto"/>
                                <w:left w:val="none" w:sz="0" w:space="0" w:color="auto"/>
                                <w:bottom w:val="none" w:sz="0" w:space="0" w:color="auto"/>
                                <w:right w:val="none" w:sz="0" w:space="0" w:color="auto"/>
                              </w:divBdr>
                              <w:divsChild>
                                <w:div w:id="710809716">
                                  <w:marLeft w:val="0"/>
                                  <w:marRight w:val="0"/>
                                  <w:marTop w:val="0"/>
                                  <w:marBottom w:val="0"/>
                                  <w:divBdr>
                                    <w:top w:val="none" w:sz="0" w:space="0" w:color="auto"/>
                                    <w:left w:val="none" w:sz="0" w:space="0" w:color="auto"/>
                                    <w:bottom w:val="none" w:sz="0" w:space="0" w:color="auto"/>
                                    <w:right w:val="none" w:sz="0" w:space="0" w:color="auto"/>
                                  </w:divBdr>
                                  <w:divsChild>
                                    <w:div w:id="1766068836">
                                      <w:marLeft w:val="0"/>
                                      <w:marRight w:val="0"/>
                                      <w:marTop w:val="0"/>
                                      <w:marBottom w:val="0"/>
                                      <w:divBdr>
                                        <w:top w:val="none" w:sz="0" w:space="0" w:color="auto"/>
                                        <w:left w:val="none" w:sz="0" w:space="0" w:color="auto"/>
                                        <w:bottom w:val="none" w:sz="0" w:space="0" w:color="auto"/>
                                        <w:right w:val="none" w:sz="0" w:space="0" w:color="auto"/>
                                      </w:divBdr>
                                      <w:divsChild>
                                        <w:div w:id="1513372662">
                                          <w:marLeft w:val="0"/>
                                          <w:marRight w:val="0"/>
                                          <w:marTop w:val="0"/>
                                          <w:marBottom w:val="0"/>
                                          <w:divBdr>
                                            <w:top w:val="none" w:sz="0" w:space="0" w:color="auto"/>
                                            <w:left w:val="none" w:sz="0" w:space="0" w:color="auto"/>
                                            <w:bottom w:val="none" w:sz="0" w:space="0" w:color="auto"/>
                                            <w:right w:val="none" w:sz="0" w:space="0" w:color="auto"/>
                                          </w:divBdr>
                                        </w:div>
                                      </w:divsChild>
                                    </w:div>
                                    <w:div w:id="459804176">
                                      <w:marLeft w:val="0"/>
                                      <w:marRight w:val="0"/>
                                      <w:marTop w:val="0"/>
                                      <w:marBottom w:val="0"/>
                                      <w:divBdr>
                                        <w:top w:val="none" w:sz="0" w:space="0" w:color="auto"/>
                                        <w:left w:val="none" w:sz="0" w:space="0" w:color="auto"/>
                                        <w:bottom w:val="none" w:sz="0" w:space="0" w:color="auto"/>
                                        <w:right w:val="none" w:sz="0" w:space="0" w:color="auto"/>
                                      </w:divBdr>
                                      <w:divsChild>
                                        <w:div w:id="1785995700">
                                          <w:marLeft w:val="0"/>
                                          <w:marRight w:val="0"/>
                                          <w:marTop w:val="0"/>
                                          <w:marBottom w:val="0"/>
                                          <w:divBdr>
                                            <w:top w:val="none" w:sz="0" w:space="0" w:color="auto"/>
                                            <w:left w:val="none" w:sz="0" w:space="0" w:color="auto"/>
                                            <w:bottom w:val="none" w:sz="0" w:space="0" w:color="auto"/>
                                            <w:right w:val="none" w:sz="0" w:space="0" w:color="auto"/>
                                          </w:divBdr>
                                        </w:div>
                                      </w:divsChild>
                                    </w:div>
                                    <w:div w:id="275528018">
                                      <w:marLeft w:val="0"/>
                                      <w:marRight w:val="0"/>
                                      <w:marTop w:val="0"/>
                                      <w:marBottom w:val="0"/>
                                      <w:divBdr>
                                        <w:top w:val="none" w:sz="0" w:space="0" w:color="auto"/>
                                        <w:left w:val="none" w:sz="0" w:space="0" w:color="auto"/>
                                        <w:bottom w:val="none" w:sz="0" w:space="0" w:color="auto"/>
                                        <w:right w:val="none" w:sz="0" w:space="0" w:color="auto"/>
                                      </w:divBdr>
                                      <w:divsChild>
                                        <w:div w:id="643316654">
                                          <w:marLeft w:val="0"/>
                                          <w:marRight w:val="0"/>
                                          <w:marTop w:val="0"/>
                                          <w:marBottom w:val="0"/>
                                          <w:divBdr>
                                            <w:top w:val="none" w:sz="0" w:space="0" w:color="auto"/>
                                            <w:left w:val="none" w:sz="0" w:space="0" w:color="auto"/>
                                            <w:bottom w:val="none" w:sz="0" w:space="0" w:color="auto"/>
                                            <w:right w:val="none" w:sz="0" w:space="0" w:color="auto"/>
                                          </w:divBdr>
                                        </w:div>
                                      </w:divsChild>
                                    </w:div>
                                    <w:div w:id="47417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6537">
              <w:marLeft w:val="0"/>
              <w:marRight w:val="0"/>
              <w:marTop w:val="0"/>
              <w:marBottom w:val="0"/>
              <w:divBdr>
                <w:top w:val="none" w:sz="0" w:space="0" w:color="auto"/>
                <w:left w:val="none" w:sz="0" w:space="0" w:color="auto"/>
                <w:bottom w:val="none" w:sz="0" w:space="0" w:color="auto"/>
                <w:right w:val="none" w:sz="0" w:space="0" w:color="auto"/>
              </w:divBdr>
              <w:divsChild>
                <w:div w:id="1647083318">
                  <w:marLeft w:val="0"/>
                  <w:marRight w:val="0"/>
                  <w:marTop w:val="0"/>
                  <w:marBottom w:val="0"/>
                  <w:divBdr>
                    <w:top w:val="none" w:sz="0" w:space="0" w:color="auto"/>
                    <w:left w:val="none" w:sz="0" w:space="0" w:color="auto"/>
                    <w:bottom w:val="none" w:sz="0" w:space="0" w:color="auto"/>
                    <w:right w:val="none" w:sz="0" w:space="0" w:color="auto"/>
                  </w:divBdr>
                  <w:divsChild>
                    <w:div w:id="587075985">
                      <w:marLeft w:val="0"/>
                      <w:marRight w:val="0"/>
                      <w:marTop w:val="0"/>
                      <w:marBottom w:val="0"/>
                      <w:divBdr>
                        <w:top w:val="none" w:sz="0" w:space="0" w:color="auto"/>
                        <w:left w:val="none" w:sz="0" w:space="0" w:color="auto"/>
                        <w:bottom w:val="none" w:sz="0" w:space="0" w:color="auto"/>
                        <w:right w:val="none" w:sz="0" w:space="0" w:color="auto"/>
                      </w:divBdr>
                      <w:divsChild>
                        <w:div w:id="861936719">
                          <w:marLeft w:val="0"/>
                          <w:marRight w:val="0"/>
                          <w:marTop w:val="0"/>
                          <w:marBottom w:val="0"/>
                          <w:divBdr>
                            <w:top w:val="none" w:sz="0" w:space="0" w:color="auto"/>
                            <w:left w:val="none" w:sz="0" w:space="0" w:color="auto"/>
                            <w:bottom w:val="none" w:sz="0" w:space="0" w:color="auto"/>
                            <w:right w:val="none" w:sz="0" w:space="0" w:color="auto"/>
                          </w:divBdr>
                          <w:divsChild>
                            <w:div w:id="1391420938">
                              <w:marLeft w:val="0"/>
                              <w:marRight w:val="0"/>
                              <w:marTop w:val="0"/>
                              <w:marBottom w:val="0"/>
                              <w:divBdr>
                                <w:top w:val="none" w:sz="0" w:space="0" w:color="auto"/>
                                <w:left w:val="none" w:sz="0" w:space="0" w:color="auto"/>
                                <w:bottom w:val="none" w:sz="0" w:space="0" w:color="auto"/>
                                <w:right w:val="none" w:sz="0" w:space="0" w:color="auto"/>
                              </w:divBdr>
                              <w:divsChild>
                                <w:div w:id="796753864">
                                  <w:marLeft w:val="0"/>
                                  <w:marRight w:val="0"/>
                                  <w:marTop w:val="0"/>
                                  <w:marBottom w:val="0"/>
                                  <w:divBdr>
                                    <w:top w:val="none" w:sz="0" w:space="0" w:color="auto"/>
                                    <w:left w:val="none" w:sz="0" w:space="0" w:color="auto"/>
                                    <w:bottom w:val="none" w:sz="0" w:space="0" w:color="auto"/>
                                    <w:right w:val="none" w:sz="0" w:space="0" w:color="auto"/>
                                  </w:divBdr>
                                  <w:divsChild>
                                    <w:div w:id="11941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35963">
              <w:marLeft w:val="0"/>
              <w:marRight w:val="0"/>
              <w:marTop w:val="0"/>
              <w:marBottom w:val="0"/>
              <w:divBdr>
                <w:top w:val="none" w:sz="0" w:space="0" w:color="auto"/>
                <w:left w:val="none" w:sz="0" w:space="0" w:color="auto"/>
                <w:bottom w:val="none" w:sz="0" w:space="0" w:color="auto"/>
                <w:right w:val="none" w:sz="0" w:space="0" w:color="auto"/>
              </w:divBdr>
              <w:divsChild>
                <w:div w:id="124009550">
                  <w:marLeft w:val="0"/>
                  <w:marRight w:val="0"/>
                  <w:marTop w:val="0"/>
                  <w:marBottom w:val="0"/>
                  <w:divBdr>
                    <w:top w:val="none" w:sz="0" w:space="0" w:color="auto"/>
                    <w:left w:val="none" w:sz="0" w:space="0" w:color="auto"/>
                    <w:bottom w:val="none" w:sz="0" w:space="0" w:color="auto"/>
                    <w:right w:val="none" w:sz="0" w:space="0" w:color="auto"/>
                  </w:divBdr>
                  <w:divsChild>
                    <w:div w:id="1562784979">
                      <w:marLeft w:val="0"/>
                      <w:marRight w:val="0"/>
                      <w:marTop w:val="0"/>
                      <w:marBottom w:val="0"/>
                      <w:divBdr>
                        <w:top w:val="none" w:sz="0" w:space="0" w:color="auto"/>
                        <w:left w:val="none" w:sz="0" w:space="0" w:color="auto"/>
                        <w:bottom w:val="none" w:sz="0" w:space="0" w:color="auto"/>
                        <w:right w:val="none" w:sz="0" w:space="0" w:color="auto"/>
                      </w:divBdr>
                      <w:divsChild>
                        <w:div w:id="382406666">
                          <w:marLeft w:val="0"/>
                          <w:marRight w:val="0"/>
                          <w:marTop w:val="0"/>
                          <w:marBottom w:val="0"/>
                          <w:divBdr>
                            <w:top w:val="none" w:sz="0" w:space="0" w:color="auto"/>
                            <w:left w:val="none" w:sz="0" w:space="0" w:color="auto"/>
                            <w:bottom w:val="none" w:sz="0" w:space="0" w:color="auto"/>
                            <w:right w:val="none" w:sz="0" w:space="0" w:color="auto"/>
                          </w:divBdr>
                          <w:divsChild>
                            <w:div w:id="981617113">
                              <w:marLeft w:val="0"/>
                              <w:marRight w:val="0"/>
                              <w:marTop w:val="0"/>
                              <w:marBottom w:val="0"/>
                              <w:divBdr>
                                <w:top w:val="none" w:sz="0" w:space="0" w:color="auto"/>
                                <w:left w:val="none" w:sz="0" w:space="0" w:color="auto"/>
                                <w:bottom w:val="none" w:sz="0" w:space="0" w:color="auto"/>
                                <w:right w:val="none" w:sz="0" w:space="0" w:color="auto"/>
                              </w:divBdr>
                              <w:divsChild>
                                <w:div w:id="2146727866">
                                  <w:marLeft w:val="0"/>
                                  <w:marRight w:val="0"/>
                                  <w:marTop w:val="0"/>
                                  <w:marBottom w:val="0"/>
                                  <w:divBdr>
                                    <w:top w:val="none" w:sz="0" w:space="0" w:color="auto"/>
                                    <w:left w:val="none" w:sz="0" w:space="0" w:color="auto"/>
                                    <w:bottom w:val="none" w:sz="0" w:space="0" w:color="auto"/>
                                    <w:right w:val="none" w:sz="0" w:space="0" w:color="auto"/>
                                  </w:divBdr>
                                  <w:divsChild>
                                    <w:div w:id="520555220">
                                      <w:marLeft w:val="0"/>
                                      <w:marRight w:val="0"/>
                                      <w:marTop w:val="0"/>
                                      <w:marBottom w:val="0"/>
                                      <w:divBdr>
                                        <w:top w:val="none" w:sz="0" w:space="0" w:color="auto"/>
                                        <w:left w:val="none" w:sz="0" w:space="0" w:color="auto"/>
                                        <w:bottom w:val="none" w:sz="0" w:space="0" w:color="auto"/>
                                        <w:right w:val="none" w:sz="0" w:space="0" w:color="auto"/>
                                      </w:divBdr>
                                      <w:divsChild>
                                        <w:div w:id="1540623939">
                                          <w:marLeft w:val="0"/>
                                          <w:marRight w:val="0"/>
                                          <w:marTop w:val="0"/>
                                          <w:marBottom w:val="0"/>
                                          <w:divBdr>
                                            <w:top w:val="none" w:sz="0" w:space="0" w:color="auto"/>
                                            <w:left w:val="none" w:sz="0" w:space="0" w:color="auto"/>
                                            <w:bottom w:val="none" w:sz="0" w:space="0" w:color="auto"/>
                                            <w:right w:val="none" w:sz="0" w:space="0" w:color="auto"/>
                                          </w:divBdr>
                                        </w:div>
                                      </w:divsChild>
                                    </w:div>
                                    <w:div w:id="992217028">
                                      <w:marLeft w:val="0"/>
                                      <w:marRight w:val="0"/>
                                      <w:marTop w:val="0"/>
                                      <w:marBottom w:val="0"/>
                                      <w:divBdr>
                                        <w:top w:val="none" w:sz="0" w:space="0" w:color="auto"/>
                                        <w:left w:val="none" w:sz="0" w:space="0" w:color="auto"/>
                                        <w:bottom w:val="none" w:sz="0" w:space="0" w:color="auto"/>
                                        <w:right w:val="none" w:sz="0" w:space="0" w:color="auto"/>
                                      </w:divBdr>
                                      <w:divsChild>
                                        <w:div w:id="808549606">
                                          <w:marLeft w:val="0"/>
                                          <w:marRight w:val="0"/>
                                          <w:marTop w:val="0"/>
                                          <w:marBottom w:val="0"/>
                                          <w:divBdr>
                                            <w:top w:val="none" w:sz="0" w:space="0" w:color="auto"/>
                                            <w:left w:val="none" w:sz="0" w:space="0" w:color="auto"/>
                                            <w:bottom w:val="none" w:sz="0" w:space="0" w:color="auto"/>
                                            <w:right w:val="none" w:sz="0" w:space="0" w:color="auto"/>
                                          </w:divBdr>
                                        </w:div>
                                      </w:divsChild>
                                    </w:div>
                                    <w:div w:id="1357610506">
                                      <w:marLeft w:val="0"/>
                                      <w:marRight w:val="0"/>
                                      <w:marTop w:val="0"/>
                                      <w:marBottom w:val="0"/>
                                      <w:divBdr>
                                        <w:top w:val="none" w:sz="0" w:space="0" w:color="auto"/>
                                        <w:left w:val="none" w:sz="0" w:space="0" w:color="auto"/>
                                        <w:bottom w:val="none" w:sz="0" w:space="0" w:color="auto"/>
                                        <w:right w:val="none" w:sz="0" w:space="0" w:color="auto"/>
                                      </w:divBdr>
                                      <w:divsChild>
                                        <w:div w:id="1175732804">
                                          <w:marLeft w:val="0"/>
                                          <w:marRight w:val="0"/>
                                          <w:marTop w:val="0"/>
                                          <w:marBottom w:val="0"/>
                                          <w:divBdr>
                                            <w:top w:val="none" w:sz="0" w:space="0" w:color="auto"/>
                                            <w:left w:val="none" w:sz="0" w:space="0" w:color="auto"/>
                                            <w:bottom w:val="none" w:sz="0" w:space="0" w:color="auto"/>
                                            <w:right w:val="none" w:sz="0" w:space="0" w:color="auto"/>
                                          </w:divBdr>
                                        </w:div>
                                      </w:divsChild>
                                    </w:div>
                                    <w:div w:id="22025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062484">
              <w:marLeft w:val="0"/>
              <w:marRight w:val="0"/>
              <w:marTop w:val="0"/>
              <w:marBottom w:val="0"/>
              <w:divBdr>
                <w:top w:val="none" w:sz="0" w:space="0" w:color="auto"/>
                <w:left w:val="none" w:sz="0" w:space="0" w:color="auto"/>
                <w:bottom w:val="none" w:sz="0" w:space="0" w:color="auto"/>
                <w:right w:val="none" w:sz="0" w:space="0" w:color="auto"/>
              </w:divBdr>
              <w:divsChild>
                <w:div w:id="1292588481">
                  <w:marLeft w:val="0"/>
                  <w:marRight w:val="0"/>
                  <w:marTop w:val="0"/>
                  <w:marBottom w:val="0"/>
                  <w:divBdr>
                    <w:top w:val="none" w:sz="0" w:space="0" w:color="auto"/>
                    <w:left w:val="none" w:sz="0" w:space="0" w:color="auto"/>
                    <w:bottom w:val="none" w:sz="0" w:space="0" w:color="auto"/>
                    <w:right w:val="none" w:sz="0" w:space="0" w:color="auto"/>
                  </w:divBdr>
                  <w:divsChild>
                    <w:div w:id="1267154637">
                      <w:marLeft w:val="0"/>
                      <w:marRight w:val="0"/>
                      <w:marTop w:val="0"/>
                      <w:marBottom w:val="0"/>
                      <w:divBdr>
                        <w:top w:val="none" w:sz="0" w:space="0" w:color="auto"/>
                        <w:left w:val="none" w:sz="0" w:space="0" w:color="auto"/>
                        <w:bottom w:val="none" w:sz="0" w:space="0" w:color="auto"/>
                        <w:right w:val="none" w:sz="0" w:space="0" w:color="auto"/>
                      </w:divBdr>
                      <w:divsChild>
                        <w:div w:id="1573127050">
                          <w:marLeft w:val="0"/>
                          <w:marRight w:val="0"/>
                          <w:marTop w:val="0"/>
                          <w:marBottom w:val="0"/>
                          <w:divBdr>
                            <w:top w:val="none" w:sz="0" w:space="0" w:color="auto"/>
                            <w:left w:val="none" w:sz="0" w:space="0" w:color="auto"/>
                            <w:bottom w:val="none" w:sz="0" w:space="0" w:color="auto"/>
                            <w:right w:val="none" w:sz="0" w:space="0" w:color="auto"/>
                          </w:divBdr>
                          <w:divsChild>
                            <w:div w:id="1454786998">
                              <w:marLeft w:val="0"/>
                              <w:marRight w:val="0"/>
                              <w:marTop w:val="0"/>
                              <w:marBottom w:val="0"/>
                              <w:divBdr>
                                <w:top w:val="none" w:sz="0" w:space="0" w:color="auto"/>
                                <w:left w:val="none" w:sz="0" w:space="0" w:color="auto"/>
                                <w:bottom w:val="none" w:sz="0" w:space="0" w:color="auto"/>
                                <w:right w:val="none" w:sz="0" w:space="0" w:color="auto"/>
                              </w:divBdr>
                              <w:divsChild>
                                <w:div w:id="1357997232">
                                  <w:marLeft w:val="0"/>
                                  <w:marRight w:val="0"/>
                                  <w:marTop w:val="0"/>
                                  <w:marBottom w:val="0"/>
                                  <w:divBdr>
                                    <w:top w:val="none" w:sz="0" w:space="0" w:color="auto"/>
                                    <w:left w:val="none" w:sz="0" w:space="0" w:color="auto"/>
                                    <w:bottom w:val="none" w:sz="0" w:space="0" w:color="auto"/>
                                    <w:right w:val="none" w:sz="0" w:space="0" w:color="auto"/>
                                  </w:divBdr>
                                  <w:divsChild>
                                    <w:div w:id="2510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426400">
              <w:marLeft w:val="0"/>
              <w:marRight w:val="0"/>
              <w:marTop w:val="0"/>
              <w:marBottom w:val="0"/>
              <w:divBdr>
                <w:top w:val="none" w:sz="0" w:space="0" w:color="auto"/>
                <w:left w:val="none" w:sz="0" w:space="0" w:color="auto"/>
                <w:bottom w:val="none" w:sz="0" w:space="0" w:color="auto"/>
                <w:right w:val="none" w:sz="0" w:space="0" w:color="auto"/>
              </w:divBdr>
              <w:divsChild>
                <w:div w:id="886068694">
                  <w:marLeft w:val="0"/>
                  <w:marRight w:val="0"/>
                  <w:marTop w:val="0"/>
                  <w:marBottom w:val="0"/>
                  <w:divBdr>
                    <w:top w:val="none" w:sz="0" w:space="0" w:color="auto"/>
                    <w:left w:val="none" w:sz="0" w:space="0" w:color="auto"/>
                    <w:bottom w:val="none" w:sz="0" w:space="0" w:color="auto"/>
                    <w:right w:val="none" w:sz="0" w:space="0" w:color="auto"/>
                  </w:divBdr>
                  <w:divsChild>
                    <w:div w:id="1778789494">
                      <w:marLeft w:val="0"/>
                      <w:marRight w:val="0"/>
                      <w:marTop w:val="0"/>
                      <w:marBottom w:val="0"/>
                      <w:divBdr>
                        <w:top w:val="none" w:sz="0" w:space="0" w:color="auto"/>
                        <w:left w:val="none" w:sz="0" w:space="0" w:color="auto"/>
                        <w:bottom w:val="none" w:sz="0" w:space="0" w:color="auto"/>
                        <w:right w:val="none" w:sz="0" w:space="0" w:color="auto"/>
                      </w:divBdr>
                      <w:divsChild>
                        <w:div w:id="1923297806">
                          <w:marLeft w:val="0"/>
                          <w:marRight w:val="0"/>
                          <w:marTop w:val="0"/>
                          <w:marBottom w:val="0"/>
                          <w:divBdr>
                            <w:top w:val="none" w:sz="0" w:space="0" w:color="auto"/>
                            <w:left w:val="none" w:sz="0" w:space="0" w:color="auto"/>
                            <w:bottom w:val="none" w:sz="0" w:space="0" w:color="auto"/>
                            <w:right w:val="none" w:sz="0" w:space="0" w:color="auto"/>
                          </w:divBdr>
                          <w:divsChild>
                            <w:div w:id="1578977955">
                              <w:marLeft w:val="0"/>
                              <w:marRight w:val="0"/>
                              <w:marTop w:val="0"/>
                              <w:marBottom w:val="0"/>
                              <w:divBdr>
                                <w:top w:val="none" w:sz="0" w:space="0" w:color="auto"/>
                                <w:left w:val="none" w:sz="0" w:space="0" w:color="auto"/>
                                <w:bottom w:val="none" w:sz="0" w:space="0" w:color="auto"/>
                                <w:right w:val="none" w:sz="0" w:space="0" w:color="auto"/>
                              </w:divBdr>
                              <w:divsChild>
                                <w:div w:id="1625695330">
                                  <w:marLeft w:val="0"/>
                                  <w:marRight w:val="0"/>
                                  <w:marTop w:val="0"/>
                                  <w:marBottom w:val="0"/>
                                  <w:divBdr>
                                    <w:top w:val="none" w:sz="0" w:space="0" w:color="auto"/>
                                    <w:left w:val="none" w:sz="0" w:space="0" w:color="auto"/>
                                    <w:bottom w:val="none" w:sz="0" w:space="0" w:color="auto"/>
                                    <w:right w:val="none" w:sz="0" w:space="0" w:color="auto"/>
                                  </w:divBdr>
                                  <w:divsChild>
                                    <w:div w:id="717123516">
                                      <w:marLeft w:val="0"/>
                                      <w:marRight w:val="0"/>
                                      <w:marTop w:val="0"/>
                                      <w:marBottom w:val="0"/>
                                      <w:divBdr>
                                        <w:top w:val="none" w:sz="0" w:space="0" w:color="auto"/>
                                        <w:left w:val="none" w:sz="0" w:space="0" w:color="auto"/>
                                        <w:bottom w:val="none" w:sz="0" w:space="0" w:color="auto"/>
                                        <w:right w:val="none" w:sz="0" w:space="0" w:color="auto"/>
                                      </w:divBdr>
                                      <w:divsChild>
                                        <w:div w:id="1271469919">
                                          <w:marLeft w:val="0"/>
                                          <w:marRight w:val="0"/>
                                          <w:marTop w:val="0"/>
                                          <w:marBottom w:val="0"/>
                                          <w:divBdr>
                                            <w:top w:val="none" w:sz="0" w:space="0" w:color="auto"/>
                                            <w:left w:val="none" w:sz="0" w:space="0" w:color="auto"/>
                                            <w:bottom w:val="none" w:sz="0" w:space="0" w:color="auto"/>
                                            <w:right w:val="none" w:sz="0" w:space="0" w:color="auto"/>
                                          </w:divBdr>
                                        </w:div>
                                      </w:divsChild>
                                    </w:div>
                                    <w:div w:id="292444793">
                                      <w:marLeft w:val="0"/>
                                      <w:marRight w:val="0"/>
                                      <w:marTop w:val="0"/>
                                      <w:marBottom w:val="0"/>
                                      <w:divBdr>
                                        <w:top w:val="none" w:sz="0" w:space="0" w:color="auto"/>
                                        <w:left w:val="none" w:sz="0" w:space="0" w:color="auto"/>
                                        <w:bottom w:val="none" w:sz="0" w:space="0" w:color="auto"/>
                                        <w:right w:val="none" w:sz="0" w:space="0" w:color="auto"/>
                                      </w:divBdr>
                                      <w:divsChild>
                                        <w:div w:id="1958636685">
                                          <w:marLeft w:val="0"/>
                                          <w:marRight w:val="0"/>
                                          <w:marTop w:val="0"/>
                                          <w:marBottom w:val="0"/>
                                          <w:divBdr>
                                            <w:top w:val="none" w:sz="0" w:space="0" w:color="auto"/>
                                            <w:left w:val="none" w:sz="0" w:space="0" w:color="auto"/>
                                            <w:bottom w:val="none" w:sz="0" w:space="0" w:color="auto"/>
                                            <w:right w:val="none" w:sz="0" w:space="0" w:color="auto"/>
                                          </w:divBdr>
                                        </w:div>
                                      </w:divsChild>
                                    </w:div>
                                    <w:div w:id="1487354636">
                                      <w:marLeft w:val="0"/>
                                      <w:marRight w:val="0"/>
                                      <w:marTop w:val="0"/>
                                      <w:marBottom w:val="0"/>
                                      <w:divBdr>
                                        <w:top w:val="none" w:sz="0" w:space="0" w:color="auto"/>
                                        <w:left w:val="none" w:sz="0" w:space="0" w:color="auto"/>
                                        <w:bottom w:val="none" w:sz="0" w:space="0" w:color="auto"/>
                                        <w:right w:val="none" w:sz="0" w:space="0" w:color="auto"/>
                                      </w:divBdr>
                                      <w:divsChild>
                                        <w:div w:id="679084314">
                                          <w:marLeft w:val="0"/>
                                          <w:marRight w:val="0"/>
                                          <w:marTop w:val="0"/>
                                          <w:marBottom w:val="0"/>
                                          <w:divBdr>
                                            <w:top w:val="none" w:sz="0" w:space="0" w:color="auto"/>
                                            <w:left w:val="none" w:sz="0" w:space="0" w:color="auto"/>
                                            <w:bottom w:val="none" w:sz="0" w:space="0" w:color="auto"/>
                                            <w:right w:val="none" w:sz="0" w:space="0" w:color="auto"/>
                                          </w:divBdr>
                                        </w:div>
                                      </w:divsChild>
                                    </w:div>
                                    <w:div w:id="1271165097">
                                      <w:blockQuote w:val="1"/>
                                      <w:marLeft w:val="720"/>
                                      <w:marRight w:val="720"/>
                                      <w:marTop w:val="100"/>
                                      <w:marBottom w:val="100"/>
                                      <w:divBdr>
                                        <w:top w:val="none" w:sz="0" w:space="0" w:color="auto"/>
                                        <w:left w:val="none" w:sz="0" w:space="0" w:color="auto"/>
                                        <w:bottom w:val="none" w:sz="0" w:space="0" w:color="auto"/>
                                        <w:right w:val="none" w:sz="0" w:space="0" w:color="auto"/>
                                      </w:divBdr>
                                    </w:div>
                                    <w:div w:id="80504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643436">
      <w:bodyDiv w:val="1"/>
      <w:marLeft w:val="0"/>
      <w:marRight w:val="0"/>
      <w:marTop w:val="0"/>
      <w:marBottom w:val="0"/>
      <w:divBdr>
        <w:top w:val="none" w:sz="0" w:space="0" w:color="auto"/>
        <w:left w:val="none" w:sz="0" w:space="0" w:color="auto"/>
        <w:bottom w:val="none" w:sz="0" w:space="0" w:color="auto"/>
        <w:right w:val="none" w:sz="0" w:space="0" w:color="auto"/>
      </w:divBdr>
    </w:div>
    <w:div w:id="583538504">
      <w:bodyDiv w:val="1"/>
      <w:marLeft w:val="0"/>
      <w:marRight w:val="0"/>
      <w:marTop w:val="0"/>
      <w:marBottom w:val="0"/>
      <w:divBdr>
        <w:top w:val="none" w:sz="0" w:space="0" w:color="auto"/>
        <w:left w:val="none" w:sz="0" w:space="0" w:color="auto"/>
        <w:bottom w:val="none" w:sz="0" w:space="0" w:color="auto"/>
        <w:right w:val="none" w:sz="0" w:space="0" w:color="auto"/>
      </w:divBdr>
    </w:div>
    <w:div w:id="588123252">
      <w:bodyDiv w:val="1"/>
      <w:marLeft w:val="0"/>
      <w:marRight w:val="0"/>
      <w:marTop w:val="0"/>
      <w:marBottom w:val="0"/>
      <w:divBdr>
        <w:top w:val="none" w:sz="0" w:space="0" w:color="auto"/>
        <w:left w:val="none" w:sz="0" w:space="0" w:color="auto"/>
        <w:bottom w:val="none" w:sz="0" w:space="0" w:color="auto"/>
        <w:right w:val="none" w:sz="0" w:space="0" w:color="auto"/>
      </w:divBdr>
    </w:div>
    <w:div w:id="591278466">
      <w:bodyDiv w:val="1"/>
      <w:marLeft w:val="0"/>
      <w:marRight w:val="0"/>
      <w:marTop w:val="0"/>
      <w:marBottom w:val="0"/>
      <w:divBdr>
        <w:top w:val="none" w:sz="0" w:space="0" w:color="auto"/>
        <w:left w:val="none" w:sz="0" w:space="0" w:color="auto"/>
        <w:bottom w:val="none" w:sz="0" w:space="0" w:color="auto"/>
        <w:right w:val="none" w:sz="0" w:space="0" w:color="auto"/>
      </w:divBdr>
    </w:div>
    <w:div w:id="592397800">
      <w:bodyDiv w:val="1"/>
      <w:marLeft w:val="0"/>
      <w:marRight w:val="0"/>
      <w:marTop w:val="0"/>
      <w:marBottom w:val="0"/>
      <w:divBdr>
        <w:top w:val="none" w:sz="0" w:space="0" w:color="auto"/>
        <w:left w:val="none" w:sz="0" w:space="0" w:color="auto"/>
        <w:bottom w:val="none" w:sz="0" w:space="0" w:color="auto"/>
        <w:right w:val="none" w:sz="0" w:space="0" w:color="auto"/>
      </w:divBdr>
    </w:div>
    <w:div w:id="599800075">
      <w:bodyDiv w:val="1"/>
      <w:marLeft w:val="0"/>
      <w:marRight w:val="0"/>
      <w:marTop w:val="0"/>
      <w:marBottom w:val="0"/>
      <w:divBdr>
        <w:top w:val="none" w:sz="0" w:space="0" w:color="auto"/>
        <w:left w:val="none" w:sz="0" w:space="0" w:color="auto"/>
        <w:bottom w:val="none" w:sz="0" w:space="0" w:color="auto"/>
        <w:right w:val="none" w:sz="0" w:space="0" w:color="auto"/>
      </w:divBdr>
    </w:div>
    <w:div w:id="601886889">
      <w:bodyDiv w:val="1"/>
      <w:marLeft w:val="0"/>
      <w:marRight w:val="0"/>
      <w:marTop w:val="0"/>
      <w:marBottom w:val="0"/>
      <w:divBdr>
        <w:top w:val="none" w:sz="0" w:space="0" w:color="auto"/>
        <w:left w:val="none" w:sz="0" w:space="0" w:color="auto"/>
        <w:bottom w:val="none" w:sz="0" w:space="0" w:color="auto"/>
        <w:right w:val="none" w:sz="0" w:space="0" w:color="auto"/>
      </w:divBdr>
    </w:div>
    <w:div w:id="602035853">
      <w:bodyDiv w:val="1"/>
      <w:marLeft w:val="0"/>
      <w:marRight w:val="0"/>
      <w:marTop w:val="0"/>
      <w:marBottom w:val="0"/>
      <w:divBdr>
        <w:top w:val="none" w:sz="0" w:space="0" w:color="auto"/>
        <w:left w:val="none" w:sz="0" w:space="0" w:color="auto"/>
        <w:bottom w:val="none" w:sz="0" w:space="0" w:color="auto"/>
        <w:right w:val="none" w:sz="0" w:space="0" w:color="auto"/>
      </w:divBdr>
    </w:div>
    <w:div w:id="603998455">
      <w:bodyDiv w:val="1"/>
      <w:marLeft w:val="0"/>
      <w:marRight w:val="0"/>
      <w:marTop w:val="0"/>
      <w:marBottom w:val="0"/>
      <w:divBdr>
        <w:top w:val="none" w:sz="0" w:space="0" w:color="auto"/>
        <w:left w:val="none" w:sz="0" w:space="0" w:color="auto"/>
        <w:bottom w:val="none" w:sz="0" w:space="0" w:color="auto"/>
        <w:right w:val="none" w:sz="0" w:space="0" w:color="auto"/>
      </w:divBdr>
    </w:div>
    <w:div w:id="610211035">
      <w:bodyDiv w:val="1"/>
      <w:marLeft w:val="0"/>
      <w:marRight w:val="0"/>
      <w:marTop w:val="0"/>
      <w:marBottom w:val="0"/>
      <w:divBdr>
        <w:top w:val="none" w:sz="0" w:space="0" w:color="auto"/>
        <w:left w:val="none" w:sz="0" w:space="0" w:color="auto"/>
        <w:bottom w:val="none" w:sz="0" w:space="0" w:color="auto"/>
        <w:right w:val="none" w:sz="0" w:space="0" w:color="auto"/>
      </w:divBdr>
    </w:div>
    <w:div w:id="622031979">
      <w:bodyDiv w:val="1"/>
      <w:marLeft w:val="0"/>
      <w:marRight w:val="0"/>
      <w:marTop w:val="0"/>
      <w:marBottom w:val="0"/>
      <w:divBdr>
        <w:top w:val="none" w:sz="0" w:space="0" w:color="auto"/>
        <w:left w:val="none" w:sz="0" w:space="0" w:color="auto"/>
        <w:bottom w:val="none" w:sz="0" w:space="0" w:color="auto"/>
        <w:right w:val="none" w:sz="0" w:space="0" w:color="auto"/>
      </w:divBdr>
    </w:div>
    <w:div w:id="625624337">
      <w:bodyDiv w:val="1"/>
      <w:marLeft w:val="0"/>
      <w:marRight w:val="0"/>
      <w:marTop w:val="0"/>
      <w:marBottom w:val="0"/>
      <w:divBdr>
        <w:top w:val="none" w:sz="0" w:space="0" w:color="auto"/>
        <w:left w:val="none" w:sz="0" w:space="0" w:color="auto"/>
        <w:bottom w:val="none" w:sz="0" w:space="0" w:color="auto"/>
        <w:right w:val="none" w:sz="0" w:space="0" w:color="auto"/>
      </w:divBdr>
    </w:div>
    <w:div w:id="634261131">
      <w:bodyDiv w:val="1"/>
      <w:marLeft w:val="0"/>
      <w:marRight w:val="0"/>
      <w:marTop w:val="0"/>
      <w:marBottom w:val="0"/>
      <w:divBdr>
        <w:top w:val="none" w:sz="0" w:space="0" w:color="auto"/>
        <w:left w:val="none" w:sz="0" w:space="0" w:color="auto"/>
        <w:bottom w:val="none" w:sz="0" w:space="0" w:color="auto"/>
        <w:right w:val="none" w:sz="0" w:space="0" w:color="auto"/>
      </w:divBdr>
    </w:div>
    <w:div w:id="639311718">
      <w:bodyDiv w:val="1"/>
      <w:marLeft w:val="0"/>
      <w:marRight w:val="0"/>
      <w:marTop w:val="0"/>
      <w:marBottom w:val="0"/>
      <w:divBdr>
        <w:top w:val="none" w:sz="0" w:space="0" w:color="auto"/>
        <w:left w:val="none" w:sz="0" w:space="0" w:color="auto"/>
        <w:bottom w:val="none" w:sz="0" w:space="0" w:color="auto"/>
        <w:right w:val="none" w:sz="0" w:space="0" w:color="auto"/>
      </w:divBdr>
    </w:div>
    <w:div w:id="640236122">
      <w:bodyDiv w:val="1"/>
      <w:marLeft w:val="0"/>
      <w:marRight w:val="0"/>
      <w:marTop w:val="0"/>
      <w:marBottom w:val="0"/>
      <w:divBdr>
        <w:top w:val="none" w:sz="0" w:space="0" w:color="auto"/>
        <w:left w:val="none" w:sz="0" w:space="0" w:color="auto"/>
        <w:bottom w:val="none" w:sz="0" w:space="0" w:color="auto"/>
        <w:right w:val="none" w:sz="0" w:space="0" w:color="auto"/>
      </w:divBdr>
    </w:div>
    <w:div w:id="641081670">
      <w:bodyDiv w:val="1"/>
      <w:marLeft w:val="0"/>
      <w:marRight w:val="0"/>
      <w:marTop w:val="0"/>
      <w:marBottom w:val="0"/>
      <w:divBdr>
        <w:top w:val="none" w:sz="0" w:space="0" w:color="auto"/>
        <w:left w:val="none" w:sz="0" w:space="0" w:color="auto"/>
        <w:bottom w:val="none" w:sz="0" w:space="0" w:color="auto"/>
        <w:right w:val="none" w:sz="0" w:space="0" w:color="auto"/>
      </w:divBdr>
      <w:divsChild>
        <w:div w:id="1206983840">
          <w:marLeft w:val="0"/>
          <w:marRight w:val="0"/>
          <w:marTop w:val="0"/>
          <w:marBottom w:val="0"/>
          <w:divBdr>
            <w:top w:val="none" w:sz="0" w:space="0" w:color="auto"/>
            <w:left w:val="none" w:sz="0" w:space="0" w:color="auto"/>
            <w:bottom w:val="none" w:sz="0" w:space="0" w:color="auto"/>
            <w:right w:val="none" w:sz="0" w:space="0" w:color="auto"/>
          </w:divBdr>
          <w:divsChild>
            <w:div w:id="1747991331">
              <w:marLeft w:val="0"/>
              <w:marRight w:val="0"/>
              <w:marTop w:val="0"/>
              <w:marBottom w:val="0"/>
              <w:divBdr>
                <w:top w:val="none" w:sz="0" w:space="0" w:color="auto"/>
                <w:left w:val="none" w:sz="0" w:space="0" w:color="auto"/>
                <w:bottom w:val="none" w:sz="0" w:space="0" w:color="auto"/>
                <w:right w:val="none" w:sz="0" w:space="0" w:color="auto"/>
              </w:divBdr>
              <w:divsChild>
                <w:div w:id="93332398">
                  <w:marLeft w:val="0"/>
                  <w:marRight w:val="0"/>
                  <w:marTop w:val="0"/>
                  <w:marBottom w:val="0"/>
                  <w:divBdr>
                    <w:top w:val="none" w:sz="0" w:space="0" w:color="auto"/>
                    <w:left w:val="none" w:sz="0" w:space="0" w:color="auto"/>
                    <w:bottom w:val="none" w:sz="0" w:space="0" w:color="auto"/>
                    <w:right w:val="none" w:sz="0" w:space="0" w:color="auto"/>
                  </w:divBdr>
                  <w:divsChild>
                    <w:div w:id="1768504855">
                      <w:marLeft w:val="0"/>
                      <w:marRight w:val="0"/>
                      <w:marTop w:val="0"/>
                      <w:marBottom w:val="0"/>
                      <w:divBdr>
                        <w:top w:val="none" w:sz="0" w:space="0" w:color="auto"/>
                        <w:left w:val="none" w:sz="0" w:space="0" w:color="auto"/>
                        <w:bottom w:val="none" w:sz="0" w:space="0" w:color="auto"/>
                        <w:right w:val="none" w:sz="0" w:space="0" w:color="auto"/>
                      </w:divBdr>
                      <w:divsChild>
                        <w:div w:id="915750459">
                          <w:marLeft w:val="0"/>
                          <w:marRight w:val="0"/>
                          <w:marTop w:val="0"/>
                          <w:marBottom w:val="0"/>
                          <w:divBdr>
                            <w:top w:val="none" w:sz="0" w:space="0" w:color="auto"/>
                            <w:left w:val="none" w:sz="0" w:space="0" w:color="auto"/>
                            <w:bottom w:val="none" w:sz="0" w:space="0" w:color="auto"/>
                            <w:right w:val="none" w:sz="0" w:space="0" w:color="auto"/>
                          </w:divBdr>
                          <w:divsChild>
                            <w:div w:id="1705253157">
                              <w:marLeft w:val="0"/>
                              <w:marRight w:val="0"/>
                              <w:marTop w:val="0"/>
                              <w:marBottom w:val="0"/>
                              <w:divBdr>
                                <w:top w:val="none" w:sz="0" w:space="0" w:color="auto"/>
                                <w:left w:val="none" w:sz="0" w:space="0" w:color="auto"/>
                                <w:bottom w:val="none" w:sz="0" w:space="0" w:color="auto"/>
                                <w:right w:val="none" w:sz="0" w:space="0" w:color="auto"/>
                              </w:divBdr>
                              <w:divsChild>
                                <w:div w:id="517156653">
                                  <w:marLeft w:val="0"/>
                                  <w:marRight w:val="0"/>
                                  <w:marTop w:val="0"/>
                                  <w:marBottom w:val="0"/>
                                  <w:divBdr>
                                    <w:top w:val="none" w:sz="0" w:space="0" w:color="auto"/>
                                    <w:left w:val="none" w:sz="0" w:space="0" w:color="auto"/>
                                    <w:bottom w:val="none" w:sz="0" w:space="0" w:color="auto"/>
                                    <w:right w:val="none" w:sz="0" w:space="0" w:color="auto"/>
                                  </w:divBdr>
                                  <w:divsChild>
                                    <w:div w:id="547113658">
                                      <w:marLeft w:val="0"/>
                                      <w:marRight w:val="0"/>
                                      <w:marTop w:val="0"/>
                                      <w:marBottom w:val="0"/>
                                      <w:divBdr>
                                        <w:top w:val="none" w:sz="0" w:space="0" w:color="auto"/>
                                        <w:left w:val="none" w:sz="0" w:space="0" w:color="auto"/>
                                        <w:bottom w:val="none" w:sz="0" w:space="0" w:color="auto"/>
                                        <w:right w:val="none" w:sz="0" w:space="0" w:color="auto"/>
                                      </w:divBdr>
                                      <w:divsChild>
                                        <w:div w:id="1937857967">
                                          <w:marLeft w:val="0"/>
                                          <w:marRight w:val="0"/>
                                          <w:marTop w:val="0"/>
                                          <w:marBottom w:val="0"/>
                                          <w:divBdr>
                                            <w:top w:val="none" w:sz="0" w:space="0" w:color="auto"/>
                                            <w:left w:val="none" w:sz="0" w:space="0" w:color="auto"/>
                                            <w:bottom w:val="none" w:sz="0" w:space="0" w:color="auto"/>
                                            <w:right w:val="none" w:sz="0" w:space="0" w:color="auto"/>
                                          </w:divBdr>
                                        </w:div>
                                      </w:divsChild>
                                    </w:div>
                                    <w:div w:id="767581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82423">
                                      <w:marLeft w:val="0"/>
                                      <w:marRight w:val="0"/>
                                      <w:marTop w:val="0"/>
                                      <w:marBottom w:val="0"/>
                                      <w:divBdr>
                                        <w:top w:val="none" w:sz="0" w:space="0" w:color="auto"/>
                                        <w:left w:val="none" w:sz="0" w:space="0" w:color="auto"/>
                                        <w:bottom w:val="none" w:sz="0" w:space="0" w:color="auto"/>
                                        <w:right w:val="none" w:sz="0" w:space="0" w:color="auto"/>
                                      </w:divBdr>
                                      <w:divsChild>
                                        <w:div w:id="18749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971671">
      <w:bodyDiv w:val="1"/>
      <w:marLeft w:val="0"/>
      <w:marRight w:val="0"/>
      <w:marTop w:val="0"/>
      <w:marBottom w:val="0"/>
      <w:divBdr>
        <w:top w:val="none" w:sz="0" w:space="0" w:color="auto"/>
        <w:left w:val="none" w:sz="0" w:space="0" w:color="auto"/>
        <w:bottom w:val="none" w:sz="0" w:space="0" w:color="auto"/>
        <w:right w:val="none" w:sz="0" w:space="0" w:color="auto"/>
      </w:divBdr>
    </w:div>
    <w:div w:id="643975639">
      <w:bodyDiv w:val="1"/>
      <w:marLeft w:val="0"/>
      <w:marRight w:val="0"/>
      <w:marTop w:val="0"/>
      <w:marBottom w:val="0"/>
      <w:divBdr>
        <w:top w:val="none" w:sz="0" w:space="0" w:color="auto"/>
        <w:left w:val="none" w:sz="0" w:space="0" w:color="auto"/>
        <w:bottom w:val="none" w:sz="0" w:space="0" w:color="auto"/>
        <w:right w:val="none" w:sz="0" w:space="0" w:color="auto"/>
      </w:divBdr>
    </w:div>
    <w:div w:id="648903116">
      <w:bodyDiv w:val="1"/>
      <w:marLeft w:val="0"/>
      <w:marRight w:val="0"/>
      <w:marTop w:val="0"/>
      <w:marBottom w:val="0"/>
      <w:divBdr>
        <w:top w:val="none" w:sz="0" w:space="0" w:color="auto"/>
        <w:left w:val="none" w:sz="0" w:space="0" w:color="auto"/>
        <w:bottom w:val="none" w:sz="0" w:space="0" w:color="auto"/>
        <w:right w:val="none" w:sz="0" w:space="0" w:color="auto"/>
      </w:divBdr>
    </w:div>
    <w:div w:id="649020360">
      <w:bodyDiv w:val="1"/>
      <w:marLeft w:val="0"/>
      <w:marRight w:val="0"/>
      <w:marTop w:val="0"/>
      <w:marBottom w:val="0"/>
      <w:divBdr>
        <w:top w:val="none" w:sz="0" w:space="0" w:color="auto"/>
        <w:left w:val="none" w:sz="0" w:space="0" w:color="auto"/>
        <w:bottom w:val="none" w:sz="0" w:space="0" w:color="auto"/>
        <w:right w:val="none" w:sz="0" w:space="0" w:color="auto"/>
      </w:divBdr>
    </w:div>
    <w:div w:id="656035121">
      <w:bodyDiv w:val="1"/>
      <w:marLeft w:val="0"/>
      <w:marRight w:val="0"/>
      <w:marTop w:val="0"/>
      <w:marBottom w:val="0"/>
      <w:divBdr>
        <w:top w:val="none" w:sz="0" w:space="0" w:color="auto"/>
        <w:left w:val="none" w:sz="0" w:space="0" w:color="auto"/>
        <w:bottom w:val="none" w:sz="0" w:space="0" w:color="auto"/>
        <w:right w:val="none" w:sz="0" w:space="0" w:color="auto"/>
      </w:divBdr>
    </w:div>
    <w:div w:id="656374175">
      <w:bodyDiv w:val="1"/>
      <w:marLeft w:val="0"/>
      <w:marRight w:val="0"/>
      <w:marTop w:val="0"/>
      <w:marBottom w:val="0"/>
      <w:divBdr>
        <w:top w:val="none" w:sz="0" w:space="0" w:color="auto"/>
        <w:left w:val="none" w:sz="0" w:space="0" w:color="auto"/>
        <w:bottom w:val="none" w:sz="0" w:space="0" w:color="auto"/>
        <w:right w:val="none" w:sz="0" w:space="0" w:color="auto"/>
      </w:divBdr>
    </w:div>
    <w:div w:id="660889848">
      <w:bodyDiv w:val="1"/>
      <w:marLeft w:val="0"/>
      <w:marRight w:val="0"/>
      <w:marTop w:val="0"/>
      <w:marBottom w:val="0"/>
      <w:divBdr>
        <w:top w:val="none" w:sz="0" w:space="0" w:color="auto"/>
        <w:left w:val="none" w:sz="0" w:space="0" w:color="auto"/>
        <w:bottom w:val="none" w:sz="0" w:space="0" w:color="auto"/>
        <w:right w:val="none" w:sz="0" w:space="0" w:color="auto"/>
      </w:divBdr>
    </w:div>
    <w:div w:id="662664446">
      <w:bodyDiv w:val="1"/>
      <w:marLeft w:val="0"/>
      <w:marRight w:val="0"/>
      <w:marTop w:val="0"/>
      <w:marBottom w:val="0"/>
      <w:divBdr>
        <w:top w:val="none" w:sz="0" w:space="0" w:color="auto"/>
        <w:left w:val="none" w:sz="0" w:space="0" w:color="auto"/>
        <w:bottom w:val="none" w:sz="0" w:space="0" w:color="auto"/>
        <w:right w:val="none" w:sz="0" w:space="0" w:color="auto"/>
      </w:divBdr>
    </w:div>
    <w:div w:id="664669842">
      <w:bodyDiv w:val="1"/>
      <w:marLeft w:val="0"/>
      <w:marRight w:val="0"/>
      <w:marTop w:val="0"/>
      <w:marBottom w:val="0"/>
      <w:divBdr>
        <w:top w:val="none" w:sz="0" w:space="0" w:color="auto"/>
        <w:left w:val="none" w:sz="0" w:space="0" w:color="auto"/>
        <w:bottom w:val="none" w:sz="0" w:space="0" w:color="auto"/>
        <w:right w:val="none" w:sz="0" w:space="0" w:color="auto"/>
      </w:divBdr>
    </w:div>
    <w:div w:id="665715618">
      <w:bodyDiv w:val="1"/>
      <w:marLeft w:val="0"/>
      <w:marRight w:val="0"/>
      <w:marTop w:val="0"/>
      <w:marBottom w:val="0"/>
      <w:divBdr>
        <w:top w:val="none" w:sz="0" w:space="0" w:color="auto"/>
        <w:left w:val="none" w:sz="0" w:space="0" w:color="auto"/>
        <w:bottom w:val="none" w:sz="0" w:space="0" w:color="auto"/>
        <w:right w:val="none" w:sz="0" w:space="0" w:color="auto"/>
      </w:divBdr>
    </w:div>
    <w:div w:id="669063108">
      <w:bodyDiv w:val="1"/>
      <w:marLeft w:val="0"/>
      <w:marRight w:val="0"/>
      <w:marTop w:val="0"/>
      <w:marBottom w:val="0"/>
      <w:divBdr>
        <w:top w:val="none" w:sz="0" w:space="0" w:color="auto"/>
        <w:left w:val="none" w:sz="0" w:space="0" w:color="auto"/>
        <w:bottom w:val="none" w:sz="0" w:space="0" w:color="auto"/>
        <w:right w:val="none" w:sz="0" w:space="0" w:color="auto"/>
      </w:divBdr>
    </w:div>
    <w:div w:id="673652986">
      <w:bodyDiv w:val="1"/>
      <w:marLeft w:val="0"/>
      <w:marRight w:val="0"/>
      <w:marTop w:val="0"/>
      <w:marBottom w:val="0"/>
      <w:divBdr>
        <w:top w:val="none" w:sz="0" w:space="0" w:color="auto"/>
        <w:left w:val="none" w:sz="0" w:space="0" w:color="auto"/>
        <w:bottom w:val="none" w:sz="0" w:space="0" w:color="auto"/>
        <w:right w:val="none" w:sz="0" w:space="0" w:color="auto"/>
      </w:divBdr>
    </w:div>
    <w:div w:id="679702369">
      <w:bodyDiv w:val="1"/>
      <w:marLeft w:val="0"/>
      <w:marRight w:val="0"/>
      <w:marTop w:val="0"/>
      <w:marBottom w:val="0"/>
      <w:divBdr>
        <w:top w:val="none" w:sz="0" w:space="0" w:color="auto"/>
        <w:left w:val="none" w:sz="0" w:space="0" w:color="auto"/>
        <w:bottom w:val="none" w:sz="0" w:space="0" w:color="auto"/>
        <w:right w:val="none" w:sz="0" w:space="0" w:color="auto"/>
      </w:divBdr>
    </w:div>
    <w:div w:id="679818396">
      <w:bodyDiv w:val="1"/>
      <w:marLeft w:val="0"/>
      <w:marRight w:val="0"/>
      <w:marTop w:val="0"/>
      <w:marBottom w:val="0"/>
      <w:divBdr>
        <w:top w:val="none" w:sz="0" w:space="0" w:color="auto"/>
        <w:left w:val="none" w:sz="0" w:space="0" w:color="auto"/>
        <w:bottom w:val="none" w:sz="0" w:space="0" w:color="auto"/>
        <w:right w:val="none" w:sz="0" w:space="0" w:color="auto"/>
      </w:divBdr>
    </w:div>
    <w:div w:id="682126595">
      <w:bodyDiv w:val="1"/>
      <w:marLeft w:val="0"/>
      <w:marRight w:val="0"/>
      <w:marTop w:val="0"/>
      <w:marBottom w:val="0"/>
      <w:divBdr>
        <w:top w:val="none" w:sz="0" w:space="0" w:color="auto"/>
        <w:left w:val="none" w:sz="0" w:space="0" w:color="auto"/>
        <w:bottom w:val="none" w:sz="0" w:space="0" w:color="auto"/>
        <w:right w:val="none" w:sz="0" w:space="0" w:color="auto"/>
      </w:divBdr>
    </w:div>
    <w:div w:id="685987943">
      <w:bodyDiv w:val="1"/>
      <w:marLeft w:val="0"/>
      <w:marRight w:val="0"/>
      <w:marTop w:val="0"/>
      <w:marBottom w:val="0"/>
      <w:divBdr>
        <w:top w:val="none" w:sz="0" w:space="0" w:color="auto"/>
        <w:left w:val="none" w:sz="0" w:space="0" w:color="auto"/>
        <w:bottom w:val="none" w:sz="0" w:space="0" w:color="auto"/>
        <w:right w:val="none" w:sz="0" w:space="0" w:color="auto"/>
      </w:divBdr>
    </w:div>
    <w:div w:id="687370698">
      <w:bodyDiv w:val="1"/>
      <w:marLeft w:val="0"/>
      <w:marRight w:val="0"/>
      <w:marTop w:val="0"/>
      <w:marBottom w:val="0"/>
      <w:divBdr>
        <w:top w:val="none" w:sz="0" w:space="0" w:color="auto"/>
        <w:left w:val="none" w:sz="0" w:space="0" w:color="auto"/>
        <w:bottom w:val="none" w:sz="0" w:space="0" w:color="auto"/>
        <w:right w:val="none" w:sz="0" w:space="0" w:color="auto"/>
      </w:divBdr>
    </w:div>
    <w:div w:id="688871187">
      <w:bodyDiv w:val="1"/>
      <w:marLeft w:val="0"/>
      <w:marRight w:val="0"/>
      <w:marTop w:val="0"/>
      <w:marBottom w:val="0"/>
      <w:divBdr>
        <w:top w:val="none" w:sz="0" w:space="0" w:color="auto"/>
        <w:left w:val="none" w:sz="0" w:space="0" w:color="auto"/>
        <w:bottom w:val="none" w:sz="0" w:space="0" w:color="auto"/>
        <w:right w:val="none" w:sz="0" w:space="0" w:color="auto"/>
      </w:divBdr>
    </w:div>
    <w:div w:id="691147183">
      <w:bodyDiv w:val="1"/>
      <w:marLeft w:val="0"/>
      <w:marRight w:val="0"/>
      <w:marTop w:val="0"/>
      <w:marBottom w:val="0"/>
      <w:divBdr>
        <w:top w:val="none" w:sz="0" w:space="0" w:color="auto"/>
        <w:left w:val="none" w:sz="0" w:space="0" w:color="auto"/>
        <w:bottom w:val="none" w:sz="0" w:space="0" w:color="auto"/>
        <w:right w:val="none" w:sz="0" w:space="0" w:color="auto"/>
      </w:divBdr>
    </w:div>
    <w:div w:id="691152819">
      <w:bodyDiv w:val="1"/>
      <w:marLeft w:val="0"/>
      <w:marRight w:val="0"/>
      <w:marTop w:val="0"/>
      <w:marBottom w:val="0"/>
      <w:divBdr>
        <w:top w:val="none" w:sz="0" w:space="0" w:color="auto"/>
        <w:left w:val="none" w:sz="0" w:space="0" w:color="auto"/>
        <w:bottom w:val="none" w:sz="0" w:space="0" w:color="auto"/>
        <w:right w:val="none" w:sz="0" w:space="0" w:color="auto"/>
      </w:divBdr>
    </w:div>
    <w:div w:id="691371820">
      <w:bodyDiv w:val="1"/>
      <w:marLeft w:val="0"/>
      <w:marRight w:val="0"/>
      <w:marTop w:val="0"/>
      <w:marBottom w:val="0"/>
      <w:divBdr>
        <w:top w:val="none" w:sz="0" w:space="0" w:color="auto"/>
        <w:left w:val="none" w:sz="0" w:space="0" w:color="auto"/>
        <w:bottom w:val="none" w:sz="0" w:space="0" w:color="auto"/>
        <w:right w:val="none" w:sz="0" w:space="0" w:color="auto"/>
      </w:divBdr>
    </w:div>
    <w:div w:id="698047319">
      <w:bodyDiv w:val="1"/>
      <w:marLeft w:val="0"/>
      <w:marRight w:val="0"/>
      <w:marTop w:val="0"/>
      <w:marBottom w:val="0"/>
      <w:divBdr>
        <w:top w:val="none" w:sz="0" w:space="0" w:color="auto"/>
        <w:left w:val="none" w:sz="0" w:space="0" w:color="auto"/>
        <w:bottom w:val="none" w:sz="0" w:space="0" w:color="auto"/>
        <w:right w:val="none" w:sz="0" w:space="0" w:color="auto"/>
      </w:divBdr>
    </w:div>
    <w:div w:id="705641537">
      <w:bodyDiv w:val="1"/>
      <w:marLeft w:val="0"/>
      <w:marRight w:val="0"/>
      <w:marTop w:val="0"/>
      <w:marBottom w:val="0"/>
      <w:divBdr>
        <w:top w:val="none" w:sz="0" w:space="0" w:color="auto"/>
        <w:left w:val="none" w:sz="0" w:space="0" w:color="auto"/>
        <w:bottom w:val="none" w:sz="0" w:space="0" w:color="auto"/>
        <w:right w:val="none" w:sz="0" w:space="0" w:color="auto"/>
      </w:divBdr>
    </w:div>
    <w:div w:id="709106287">
      <w:bodyDiv w:val="1"/>
      <w:marLeft w:val="0"/>
      <w:marRight w:val="0"/>
      <w:marTop w:val="0"/>
      <w:marBottom w:val="0"/>
      <w:divBdr>
        <w:top w:val="none" w:sz="0" w:space="0" w:color="auto"/>
        <w:left w:val="none" w:sz="0" w:space="0" w:color="auto"/>
        <w:bottom w:val="none" w:sz="0" w:space="0" w:color="auto"/>
        <w:right w:val="none" w:sz="0" w:space="0" w:color="auto"/>
      </w:divBdr>
    </w:div>
    <w:div w:id="711462361">
      <w:bodyDiv w:val="1"/>
      <w:marLeft w:val="0"/>
      <w:marRight w:val="0"/>
      <w:marTop w:val="0"/>
      <w:marBottom w:val="0"/>
      <w:divBdr>
        <w:top w:val="none" w:sz="0" w:space="0" w:color="auto"/>
        <w:left w:val="none" w:sz="0" w:space="0" w:color="auto"/>
        <w:bottom w:val="none" w:sz="0" w:space="0" w:color="auto"/>
        <w:right w:val="none" w:sz="0" w:space="0" w:color="auto"/>
      </w:divBdr>
    </w:div>
    <w:div w:id="713113722">
      <w:bodyDiv w:val="1"/>
      <w:marLeft w:val="0"/>
      <w:marRight w:val="0"/>
      <w:marTop w:val="0"/>
      <w:marBottom w:val="0"/>
      <w:divBdr>
        <w:top w:val="none" w:sz="0" w:space="0" w:color="auto"/>
        <w:left w:val="none" w:sz="0" w:space="0" w:color="auto"/>
        <w:bottom w:val="none" w:sz="0" w:space="0" w:color="auto"/>
        <w:right w:val="none" w:sz="0" w:space="0" w:color="auto"/>
      </w:divBdr>
    </w:div>
    <w:div w:id="716852464">
      <w:bodyDiv w:val="1"/>
      <w:marLeft w:val="0"/>
      <w:marRight w:val="0"/>
      <w:marTop w:val="0"/>
      <w:marBottom w:val="0"/>
      <w:divBdr>
        <w:top w:val="none" w:sz="0" w:space="0" w:color="auto"/>
        <w:left w:val="none" w:sz="0" w:space="0" w:color="auto"/>
        <w:bottom w:val="none" w:sz="0" w:space="0" w:color="auto"/>
        <w:right w:val="none" w:sz="0" w:space="0" w:color="auto"/>
      </w:divBdr>
    </w:div>
    <w:div w:id="718016717">
      <w:bodyDiv w:val="1"/>
      <w:marLeft w:val="0"/>
      <w:marRight w:val="0"/>
      <w:marTop w:val="0"/>
      <w:marBottom w:val="0"/>
      <w:divBdr>
        <w:top w:val="none" w:sz="0" w:space="0" w:color="auto"/>
        <w:left w:val="none" w:sz="0" w:space="0" w:color="auto"/>
        <w:bottom w:val="none" w:sz="0" w:space="0" w:color="auto"/>
        <w:right w:val="none" w:sz="0" w:space="0" w:color="auto"/>
      </w:divBdr>
    </w:div>
    <w:div w:id="718628832">
      <w:bodyDiv w:val="1"/>
      <w:marLeft w:val="0"/>
      <w:marRight w:val="0"/>
      <w:marTop w:val="0"/>
      <w:marBottom w:val="0"/>
      <w:divBdr>
        <w:top w:val="none" w:sz="0" w:space="0" w:color="auto"/>
        <w:left w:val="none" w:sz="0" w:space="0" w:color="auto"/>
        <w:bottom w:val="none" w:sz="0" w:space="0" w:color="auto"/>
        <w:right w:val="none" w:sz="0" w:space="0" w:color="auto"/>
      </w:divBdr>
    </w:div>
    <w:div w:id="724648005">
      <w:bodyDiv w:val="1"/>
      <w:marLeft w:val="0"/>
      <w:marRight w:val="0"/>
      <w:marTop w:val="0"/>
      <w:marBottom w:val="0"/>
      <w:divBdr>
        <w:top w:val="none" w:sz="0" w:space="0" w:color="auto"/>
        <w:left w:val="none" w:sz="0" w:space="0" w:color="auto"/>
        <w:bottom w:val="none" w:sz="0" w:space="0" w:color="auto"/>
        <w:right w:val="none" w:sz="0" w:space="0" w:color="auto"/>
      </w:divBdr>
    </w:div>
    <w:div w:id="726806587">
      <w:bodyDiv w:val="1"/>
      <w:marLeft w:val="0"/>
      <w:marRight w:val="0"/>
      <w:marTop w:val="0"/>
      <w:marBottom w:val="0"/>
      <w:divBdr>
        <w:top w:val="none" w:sz="0" w:space="0" w:color="auto"/>
        <w:left w:val="none" w:sz="0" w:space="0" w:color="auto"/>
        <w:bottom w:val="none" w:sz="0" w:space="0" w:color="auto"/>
        <w:right w:val="none" w:sz="0" w:space="0" w:color="auto"/>
      </w:divBdr>
    </w:div>
    <w:div w:id="727533848">
      <w:bodyDiv w:val="1"/>
      <w:marLeft w:val="0"/>
      <w:marRight w:val="0"/>
      <w:marTop w:val="0"/>
      <w:marBottom w:val="0"/>
      <w:divBdr>
        <w:top w:val="none" w:sz="0" w:space="0" w:color="auto"/>
        <w:left w:val="none" w:sz="0" w:space="0" w:color="auto"/>
        <w:bottom w:val="none" w:sz="0" w:space="0" w:color="auto"/>
        <w:right w:val="none" w:sz="0" w:space="0" w:color="auto"/>
      </w:divBdr>
    </w:div>
    <w:div w:id="730889031">
      <w:bodyDiv w:val="1"/>
      <w:marLeft w:val="0"/>
      <w:marRight w:val="0"/>
      <w:marTop w:val="0"/>
      <w:marBottom w:val="0"/>
      <w:divBdr>
        <w:top w:val="none" w:sz="0" w:space="0" w:color="auto"/>
        <w:left w:val="none" w:sz="0" w:space="0" w:color="auto"/>
        <w:bottom w:val="none" w:sz="0" w:space="0" w:color="auto"/>
        <w:right w:val="none" w:sz="0" w:space="0" w:color="auto"/>
      </w:divBdr>
    </w:div>
    <w:div w:id="732237198">
      <w:bodyDiv w:val="1"/>
      <w:marLeft w:val="0"/>
      <w:marRight w:val="0"/>
      <w:marTop w:val="0"/>
      <w:marBottom w:val="0"/>
      <w:divBdr>
        <w:top w:val="none" w:sz="0" w:space="0" w:color="auto"/>
        <w:left w:val="none" w:sz="0" w:space="0" w:color="auto"/>
        <w:bottom w:val="none" w:sz="0" w:space="0" w:color="auto"/>
        <w:right w:val="none" w:sz="0" w:space="0" w:color="auto"/>
      </w:divBdr>
    </w:div>
    <w:div w:id="732629642">
      <w:bodyDiv w:val="1"/>
      <w:marLeft w:val="0"/>
      <w:marRight w:val="0"/>
      <w:marTop w:val="0"/>
      <w:marBottom w:val="0"/>
      <w:divBdr>
        <w:top w:val="none" w:sz="0" w:space="0" w:color="auto"/>
        <w:left w:val="none" w:sz="0" w:space="0" w:color="auto"/>
        <w:bottom w:val="none" w:sz="0" w:space="0" w:color="auto"/>
        <w:right w:val="none" w:sz="0" w:space="0" w:color="auto"/>
      </w:divBdr>
    </w:div>
    <w:div w:id="733428319">
      <w:bodyDiv w:val="1"/>
      <w:marLeft w:val="0"/>
      <w:marRight w:val="0"/>
      <w:marTop w:val="0"/>
      <w:marBottom w:val="0"/>
      <w:divBdr>
        <w:top w:val="none" w:sz="0" w:space="0" w:color="auto"/>
        <w:left w:val="none" w:sz="0" w:space="0" w:color="auto"/>
        <w:bottom w:val="none" w:sz="0" w:space="0" w:color="auto"/>
        <w:right w:val="none" w:sz="0" w:space="0" w:color="auto"/>
      </w:divBdr>
    </w:div>
    <w:div w:id="741292412">
      <w:bodyDiv w:val="1"/>
      <w:marLeft w:val="0"/>
      <w:marRight w:val="0"/>
      <w:marTop w:val="0"/>
      <w:marBottom w:val="0"/>
      <w:divBdr>
        <w:top w:val="none" w:sz="0" w:space="0" w:color="auto"/>
        <w:left w:val="none" w:sz="0" w:space="0" w:color="auto"/>
        <w:bottom w:val="none" w:sz="0" w:space="0" w:color="auto"/>
        <w:right w:val="none" w:sz="0" w:space="0" w:color="auto"/>
      </w:divBdr>
    </w:div>
    <w:div w:id="744688832">
      <w:bodyDiv w:val="1"/>
      <w:marLeft w:val="0"/>
      <w:marRight w:val="0"/>
      <w:marTop w:val="0"/>
      <w:marBottom w:val="0"/>
      <w:divBdr>
        <w:top w:val="none" w:sz="0" w:space="0" w:color="auto"/>
        <w:left w:val="none" w:sz="0" w:space="0" w:color="auto"/>
        <w:bottom w:val="none" w:sz="0" w:space="0" w:color="auto"/>
        <w:right w:val="none" w:sz="0" w:space="0" w:color="auto"/>
      </w:divBdr>
    </w:div>
    <w:div w:id="746270988">
      <w:bodyDiv w:val="1"/>
      <w:marLeft w:val="0"/>
      <w:marRight w:val="0"/>
      <w:marTop w:val="0"/>
      <w:marBottom w:val="0"/>
      <w:divBdr>
        <w:top w:val="none" w:sz="0" w:space="0" w:color="auto"/>
        <w:left w:val="none" w:sz="0" w:space="0" w:color="auto"/>
        <w:bottom w:val="none" w:sz="0" w:space="0" w:color="auto"/>
        <w:right w:val="none" w:sz="0" w:space="0" w:color="auto"/>
      </w:divBdr>
    </w:div>
    <w:div w:id="747384360">
      <w:bodyDiv w:val="1"/>
      <w:marLeft w:val="0"/>
      <w:marRight w:val="0"/>
      <w:marTop w:val="0"/>
      <w:marBottom w:val="0"/>
      <w:divBdr>
        <w:top w:val="none" w:sz="0" w:space="0" w:color="auto"/>
        <w:left w:val="none" w:sz="0" w:space="0" w:color="auto"/>
        <w:bottom w:val="none" w:sz="0" w:space="0" w:color="auto"/>
        <w:right w:val="none" w:sz="0" w:space="0" w:color="auto"/>
      </w:divBdr>
    </w:div>
    <w:div w:id="747576002">
      <w:bodyDiv w:val="1"/>
      <w:marLeft w:val="0"/>
      <w:marRight w:val="0"/>
      <w:marTop w:val="0"/>
      <w:marBottom w:val="0"/>
      <w:divBdr>
        <w:top w:val="none" w:sz="0" w:space="0" w:color="auto"/>
        <w:left w:val="none" w:sz="0" w:space="0" w:color="auto"/>
        <w:bottom w:val="none" w:sz="0" w:space="0" w:color="auto"/>
        <w:right w:val="none" w:sz="0" w:space="0" w:color="auto"/>
      </w:divBdr>
    </w:div>
    <w:div w:id="748425381">
      <w:bodyDiv w:val="1"/>
      <w:marLeft w:val="0"/>
      <w:marRight w:val="0"/>
      <w:marTop w:val="0"/>
      <w:marBottom w:val="0"/>
      <w:divBdr>
        <w:top w:val="none" w:sz="0" w:space="0" w:color="auto"/>
        <w:left w:val="none" w:sz="0" w:space="0" w:color="auto"/>
        <w:bottom w:val="none" w:sz="0" w:space="0" w:color="auto"/>
        <w:right w:val="none" w:sz="0" w:space="0" w:color="auto"/>
      </w:divBdr>
      <w:divsChild>
        <w:div w:id="1719931494">
          <w:marLeft w:val="480"/>
          <w:marRight w:val="0"/>
          <w:marTop w:val="0"/>
          <w:marBottom w:val="0"/>
          <w:divBdr>
            <w:top w:val="none" w:sz="0" w:space="0" w:color="auto"/>
            <w:left w:val="none" w:sz="0" w:space="0" w:color="auto"/>
            <w:bottom w:val="none" w:sz="0" w:space="0" w:color="auto"/>
            <w:right w:val="none" w:sz="0" w:space="0" w:color="auto"/>
          </w:divBdr>
        </w:div>
        <w:div w:id="1800562801">
          <w:marLeft w:val="480"/>
          <w:marRight w:val="0"/>
          <w:marTop w:val="0"/>
          <w:marBottom w:val="0"/>
          <w:divBdr>
            <w:top w:val="none" w:sz="0" w:space="0" w:color="auto"/>
            <w:left w:val="none" w:sz="0" w:space="0" w:color="auto"/>
            <w:bottom w:val="none" w:sz="0" w:space="0" w:color="auto"/>
            <w:right w:val="none" w:sz="0" w:space="0" w:color="auto"/>
          </w:divBdr>
        </w:div>
        <w:div w:id="1361786429">
          <w:marLeft w:val="480"/>
          <w:marRight w:val="0"/>
          <w:marTop w:val="0"/>
          <w:marBottom w:val="0"/>
          <w:divBdr>
            <w:top w:val="none" w:sz="0" w:space="0" w:color="auto"/>
            <w:left w:val="none" w:sz="0" w:space="0" w:color="auto"/>
            <w:bottom w:val="none" w:sz="0" w:space="0" w:color="auto"/>
            <w:right w:val="none" w:sz="0" w:space="0" w:color="auto"/>
          </w:divBdr>
        </w:div>
        <w:div w:id="1821724957">
          <w:marLeft w:val="480"/>
          <w:marRight w:val="0"/>
          <w:marTop w:val="0"/>
          <w:marBottom w:val="0"/>
          <w:divBdr>
            <w:top w:val="none" w:sz="0" w:space="0" w:color="auto"/>
            <w:left w:val="none" w:sz="0" w:space="0" w:color="auto"/>
            <w:bottom w:val="none" w:sz="0" w:space="0" w:color="auto"/>
            <w:right w:val="none" w:sz="0" w:space="0" w:color="auto"/>
          </w:divBdr>
        </w:div>
        <w:div w:id="1533300697">
          <w:marLeft w:val="480"/>
          <w:marRight w:val="0"/>
          <w:marTop w:val="0"/>
          <w:marBottom w:val="0"/>
          <w:divBdr>
            <w:top w:val="none" w:sz="0" w:space="0" w:color="auto"/>
            <w:left w:val="none" w:sz="0" w:space="0" w:color="auto"/>
            <w:bottom w:val="none" w:sz="0" w:space="0" w:color="auto"/>
            <w:right w:val="none" w:sz="0" w:space="0" w:color="auto"/>
          </w:divBdr>
        </w:div>
        <w:div w:id="1275284460">
          <w:marLeft w:val="480"/>
          <w:marRight w:val="0"/>
          <w:marTop w:val="0"/>
          <w:marBottom w:val="0"/>
          <w:divBdr>
            <w:top w:val="none" w:sz="0" w:space="0" w:color="auto"/>
            <w:left w:val="none" w:sz="0" w:space="0" w:color="auto"/>
            <w:bottom w:val="none" w:sz="0" w:space="0" w:color="auto"/>
            <w:right w:val="none" w:sz="0" w:space="0" w:color="auto"/>
          </w:divBdr>
        </w:div>
        <w:div w:id="1173186443">
          <w:marLeft w:val="480"/>
          <w:marRight w:val="0"/>
          <w:marTop w:val="0"/>
          <w:marBottom w:val="0"/>
          <w:divBdr>
            <w:top w:val="none" w:sz="0" w:space="0" w:color="auto"/>
            <w:left w:val="none" w:sz="0" w:space="0" w:color="auto"/>
            <w:bottom w:val="none" w:sz="0" w:space="0" w:color="auto"/>
            <w:right w:val="none" w:sz="0" w:space="0" w:color="auto"/>
          </w:divBdr>
        </w:div>
        <w:div w:id="1530408881">
          <w:marLeft w:val="480"/>
          <w:marRight w:val="0"/>
          <w:marTop w:val="0"/>
          <w:marBottom w:val="0"/>
          <w:divBdr>
            <w:top w:val="none" w:sz="0" w:space="0" w:color="auto"/>
            <w:left w:val="none" w:sz="0" w:space="0" w:color="auto"/>
            <w:bottom w:val="none" w:sz="0" w:space="0" w:color="auto"/>
            <w:right w:val="none" w:sz="0" w:space="0" w:color="auto"/>
          </w:divBdr>
        </w:div>
        <w:div w:id="874193522">
          <w:marLeft w:val="480"/>
          <w:marRight w:val="0"/>
          <w:marTop w:val="0"/>
          <w:marBottom w:val="0"/>
          <w:divBdr>
            <w:top w:val="none" w:sz="0" w:space="0" w:color="auto"/>
            <w:left w:val="none" w:sz="0" w:space="0" w:color="auto"/>
            <w:bottom w:val="none" w:sz="0" w:space="0" w:color="auto"/>
            <w:right w:val="none" w:sz="0" w:space="0" w:color="auto"/>
          </w:divBdr>
        </w:div>
        <w:div w:id="40058826">
          <w:marLeft w:val="480"/>
          <w:marRight w:val="0"/>
          <w:marTop w:val="0"/>
          <w:marBottom w:val="0"/>
          <w:divBdr>
            <w:top w:val="none" w:sz="0" w:space="0" w:color="auto"/>
            <w:left w:val="none" w:sz="0" w:space="0" w:color="auto"/>
            <w:bottom w:val="none" w:sz="0" w:space="0" w:color="auto"/>
            <w:right w:val="none" w:sz="0" w:space="0" w:color="auto"/>
          </w:divBdr>
        </w:div>
        <w:div w:id="1315720297">
          <w:marLeft w:val="480"/>
          <w:marRight w:val="0"/>
          <w:marTop w:val="0"/>
          <w:marBottom w:val="0"/>
          <w:divBdr>
            <w:top w:val="none" w:sz="0" w:space="0" w:color="auto"/>
            <w:left w:val="none" w:sz="0" w:space="0" w:color="auto"/>
            <w:bottom w:val="none" w:sz="0" w:space="0" w:color="auto"/>
            <w:right w:val="none" w:sz="0" w:space="0" w:color="auto"/>
          </w:divBdr>
        </w:div>
        <w:div w:id="102262854">
          <w:marLeft w:val="480"/>
          <w:marRight w:val="0"/>
          <w:marTop w:val="0"/>
          <w:marBottom w:val="0"/>
          <w:divBdr>
            <w:top w:val="none" w:sz="0" w:space="0" w:color="auto"/>
            <w:left w:val="none" w:sz="0" w:space="0" w:color="auto"/>
            <w:bottom w:val="none" w:sz="0" w:space="0" w:color="auto"/>
            <w:right w:val="none" w:sz="0" w:space="0" w:color="auto"/>
          </w:divBdr>
        </w:div>
        <w:div w:id="1509174226">
          <w:marLeft w:val="480"/>
          <w:marRight w:val="0"/>
          <w:marTop w:val="0"/>
          <w:marBottom w:val="0"/>
          <w:divBdr>
            <w:top w:val="none" w:sz="0" w:space="0" w:color="auto"/>
            <w:left w:val="none" w:sz="0" w:space="0" w:color="auto"/>
            <w:bottom w:val="none" w:sz="0" w:space="0" w:color="auto"/>
            <w:right w:val="none" w:sz="0" w:space="0" w:color="auto"/>
          </w:divBdr>
        </w:div>
        <w:div w:id="481387835">
          <w:marLeft w:val="480"/>
          <w:marRight w:val="0"/>
          <w:marTop w:val="0"/>
          <w:marBottom w:val="0"/>
          <w:divBdr>
            <w:top w:val="none" w:sz="0" w:space="0" w:color="auto"/>
            <w:left w:val="none" w:sz="0" w:space="0" w:color="auto"/>
            <w:bottom w:val="none" w:sz="0" w:space="0" w:color="auto"/>
            <w:right w:val="none" w:sz="0" w:space="0" w:color="auto"/>
          </w:divBdr>
        </w:div>
        <w:div w:id="839613504">
          <w:marLeft w:val="480"/>
          <w:marRight w:val="0"/>
          <w:marTop w:val="0"/>
          <w:marBottom w:val="0"/>
          <w:divBdr>
            <w:top w:val="none" w:sz="0" w:space="0" w:color="auto"/>
            <w:left w:val="none" w:sz="0" w:space="0" w:color="auto"/>
            <w:bottom w:val="none" w:sz="0" w:space="0" w:color="auto"/>
            <w:right w:val="none" w:sz="0" w:space="0" w:color="auto"/>
          </w:divBdr>
        </w:div>
        <w:div w:id="1160583967">
          <w:marLeft w:val="480"/>
          <w:marRight w:val="0"/>
          <w:marTop w:val="0"/>
          <w:marBottom w:val="0"/>
          <w:divBdr>
            <w:top w:val="none" w:sz="0" w:space="0" w:color="auto"/>
            <w:left w:val="none" w:sz="0" w:space="0" w:color="auto"/>
            <w:bottom w:val="none" w:sz="0" w:space="0" w:color="auto"/>
            <w:right w:val="none" w:sz="0" w:space="0" w:color="auto"/>
          </w:divBdr>
        </w:div>
        <w:div w:id="2110924035">
          <w:marLeft w:val="480"/>
          <w:marRight w:val="0"/>
          <w:marTop w:val="0"/>
          <w:marBottom w:val="0"/>
          <w:divBdr>
            <w:top w:val="none" w:sz="0" w:space="0" w:color="auto"/>
            <w:left w:val="none" w:sz="0" w:space="0" w:color="auto"/>
            <w:bottom w:val="none" w:sz="0" w:space="0" w:color="auto"/>
            <w:right w:val="none" w:sz="0" w:space="0" w:color="auto"/>
          </w:divBdr>
        </w:div>
        <w:div w:id="1756588111">
          <w:marLeft w:val="480"/>
          <w:marRight w:val="0"/>
          <w:marTop w:val="0"/>
          <w:marBottom w:val="0"/>
          <w:divBdr>
            <w:top w:val="none" w:sz="0" w:space="0" w:color="auto"/>
            <w:left w:val="none" w:sz="0" w:space="0" w:color="auto"/>
            <w:bottom w:val="none" w:sz="0" w:space="0" w:color="auto"/>
            <w:right w:val="none" w:sz="0" w:space="0" w:color="auto"/>
          </w:divBdr>
        </w:div>
        <w:div w:id="1255897730">
          <w:marLeft w:val="480"/>
          <w:marRight w:val="0"/>
          <w:marTop w:val="0"/>
          <w:marBottom w:val="0"/>
          <w:divBdr>
            <w:top w:val="none" w:sz="0" w:space="0" w:color="auto"/>
            <w:left w:val="none" w:sz="0" w:space="0" w:color="auto"/>
            <w:bottom w:val="none" w:sz="0" w:space="0" w:color="auto"/>
            <w:right w:val="none" w:sz="0" w:space="0" w:color="auto"/>
          </w:divBdr>
        </w:div>
        <w:div w:id="2073966096">
          <w:marLeft w:val="480"/>
          <w:marRight w:val="0"/>
          <w:marTop w:val="0"/>
          <w:marBottom w:val="0"/>
          <w:divBdr>
            <w:top w:val="none" w:sz="0" w:space="0" w:color="auto"/>
            <w:left w:val="none" w:sz="0" w:space="0" w:color="auto"/>
            <w:bottom w:val="none" w:sz="0" w:space="0" w:color="auto"/>
            <w:right w:val="none" w:sz="0" w:space="0" w:color="auto"/>
          </w:divBdr>
        </w:div>
        <w:div w:id="610013416">
          <w:marLeft w:val="480"/>
          <w:marRight w:val="0"/>
          <w:marTop w:val="0"/>
          <w:marBottom w:val="0"/>
          <w:divBdr>
            <w:top w:val="none" w:sz="0" w:space="0" w:color="auto"/>
            <w:left w:val="none" w:sz="0" w:space="0" w:color="auto"/>
            <w:bottom w:val="none" w:sz="0" w:space="0" w:color="auto"/>
            <w:right w:val="none" w:sz="0" w:space="0" w:color="auto"/>
          </w:divBdr>
        </w:div>
        <w:div w:id="657735936">
          <w:marLeft w:val="480"/>
          <w:marRight w:val="0"/>
          <w:marTop w:val="0"/>
          <w:marBottom w:val="0"/>
          <w:divBdr>
            <w:top w:val="none" w:sz="0" w:space="0" w:color="auto"/>
            <w:left w:val="none" w:sz="0" w:space="0" w:color="auto"/>
            <w:bottom w:val="none" w:sz="0" w:space="0" w:color="auto"/>
            <w:right w:val="none" w:sz="0" w:space="0" w:color="auto"/>
          </w:divBdr>
        </w:div>
        <w:div w:id="777456326">
          <w:marLeft w:val="480"/>
          <w:marRight w:val="0"/>
          <w:marTop w:val="0"/>
          <w:marBottom w:val="0"/>
          <w:divBdr>
            <w:top w:val="none" w:sz="0" w:space="0" w:color="auto"/>
            <w:left w:val="none" w:sz="0" w:space="0" w:color="auto"/>
            <w:bottom w:val="none" w:sz="0" w:space="0" w:color="auto"/>
            <w:right w:val="none" w:sz="0" w:space="0" w:color="auto"/>
          </w:divBdr>
        </w:div>
        <w:div w:id="1453866930">
          <w:marLeft w:val="480"/>
          <w:marRight w:val="0"/>
          <w:marTop w:val="0"/>
          <w:marBottom w:val="0"/>
          <w:divBdr>
            <w:top w:val="none" w:sz="0" w:space="0" w:color="auto"/>
            <w:left w:val="none" w:sz="0" w:space="0" w:color="auto"/>
            <w:bottom w:val="none" w:sz="0" w:space="0" w:color="auto"/>
            <w:right w:val="none" w:sz="0" w:space="0" w:color="auto"/>
          </w:divBdr>
        </w:div>
        <w:div w:id="500899903">
          <w:marLeft w:val="480"/>
          <w:marRight w:val="0"/>
          <w:marTop w:val="0"/>
          <w:marBottom w:val="0"/>
          <w:divBdr>
            <w:top w:val="none" w:sz="0" w:space="0" w:color="auto"/>
            <w:left w:val="none" w:sz="0" w:space="0" w:color="auto"/>
            <w:bottom w:val="none" w:sz="0" w:space="0" w:color="auto"/>
            <w:right w:val="none" w:sz="0" w:space="0" w:color="auto"/>
          </w:divBdr>
        </w:div>
        <w:div w:id="364643594">
          <w:marLeft w:val="480"/>
          <w:marRight w:val="0"/>
          <w:marTop w:val="0"/>
          <w:marBottom w:val="0"/>
          <w:divBdr>
            <w:top w:val="none" w:sz="0" w:space="0" w:color="auto"/>
            <w:left w:val="none" w:sz="0" w:space="0" w:color="auto"/>
            <w:bottom w:val="none" w:sz="0" w:space="0" w:color="auto"/>
            <w:right w:val="none" w:sz="0" w:space="0" w:color="auto"/>
          </w:divBdr>
        </w:div>
        <w:div w:id="1407191068">
          <w:marLeft w:val="480"/>
          <w:marRight w:val="0"/>
          <w:marTop w:val="0"/>
          <w:marBottom w:val="0"/>
          <w:divBdr>
            <w:top w:val="none" w:sz="0" w:space="0" w:color="auto"/>
            <w:left w:val="none" w:sz="0" w:space="0" w:color="auto"/>
            <w:bottom w:val="none" w:sz="0" w:space="0" w:color="auto"/>
            <w:right w:val="none" w:sz="0" w:space="0" w:color="auto"/>
          </w:divBdr>
        </w:div>
        <w:div w:id="528688304">
          <w:marLeft w:val="480"/>
          <w:marRight w:val="0"/>
          <w:marTop w:val="0"/>
          <w:marBottom w:val="0"/>
          <w:divBdr>
            <w:top w:val="none" w:sz="0" w:space="0" w:color="auto"/>
            <w:left w:val="none" w:sz="0" w:space="0" w:color="auto"/>
            <w:bottom w:val="none" w:sz="0" w:space="0" w:color="auto"/>
            <w:right w:val="none" w:sz="0" w:space="0" w:color="auto"/>
          </w:divBdr>
        </w:div>
        <w:div w:id="269513079">
          <w:marLeft w:val="480"/>
          <w:marRight w:val="0"/>
          <w:marTop w:val="0"/>
          <w:marBottom w:val="0"/>
          <w:divBdr>
            <w:top w:val="none" w:sz="0" w:space="0" w:color="auto"/>
            <w:left w:val="none" w:sz="0" w:space="0" w:color="auto"/>
            <w:bottom w:val="none" w:sz="0" w:space="0" w:color="auto"/>
            <w:right w:val="none" w:sz="0" w:space="0" w:color="auto"/>
          </w:divBdr>
        </w:div>
        <w:div w:id="113597982">
          <w:marLeft w:val="480"/>
          <w:marRight w:val="0"/>
          <w:marTop w:val="0"/>
          <w:marBottom w:val="0"/>
          <w:divBdr>
            <w:top w:val="none" w:sz="0" w:space="0" w:color="auto"/>
            <w:left w:val="none" w:sz="0" w:space="0" w:color="auto"/>
            <w:bottom w:val="none" w:sz="0" w:space="0" w:color="auto"/>
            <w:right w:val="none" w:sz="0" w:space="0" w:color="auto"/>
          </w:divBdr>
        </w:div>
        <w:div w:id="1055619922">
          <w:marLeft w:val="480"/>
          <w:marRight w:val="0"/>
          <w:marTop w:val="0"/>
          <w:marBottom w:val="0"/>
          <w:divBdr>
            <w:top w:val="none" w:sz="0" w:space="0" w:color="auto"/>
            <w:left w:val="none" w:sz="0" w:space="0" w:color="auto"/>
            <w:bottom w:val="none" w:sz="0" w:space="0" w:color="auto"/>
            <w:right w:val="none" w:sz="0" w:space="0" w:color="auto"/>
          </w:divBdr>
        </w:div>
        <w:div w:id="545529802">
          <w:marLeft w:val="480"/>
          <w:marRight w:val="0"/>
          <w:marTop w:val="0"/>
          <w:marBottom w:val="0"/>
          <w:divBdr>
            <w:top w:val="none" w:sz="0" w:space="0" w:color="auto"/>
            <w:left w:val="none" w:sz="0" w:space="0" w:color="auto"/>
            <w:bottom w:val="none" w:sz="0" w:space="0" w:color="auto"/>
            <w:right w:val="none" w:sz="0" w:space="0" w:color="auto"/>
          </w:divBdr>
        </w:div>
        <w:div w:id="490216663">
          <w:marLeft w:val="480"/>
          <w:marRight w:val="0"/>
          <w:marTop w:val="0"/>
          <w:marBottom w:val="0"/>
          <w:divBdr>
            <w:top w:val="none" w:sz="0" w:space="0" w:color="auto"/>
            <w:left w:val="none" w:sz="0" w:space="0" w:color="auto"/>
            <w:bottom w:val="none" w:sz="0" w:space="0" w:color="auto"/>
            <w:right w:val="none" w:sz="0" w:space="0" w:color="auto"/>
          </w:divBdr>
        </w:div>
        <w:div w:id="2053842070">
          <w:marLeft w:val="480"/>
          <w:marRight w:val="0"/>
          <w:marTop w:val="0"/>
          <w:marBottom w:val="0"/>
          <w:divBdr>
            <w:top w:val="none" w:sz="0" w:space="0" w:color="auto"/>
            <w:left w:val="none" w:sz="0" w:space="0" w:color="auto"/>
            <w:bottom w:val="none" w:sz="0" w:space="0" w:color="auto"/>
            <w:right w:val="none" w:sz="0" w:space="0" w:color="auto"/>
          </w:divBdr>
        </w:div>
        <w:div w:id="710303850">
          <w:marLeft w:val="480"/>
          <w:marRight w:val="0"/>
          <w:marTop w:val="0"/>
          <w:marBottom w:val="0"/>
          <w:divBdr>
            <w:top w:val="none" w:sz="0" w:space="0" w:color="auto"/>
            <w:left w:val="none" w:sz="0" w:space="0" w:color="auto"/>
            <w:bottom w:val="none" w:sz="0" w:space="0" w:color="auto"/>
            <w:right w:val="none" w:sz="0" w:space="0" w:color="auto"/>
          </w:divBdr>
        </w:div>
        <w:div w:id="1756631363">
          <w:marLeft w:val="480"/>
          <w:marRight w:val="0"/>
          <w:marTop w:val="0"/>
          <w:marBottom w:val="0"/>
          <w:divBdr>
            <w:top w:val="none" w:sz="0" w:space="0" w:color="auto"/>
            <w:left w:val="none" w:sz="0" w:space="0" w:color="auto"/>
            <w:bottom w:val="none" w:sz="0" w:space="0" w:color="auto"/>
            <w:right w:val="none" w:sz="0" w:space="0" w:color="auto"/>
          </w:divBdr>
        </w:div>
        <w:div w:id="881479823">
          <w:marLeft w:val="480"/>
          <w:marRight w:val="0"/>
          <w:marTop w:val="0"/>
          <w:marBottom w:val="0"/>
          <w:divBdr>
            <w:top w:val="none" w:sz="0" w:space="0" w:color="auto"/>
            <w:left w:val="none" w:sz="0" w:space="0" w:color="auto"/>
            <w:bottom w:val="none" w:sz="0" w:space="0" w:color="auto"/>
            <w:right w:val="none" w:sz="0" w:space="0" w:color="auto"/>
          </w:divBdr>
        </w:div>
        <w:div w:id="469323091">
          <w:marLeft w:val="480"/>
          <w:marRight w:val="0"/>
          <w:marTop w:val="0"/>
          <w:marBottom w:val="0"/>
          <w:divBdr>
            <w:top w:val="none" w:sz="0" w:space="0" w:color="auto"/>
            <w:left w:val="none" w:sz="0" w:space="0" w:color="auto"/>
            <w:bottom w:val="none" w:sz="0" w:space="0" w:color="auto"/>
            <w:right w:val="none" w:sz="0" w:space="0" w:color="auto"/>
          </w:divBdr>
        </w:div>
        <w:div w:id="92289440">
          <w:marLeft w:val="480"/>
          <w:marRight w:val="0"/>
          <w:marTop w:val="0"/>
          <w:marBottom w:val="0"/>
          <w:divBdr>
            <w:top w:val="none" w:sz="0" w:space="0" w:color="auto"/>
            <w:left w:val="none" w:sz="0" w:space="0" w:color="auto"/>
            <w:bottom w:val="none" w:sz="0" w:space="0" w:color="auto"/>
            <w:right w:val="none" w:sz="0" w:space="0" w:color="auto"/>
          </w:divBdr>
        </w:div>
        <w:div w:id="1041322803">
          <w:marLeft w:val="480"/>
          <w:marRight w:val="0"/>
          <w:marTop w:val="0"/>
          <w:marBottom w:val="0"/>
          <w:divBdr>
            <w:top w:val="none" w:sz="0" w:space="0" w:color="auto"/>
            <w:left w:val="none" w:sz="0" w:space="0" w:color="auto"/>
            <w:bottom w:val="none" w:sz="0" w:space="0" w:color="auto"/>
            <w:right w:val="none" w:sz="0" w:space="0" w:color="auto"/>
          </w:divBdr>
        </w:div>
        <w:div w:id="1553543057">
          <w:marLeft w:val="480"/>
          <w:marRight w:val="0"/>
          <w:marTop w:val="0"/>
          <w:marBottom w:val="0"/>
          <w:divBdr>
            <w:top w:val="none" w:sz="0" w:space="0" w:color="auto"/>
            <w:left w:val="none" w:sz="0" w:space="0" w:color="auto"/>
            <w:bottom w:val="none" w:sz="0" w:space="0" w:color="auto"/>
            <w:right w:val="none" w:sz="0" w:space="0" w:color="auto"/>
          </w:divBdr>
        </w:div>
        <w:div w:id="1679385113">
          <w:marLeft w:val="480"/>
          <w:marRight w:val="0"/>
          <w:marTop w:val="0"/>
          <w:marBottom w:val="0"/>
          <w:divBdr>
            <w:top w:val="none" w:sz="0" w:space="0" w:color="auto"/>
            <w:left w:val="none" w:sz="0" w:space="0" w:color="auto"/>
            <w:bottom w:val="none" w:sz="0" w:space="0" w:color="auto"/>
            <w:right w:val="none" w:sz="0" w:space="0" w:color="auto"/>
          </w:divBdr>
        </w:div>
        <w:div w:id="12848533">
          <w:marLeft w:val="480"/>
          <w:marRight w:val="0"/>
          <w:marTop w:val="0"/>
          <w:marBottom w:val="0"/>
          <w:divBdr>
            <w:top w:val="none" w:sz="0" w:space="0" w:color="auto"/>
            <w:left w:val="none" w:sz="0" w:space="0" w:color="auto"/>
            <w:bottom w:val="none" w:sz="0" w:space="0" w:color="auto"/>
            <w:right w:val="none" w:sz="0" w:space="0" w:color="auto"/>
          </w:divBdr>
        </w:div>
        <w:div w:id="271518940">
          <w:marLeft w:val="480"/>
          <w:marRight w:val="0"/>
          <w:marTop w:val="0"/>
          <w:marBottom w:val="0"/>
          <w:divBdr>
            <w:top w:val="none" w:sz="0" w:space="0" w:color="auto"/>
            <w:left w:val="none" w:sz="0" w:space="0" w:color="auto"/>
            <w:bottom w:val="none" w:sz="0" w:space="0" w:color="auto"/>
            <w:right w:val="none" w:sz="0" w:space="0" w:color="auto"/>
          </w:divBdr>
        </w:div>
        <w:div w:id="1652097038">
          <w:marLeft w:val="480"/>
          <w:marRight w:val="0"/>
          <w:marTop w:val="0"/>
          <w:marBottom w:val="0"/>
          <w:divBdr>
            <w:top w:val="none" w:sz="0" w:space="0" w:color="auto"/>
            <w:left w:val="none" w:sz="0" w:space="0" w:color="auto"/>
            <w:bottom w:val="none" w:sz="0" w:space="0" w:color="auto"/>
            <w:right w:val="none" w:sz="0" w:space="0" w:color="auto"/>
          </w:divBdr>
        </w:div>
        <w:div w:id="239952164">
          <w:marLeft w:val="480"/>
          <w:marRight w:val="0"/>
          <w:marTop w:val="0"/>
          <w:marBottom w:val="0"/>
          <w:divBdr>
            <w:top w:val="none" w:sz="0" w:space="0" w:color="auto"/>
            <w:left w:val="none" w:sz="0" w:space="0" w:color="auto"/>
            <w:bottom w:val="none" w:sz="0" w:space="0" w:color="auto"/>
            <w:right w:val="none" w:sz="0" w:space="0" w:color="auto"/>
          </w:divBdr>
        </w:div>
        <w:div w:id="873422245">
          <w:marLeft w:val="480"/>
          <w:marRight w:val="0"/>
          <w:marTop w:val="0"/>
          <w:marBottom w:val="0"/>
          <w:divBdr>
            <w:top w:val="none" w:sz="0" w:space="0" w:color="auto"/>
            <w:left w:val="none" w:sz="0" w:space="0" w:color="auto"/>
            <w:bottom w:val="none" w:sz="0" w:space="0" w:color="auto"/>
            <w:right w:val="none" w:sz="0" w:space="0" w:color="auto"/>
          </w:divBdr>
        </w:div>
        <w:div w:id="867648570">
          <w:marLeft w:val="480"/>
          <w:marRight w:val="0"/>
          <w:marTop w:val="0"/>
          <w:marBottom w:val="0"/>
          <w:divBdr>
            <w:top w:val="none" w:sz="0" w:space="0" w:color="auto"/>
            <w:left w:val="none" w:sz="0" w:space="0" w:color="auto"/>
            <w:bottom w:val="none" w:sz="0" w:space="0" w:color="auto"/>
            <w:right w:val="none" w:sz="0" w:space="0" w:color="auto"/>
          </w:divBdr>
        </w:div>
        <w:div w:id="122429941">
          <w:marLeft w:val="480"/>
          <w:marRight w:val="0"/>
          <w:marTop w:val="0"/>
          <w:marBottom w:val="0"/>
          <w:divBdr>
            <w:top w:val="none" w:sz="0" w:space="0" w:color="auto"/>
            <w:left w:val="none" w:sz="0" w:space="0" w:color="auto"/>
            <w:bottom w:val="none" w:sz="0" w:space="0" w:color="auto"/>
            <w:right w:val="none" w:sz="0" w:space="0" w:color="auto"/>
          </w:divBdr>
        </w:div>
        <w:div w:id="1240285691">
          <w:marLeft w:val="480"/>
          <w:marRight w:val="0"/>
          <w:marTop w:val="0"/>
          <w:marBottom w:val="0"/>
          <w:divBdr>
            <w:top w:val="none" w:sz="0" w:space="0" w:color="auto"/>
            <w:left w:val="none" w:sz="0" w:space="0" w:color="auto"/>
            <w:bottom w:val="none" w:sz="0" w:space="0" w:color="auto"/>
            <w:right w:val="none" w:sz="0" w:space="0" w:color="auto"/>
          </w:divBdr>
        </w:div>
        <w:div w:id="1592468381">
          <w:marLeft w:val="480"/>
          <w:marRight w:val="0"/>
          <w:marTop w:val="0"/>
          <w:marBottom w:val="0"/>
          <w:divBdr>
            <w:top w:val="none" w:sz="0" w:space="0" w:color="auto"/>
            <w:left w:val="none" w:sz="0" w:space="0" w:color="auto"/>
            <w:bottom w:val="none" w:sz="0" w:space="0" w:color="auto"/>
            <w:right w:val="none" w:sz="0" w:space="0" w:color="auto"/>
          </w:divBdr>
        </w:div>
        <w:div w:id="1125974053">
          <w:marLeft w:val="480"/>
          <w:marRight w:val="0"/>
          <w:marTop w:val="0"/>
          <w:marBottom w:val="0"/>
          <w:divBdr>
            <w:top w:val="none" w:sz="0" w:space="0" w:color="auto"/>
            <w:left w:val="none" w:sz="0" w:space="0" w:color="auto"/>
            <w:bottom w:val="none" w:sz="0" w:space="0" w:color="auto"/>
            <w:right w:val="none" w:sz="0" w:space="0" w:color="auto"/>
          </w:divBdr>
        </w:div>
        <w:div w:id="116072089">
          <w:marLeft w:val="480"/>
          <w:marRight w:val="0"/>
          <w:marTop w:val="0"/>
          <w:marBottom w:val="0"/>
          <w:divBdr>
            <w:top w:val="none" w:sz="0" w:space="0" w:color="auto"/>
            <w:left w:val="none" w:sz="0" w:space="0" w:color="auto"/>
            <w:bottom w:val="none" w:sz="0" w:space="0" w:color="auto"/>
            <w:right w:val="none" w:sz="0" w:space="0" w:color="auto"/>
          </w:divBdr>
        </w:div>
        <w:div w:id="1518496319">
          <w:marLeft w:val="480"/>
          <w:marRight w:val="0"/>
          <w:marTop w:val="0"/>
          <w:marBottom w:val="0"/>
          <w:divBdr>
            <w:top w:val="none" w:sz="0" w:space="0" w:color="auto"/>
            <w:left w:val="none" w:sz="0" w:space="0" w:color="auto"/>
            <w:bottom w:val="none" w:sz="0" w:space="0" w:color="auto"/>
            <w:right w:val="none" w:sz="0" w:space="0" w:color="auto"/>
          </w:divBdr>
        </w:div>
        <w:div w:id="750590715">
          <w:marLeft w:val="480"/>
          <w:marRight w:val="0"/>
          <w:marTop w:val="0"/>
          <w:marBottom w:val="0"/>
          <w:divBdr>
            <w:top w:val="none" w:sz="0" w:space="0" w:color="auto"/>
            <w:left w:val="none" w:sz="0" w:space="0" w:color="auto"/>
            <w:bottom w:val="none" w:sz="0" w:space="0" w:color="auto"/>
            <w:right w:val="none" w:sz="0" w:space="0" w:color="auto"/>
          </w:divBdr>
        </w:div>
        <w:div w:id="739521803">
          <w:marLeft w:val="480"/>
          <w:marRight w:val="0"/>
          <w:marTop w:val="0"/>
          <w:marBottom w:val="0"/>
          <w:divBdr>
            <w:top w:val="none" w:sz="0" w:space="0" w:color="auto"/>
            <w:left w:val="none" w:sz="0" w:space="0" w:color="auto"/>
            <w:bottom w:val="none" w:sz="0" w:space="0" w:color="auto"/>
            <w:right w:val="none" w:sz="0" w:space="0" w:color="auto"/>
          </w:divBdr>
        </w:div>
        <w:div w:id="1818641132">
          <w:marLeft w:val="480"/>
          <w:marRight w:val="0"/>
          <w:marTop w:val="0"/>
          <w:marBottom w:val="0"/>
          <w:divBdr>
            <w:top w:val="none" w:sz="0" w:space="0" w:color="auto"/>
            <w:left w:val="none" w:sz="0" w:space="0" w:color="auto"/>
            <w:bottom w:val="none" w:sz="0" w:space="0" w:color="auto"/>
            <w:right w:val="none" w:sz="0" w:space="0" w:color="auto"/>
          </w:divBdr>
        </w:div>
        <w:div w:id="2014215973">
          <w:marLeft w:val="480"/>
          <w:marRight w:val="0"/>
          <w:marTop w:val="0"/>
          <w:marBottom w:val="0"/>
          <w:divBdr>
            <w:top w:val="none" w:sz="0" w:space="0" w:color="auto"/>
            <w:left w:val="none" w:sz="0" w:space="0" w:color="auto"/>
            <w:bottom w:val="none" w:sz="0" w:space="0" w:color="auto"/>
            <w:right w:val="none" w:sz="0" w:space="0" w:color="auto"/>
          </w:divBdr>
        </w:div>
        <w:div w:id="1361857038">
          <w:marLeft w:val="480"/>
          <w:marRight w:val="0"/>
          <w:marTop w:val="0"/>
          <w:marBottom w:val="0"/>
          <w:divBdr>
            <w:top w:val="none" w:sz="0" w:space="0" w:color="auto"/>
            <w:left w:val="none" w:sz="0" w:space="0" w:color="auto"/>
            <w:bottom w:val="none" w:sz="0" w:space="0" w:color="auto"/>
            <w:right w:val="none" w:sz="0" w:space="0" w:color="auto"/>
          </w:divBdr>
        </w:div>
        <w:div w:id="638998060">
          <w:marLeft w:val="480"/>
          <w:marRight w:val="0"/>
          <w:marTop w:val="0"/>
          <w:marBottom w:val="0"/>
          <w:divBdr>
            <w:top w:val="none" w:sz="0" w:space="0" w:color="auto"/>
            <w:left w:val="none" w:sz="0" w:space="0" w:color="auto"/>
            <w:bottom w:val="none" w:sz="0" w:space="0" w:color="auto"/>
            <w:right w:val="none" w:sz="0" w:space="0" w:color="auto"/>
          </w:divBdr>
        </w:div>
        <w:div w:id="1901792162">
          <w:marLeft w:val="480"/>
          <w:marRight w:val="0"/>
          <w:marTop w:val="0"/>
          <w:marBottom w:val="0"/>
          <w:divBdr>
            <w:top w:val="none" w:sz="0" w:space="0" w:color="auto"/>
            <w:left w:val="none" w:sz="0" w:space="0" w:color="auto"/>
            <w:bottom w:val="none" w:sz="0" w:space="0" w:color="auto"/>
            <w:right w:val="none" w:sz="0" w:space="0" w:color="auto"/>
          </w:divBdr>
        </w:div>
        <w:div w:id="1659964754">
          <w:marLeft w:val="480"/>
          <w:marRight w:val="0"/>
          <w:marTop w:val="0"/>
          <w:marBottom w:val="0"/>
          <w:divBdr>
            <w:top w:val="none" w:sz="0" w:space="0" w:color="auto"/>
            <w:left w:val="none" w:sz="0" w:space="0" w:color="auto"/>
            <w:bottom w:val="none" w:sz="0" w:space="0" w:color="auto"/>
            <w:right w:val="none" w:sz="0" w:space="0" w:color="auto"/>
          </w:divBdr>
        </w:div>
        <w:div w:id="179855524">
          <w:marLeft w:val="480"/>
          <w:marRight w:val="0"/>
          <w:marTop w:val="0"/>
          <w:marBottom w:val="0"/>
          <w:divBdr>
            <w:top w:val="none" w:sz="0" w:space="0" w:color="auto"/>
            <w:left w:val="none" w:sz="0" w:space="0" w:color="auto"/>
            <w:bottom w:val="none" w:sz="0" w:space="0" w:color="auto"/>
            <w:right w:val="none" w:sz="0" w:space="0" w:color="auto"/>
          </w:divBdr>
        </w:div>
        <w:div w:id="153107142">
          <w:marLeft w:val="480"/>
          <w:marRight w:val="0"/>
          <w:marTop w:val="0"/>
          <w:marBottom w:val="0"/>
          <w:divBdr>
            <w:top w:val="none" w:sz="0" w:space="0" w:color="auto"/>
            <w:left w:val="none" w:sz="0" w:space="0" w:color="auto"/>
            <w:bottom w:val="none" w:sz="0" w:space="0" w:color="auto"/>
            <w:right w:val="none" w:sz="0" w:space="0" w:color="auto"/>
          </w:divBdr>
        </w:div>
        <w:div w:id="1403336131">
          <w:marLeft w:val="480"/>
          <w:marRight w:val="0"/>
          <w:marTop w:val="0"/>
          <w:marBottom w:val="0"/>
          <w:divBdr>
            <w:top w:val="none" w:sz="0" w:space="0" w:color="auto"/>
            <w:left w:val="none" w:sz="0" w:space="0" w:color="auto"/>
            <w:bottom w:val="none" w:sz="0" w:space="0" w:color="auto"/>
            <w:right w:val="none" w:sz="0" w:space="0" w:color="auto"/>
          </w:divBdr>
        </w:div>
        <w:div w:id="11609902">
          <w:marLeft w:val="480"/>
          <w:marRight w:val="0"/>
          <w:marTop w:val="0"/>
          <w:marBottom w:val="0"/>
          <w:divBdr>
            <w:top w:val="none" w:sz="0" w:space="0" w:color="auto"/>
            <w:left w:val="none" w:sz="0" w:space="0" w:color="auto"/>
            <w:bottom w:val="none" w:sz="0" w:space="0" w:color="auto"/>
            <w:right w:val="none" w:sz="0" w:space="0" w:color="auto"/>
          </w:divBdr>
        </w:div>
        <w:div w:id="699666554">
          <w:marLeft w:val="480"/>
          <w:marRight w:val="0"/>
          <w:marTop w:val="0"/>
          <w:marBottom w:val="0"/>
          <w:divBdr>
            <w:top w:val="none" w:sz="0" w:space="0" w:color="auto"/>
            <w:left w:val="none" w:sz="0" w:space="0" w:color="auto"/>
            <w:bottom w:val="none" w:sz="0" w:space="0" w:color="auto"/>
            <w:right w:val="none" w:sz="0" w:space="0" w:color="auto"/>
          </w:divBdr>
        </w:div>
        <w:div w:id="614799783">
          <w:marLeft w:val="480"/>
          <w:marRight w:val="0"/>
          <w:marTop w:val="0"/>
          <w:marBottom w:val="0"/>
          <w:divBdr>
            <w:top w:val="none" w:sz="0" w:space="0" w:color="auto"/>
            <w:left w:val="none" w:sz="0" w:space="0" w:color="auto"/>
            <w:bottom w:val="none" w:sz="0" w:space="0" w:color="auto"/>
            <w:right w:val="none" w:sz="0" w:space="0" w:color="auto"/>
          </w:divBdr>
        </w:div>
        <w:div w:id="588781868">
          <w:marLeft w:val="480"/>
          <w:marRight w:val="0"/>
          <w:marTop w:val="0"/>
          <w:marBottom w:val="0"/>
          <w:divBdr>
            <w:top w:val="none" w:sz="0" w:space="0" w:color="auto"/>
            <w:left w:val="none" w:sz="0" w:space="0" w:color="auto"/>
            <w:bottom w:val="none" w:sz="0" w:space="0" w:color="auto"/>
            <w:right w:val="none" w:sz="0" w:space="0" w:color="auto"/>
          </w:divBdr>
        </w:div>
        <w:div w:id="718281840">
          <w:marLeft w:val="480"/>
          <w:marRight w:val="0"/>
          <w:marTop w:val="0"/>
          <w:marBottom w:val="0"/>
          <w:divBdr>
            <w:top w:val="none" w:sz="0" w:space="0" w:color="auto"/>
            <w:left w:val="none" w:sz="0" w:space="0" w:color="auto"/>
            <w:bottom w:val="none" w:sz="0" w:space="0" w:color="auto"/>
            <w:right w:val="none" w:sz="0" w:space="0" w:color="auto"/>
          </w:divBdr>
        </w:div>
        <w:div w:id="2060393250">
          <w:marLeft w:val="480"/>
          <w:marRight w:val="0"/>
          <w:marTop w:val="0"/>
          <w:marBottom w:val="0"/>
          <w:divBdr>
            <w:top w:val="none" w:sz="0" w:space="0" w:color="auto"/>
            <w:left w:val="none" w:sz="0" w:space="0" w:color="auto"/>
            <w:bottom w:val="none" w:sz="0" w:space="0" w:color="auto"/>
            <w:right w:val="none" w:sz="0" w:space="0" w:color="auto"/>
          </w:divBdr>
        </w:div>
        <w:div w:id="1845974328">
          <w:marLeft w:val="480"/>
          <w:marRight w:val="0"/>
          <w:marTop w:val="0"/>
          <w:marBottom w:val="0"/>
          <w:divBdr>
            <w:top w:val="none" w:sz="0" w:space="0" w:color="auto"/>
            <w:left w:val="none" w:sz="0" w:space="0" w:color="auto"/>
            <w:bottom w:val="none" w:sz="0" w:space="0" w:color="auto"/>
            <w:right w:val="none" w:sz="0" w:space="0" w:color="auto"/>
          </w:divBdr>
        </w:div>
        <w:div w:id="1875734100">
          <w:marLeft w:val="480"/>
          <w:marRight w:val="0"/>
          <w:marTop w:val="0"/>
          <w:marBottom w:val="0"/>
          <w:divBdr>
            <w:top w:val="none" w:sz="0" w:space="0" w:color="auto"/>
            <w:left w:val="none" w:sz="0" w:space="0" w:color="auto"/>
            <w:bottom w:val="none" w:sz="0" w:space="0" w:color="auto"/>
            <w:right w:val="none" w:sz="0" w:space="0" w:color="auto"/>
          </w:divBdr>
        </w:div>
        <w:div w:id="700324708">
          <w:marLeft w:val="480"/>
          <w:marRight w:val="0"/>
          <w:marTop w:val="0"/>
          <w:marBottom w:val="0"/>
          <w:divBdr>
            <w:top w:val="none" w:sz="0" w:space="0" w:color="auto"/>
            <w:left w:val="none" w:sz="0" w:space="0" w:color="auto"/>
            <w:bottom w:val="none" w:sz="0" w:space="0" w:color="auto"/>
            <w:right w:val="none" w:sz="0" w:space="0" w:color="auto"/>
          </w:divBdr>
        </w:div>
        <w:div w:id="1839732588">
          <w:marLeft w:val="480"/>
          <w:marRight w:val="0"/>
          <w:marTop w:val="0"/>
          <w:marBottom w:val="0"/>
          <w:divBdr>
            <w:top w:val="none" w:sz="0" w:space="0" w:color="auto"/>
            <w:left w:val="none" w:sz="0" w:space="0" w:color="auto"/>
            <w:bottom w:val="none" w:sz="0" w:space="0" w:color="auto"/>
            <w:right w:val="none" w:sz="0" w:space="0" w:color="auto"/>
          </w:divBdr>
        </w:div>
        <w:div w:id="151795817">
          <w:marLeft w:val="480"/>
          <w:marRight w:val="0"/>
          <w:marTop w:val="0"/>
          <w:marBottom w:val="0"/>
          <w:divBdr>
            <w:top w:val="none" w:sz="0" w:space="0" w:color="auto"/>
            <w:left w:val="none" w:sz="0" w:space="0" w:color="auto"/>
            <w:bottom w:val="none" w:sz="0" w:space="0" w:color="auto"/>
            <w:right w:val="none" w:sz="0" w:space="0" w:color="auto"/>
          </w:divBdr>
        </w:div>
        <w:div w:id="497773376">
          <w:marLeft w:val="480"/>
          <w:marRight w:val="0"/>
          <w:marTop w:val="0"/>
          <w:marBottom w:val="0"/>
          <w:divBdr>
            <w:top w:val="none" w:sz="0" w:space="0" w:color="auto"/>
            <w:left w:val="none" w:sz="0" w:space="0" w:color="auto"/>
            <w:bottom w:val="none" w:sz="0" w:space="0" w:color="auto"/>
            <w:right w:val="none" w:sz="0" w:space="0" w:color="auto"/>
          </w:divBdr>
        </w:div>
        <w:div w:id="544874021">
          <w:marLeft w:val="480"/>
          <w:marRight w:val="0"/>
          <w:marTop w:val="0"/>
          <w:marBottom w:val="0"/>
          <w:divBdr>
            <w:top w:val="none" w:sz="0" w:space="0" w:color="auto"/>
            <w:left w:val="none" w:sz="0" w:space="0" w:color="auto"/>
            <w:bottom w:val="none" w:sz="0" w:space="0" w:color="auto"/>
            <w:right w:val="none" w:sz="0" w:space="0" w:color="auto"/>
          </w:divBdr>
        </w:div>
        <w:div w:id="2142574091">
          <w:marLeft w:val="480"/>
          <w:marRight w:val="0"/>
          <w:marTop w:val="0"/>
          <w:marBottom w:val="0"/>
          <w:divBdr>
            <w:top w:val="none" w:sz="0" w:space="0" w:color="auto"/>
            <w:left w:val="none" w:sz="0" w:space="0" w:color="auto"/>
            <w:bottom w:val="none" w:sz="0" w:space="0" w:color="auto"/>
            <w:right w:val="none" w:sz="0" w:space="0" w:color="auto"/>
          </w:divBdr>
        </w:div>
        <w:div w:id="1148015440">
          <w:marLeft w:val="480"/>
          <w:marRight w:val="0"/>
          <w:marTop w:val="0"/>
          <w:marBottom w:val="0"/>
          <w:divBdr>
            <w:top w:val="none" w:sz="0" w:space="0" w:color="auto"/>
            <w:left w:val="none" w:sz="0" w:space="0" w:color="auto"/>
            <w:bottom w:val="none" w:sz="0" w:space="0" w:color="auto"/>
            <w:right w:val="none" w:sz="0" w:space="0" w:color="auto"/>
          </w:divBdr>
        </w:div>
        <w:div w:id="1263344544">
          <w:marLeft w:val="480"/>
          <w:marRight w:val="0"/>
          <w:marTop w:val="0"/>
          <w:marBottom w:val="0"/>
          <w:divBdr>
            <w:top w:val="none" w:sz="0" w:space="0" w:color="auto"/>
            <w:left w:val="none" w:sz="0" w:space="0" w:color="auto"/>
            <w:bottom w:val="none" w:sz="0" w:space="0" w:color="auto"/>
            <w:right w:val="none" w:sz="0" w:space="0" w:color="auto"/>
          </w:divBdr>
        </w:div>
        <w:div w:id="1201820038">
          <w:marLeft w:val="480"/>
          <w:marRight w:val="0"/>
          <w:marTop w:val="0"/>
          <w:marBottom w:val="0"/>
          <w:divBdr>
            <w:top w:val="none" w:sz="0" w:space="0" w:color="auto"/>
            <w:left w:val="none" w:sz="0" w:space="0" w:color="auto"/>
            <w:bottom w:val="none" w:sz="0" w:space="0" w:color="auto"/>
            <w:right w:val="none" w:sz="0" w:space="0" w:color="auto"/>
          </w:divBdr>
        </w:div>
        <w:div w:id="361707417">
          <w:marLeft w:val="480"/>
          <w:marRight w:val="0"/>
          <w:marTop w:val="0"/>
          <w:marBottom w:val="0"/>
          <w:divBdr>
            <w:top w:val="none" w:sz="0" w:space="0" w:color="auto"/>
            <w:left w:val="none" w:sz="0" w:space="0" w:color="auto"/>
            <w:bottom w:val="none" w:sz="0" w:space="0" w:color="auto"/>
            <w:right w:val="none" w:sz="0" w:space="0" w:color="auto"/>
          </w:divBdr>
        </w:div>
        <w:div w:id="2001497488">
          <w:marLeft w:val="480"/>
          <w:marRight w:val="0"/>
          <w:marTop w:val="0"/>
          <w:marBottom w:val="0"/>
          <w:divBdr>
            <w:top w:val="none" w:sz="0" w:space="0" w:color="auto"/>
            <w:left w:val="none" w:sz="0" w:space="0" w:color="auto"/>
            <w:bottom w:val="none" w:sz="0" w:space="0" w:color="auto"/>
            <w:right w:val="none" w:sz="0" w:space="0" w:color="auto"/>
          </w:divBdr>
        </w:div>
        <w:div w:id="1517042346">
          <w:marLeft w:val="480"/>
          <w:marRight w:val="0"/>
          <w:marTop w:val="0"/>
          <w:marBottom w:val="0"/>
          <w:divBdr>
            <w:top w:val="none" w:sz="0" w:space="0" w:color="auto"/>
            <w:left w:val="none" w:sz="0" w:space="0" w:color="auto"/>
            <w:bottom w:val="none" w:sz="0" w:space="0" w:color="auto"/>
            <w:right w:val="none" w:sz="0" w:space="0" w:color="auto"/>
          </w:divBdr>
        </w:div>
        <w:div w:id="348872227">
          <w:marLeft w:val="480"/>
          <w:marRight w:val="0"/>
          <w:marTop w:val="0"/>
          <w:marBottom w:val="0"/>
          <w:divBdr>
            <w:top w:val="none" w:sz="0" w:space="0" w:color="auto"/>
            <w:left w:val="none" w:sz="0" w:space="0" w:color="auto"/>
            <w:bottom w:val="none" w:sz="0" w:space="0" w:color="auto"/>
            <w:right w:val="none" w:sz="0" w:space="0" w:color="auto"/>
          </w:divBdr>
        </w:div>
        <w:div w:id="97869467">
          <w:marLeft w:val="480"/>
          <w:marRight w:val="0"/>
          <w:marTop w:val="0"/>
          <w:marBottom w:val="0"/>
          <w:divBdr>
            <w:top w:val="none" w:sz="0" w:space="0" w:color="auto"/>
            <w:left w:val="none" w:sz="0" w:space="0" w:color="auto"/>
            <w:bottom w:val="none" w:sz="0" w:space="0" w:color="auto"/>
            <w:right w:val="none" w:sz="0" w:space="0" w:color="auto"/>
          </w:divBdr>
        </w:div>
        <w:div w:id="368919339">
          <w:marLeft w:val="480"/>
          <w:marRight w:val="0"/>
          <w:marTop w:val="0"/>
          <w:marBottom w:val="0"/>
          <w:divBdr>
            <w:top w:val="none" w:sz="0" w:space="0" w:color="auto"/>
            <w:left w:val="none" w:sz="0" w:space="0" w:color="auto"/>
            <w:bottom w:val="none" w:sz="0" w:space="0" w:color="auto"/>
            <w:right w:val="none" w:sz="0" w:space="0" w:color="auto"/>
          </w:divBdr>
        </w:div>
        <w:div w:id="1552306714">
          <w:marLeft w:val="480"/>
          <w:marRight w:val="0"/>
          <w:marTop w:val="0"/>
          <w:marBottom w:val="0"/>
          <w:divBdr>
            <w:top w:val="none" w:sz="0" w:space="0" w:color="auto"/>
            <w:left w:val="none" w:sz="0" w:space="0" w:color="auto"/>
            <w:bottom w:val="none" w:sz="0" w:space="0" w:color="auto"/>
            <w:right w:val="none" w:sz="0" w:space="0" w:color="auto"/>
          </w:divBdr>
        </w:div>
        <w:div w:id="1322613425">
          <w:marLeft w:val="480"/>
          <w:marRight w:val="0"/>
          <w:marTop w:val="0"/>
          <w:marBottom w:val="0"/>
          <w:divBdr>
            <w:top w:val="none" w:sz="0" w:space="0" w:color="auto"/>
            <w:left w:val="none" w:sz="0" w:space="0" w:color="auto"/>
            <w:bottom w:val="none" w:sz="0" w:space="0" w:color="auto"/>
            <w:right w:val="none" w:sz="0" w:space="0" w:color="auto"/>
          </w:divBdr>
        </w:div>
        <w:div w:id="123429653">
          <w:marLeft w:val="480"/>
          <w:marRight w:val="0"/>
          <w:marTop w:val="0"/>
          <w:marBottom w:val="0"/>
          <w:divBdr>
            <w:top w:val="none" w:sz="0" w:space="0" w:color="auto"/>
            <w:left w:val="none" w:sz="0" w:space="0" w:color="auto"/>
            <w:bottom w:val="none" w:sz="0" w:space="0" w:color="auto"/>
            <w:right w:val="none" w:sz="0" w:space="0" w:color="auto"/>
          </w:divBdr>
        </w:div>
        <w:div w:id="1254162595">
          <w:marLeft w:val="480"/>
          <w:marRight w:val="0"/>
          <w:marTop w:val="0"/>
          <w:marBottom w:val="0"/>
          <w:divBdr>
            <w:top w:val="none" w:sz="0" w:space="0" w:color="auto"/>
            <w:left w:val="none" w:sz="0" w:space="0" w:color="auto"/>
            <w:bottom w:val="none" w:sz="0" w:space="0" w:color="auto"/>
            <w:right w:val="none" w:sz="0" w:space="0" w:color="auto"/>
          </w:divBdr>
        </w:div>
        <w:div w:id="1736972919">
          <w:marLeft w:val="480"/>
          <w:marRight w:val="0"/>
          <w:marTop w:val="0"/>
          <w:marBottom w:val="0"/>
          <w:divBdr>
            <w:top w:val="none" w:sz="0" w:space="0" w:color="auto"/>
            <w:left w:val="none" w:sz="0" w:space="0" w:color="auto"/>
            <w:bottom w:val="none" w:sz="0" w:space="0" w:color="auto"/>
            <w:right w:val="none" w:sz="0" w:space="0" w:color="auto"/>
          </w:divBdr>
        </w:div>
        <w:div w:id="1348825308">
          <w:marLeft w:val="480"/>
          <w:marRight w:val="0"/>
          <w:marTop w:val="0"/>
          <w:marBottom w:val="0"/>
          <w:divBdr>
            <w:top w:val="none" w:sz="0" w:space="0" w:color="auto"/>
            <w:left w:val="none" w:sz="0" w:space="0" w:color="auto"/>
            <w:bottom w:val="none" w:sz="0" w:space="0" w:color="auto"/>
            <w:right w:val="none" w:sz="0" w:space="0" w:color="auto"/>
          </w:divBdr>
        </w:div>
        <w:div w:id="1358772184">
          <w:marLeft w:val="480"/>
          <w:marRight w:val="0"/>
          <w:marTop w:val="0"/>
          <w:marBottom w:val="0"/>
          <w:divBdr>
            <w:top w:val="none" w:sz="0" w:space="0" w:color="auto"/>
            <w:left w:val="none" w:sz="0" w:space="0" w:color="auto"/>
            <w:bottom w:val="none" w:sz="0" w:space="0" w:color="auto"/>
            <w:right w:val="none" w:sz="0" w:space="0" w:color="auto"/>
          </w:divBdr>
        </w:div>
        <w:div w:id="1904952278">
          <w:marLeft w:val="480"/>
          <w:marRight w:val="0"/>
          <w:marTop w:val="0"/>
          <w:marBottom w:val="0"/>
          <w:divBdr>
            <w:top w:val="none" w:sz="0" w:space="0" w:color="auto"/>
            <w:left w:val="none" w:sz="0" w:space="0" w:color="auto"/>
            <w:bottom w:val="none" w:sz="0" w:space="0" w:color="auto"/>
            <w:right w:val="none" w:sz="0" w:space="0" w:color="auto"/>
          </w:divBdr>
        </w:div>
        <w:div w:id="378282374">
          <w:marLeft w:val="480"/>
          <w:marRight w:val="0"/>
          <w:marTop w:val="0"/>
          <w:marBottom w:val="0"/>
          <w:divBdr>
            <w:top w:val="none" w:sz="0" w:space="0" w:color="auto"/>
            <w:left w:val="none" w:sz="0" w:space="0" w:color="auto"/>
            <w:bottom w:val="none" w:sz="0" w:space="0" w:color="auto"/>
            <w:right w:val="none" w:sz="0" w:space="0" w:color="auto"/>
          </w:divBdr>
        </w:div>
      </w:divsChild>
    </w:div>
    <w:div w:id="748693805">
      <w:bodyDiv w:val="1"/>
      <w:marLeft w:val="0"/>
      <w:marRight w:val="0"/>
      <w:marTop w:val="0"/>
      <w:marBottom w:val="0"/>
      <w:divBdr>
        <w:top w:val="none" w:sz="0" w:space="0" w:color="auto"/>
        <w:left w:val="none" w:sz="0" w:space="0" w:color="auto"/>
        <w:bottom w:val="none" w:sz="0" w:space="0" w:color="auto"/>
        <w:right w:val="none" w:sz="0" w:space="0" w:color="auto"/>
      </w:divBdr>
    </w:div>
    <w:div w:id="749161448">
      <w:bodyDiv w:val="1"/>
      <w:marLeft w:val="0"/>
      <w:marRight w:val="0"/>
      <w:marTop w:val="0"/>
      <w:marBottom w:val="0"/>
      <w:divBdr>
        <w:top w:val="none" w:sz="0" w:space="0" w:color="auto"/>
        <w:left w:val="none" w:sz="0" w:space="0" w:color="auto"/>
        <w:bottom w:val="none" w:sz="0" w:space="0" w:color="auto"/>
        <w:right w:val="none" w:sz="0" w:space="0" w:color="auto"/>
      </w:divBdr>
    </w:div>
    <w:div w:id="762068050">
      <w:bodyDiv w:val="1"/>
      <w:marLeft w:val="0"/>
      <w:marRight w:val="0"/>
      <w:marTop w:val="0"/>
      <w:marBottom w:val="0"/>
      <w:divBdr>
        <w:top w:val="none" w:sz="0" w:space="0" w:color="auto"/>
        <w:left w:val="none" w:sz="0" w:space="0" w:color="auto"/>
        <w:bottom w:val="none" w:sz="0" w:space="0" w:color="auto"/>
        <w:right w:val="none" w:sz="0" w:space="0" w:color="auto"/>
      </w:divBdr>
    </w:div>
    <w:div w:id="771509900">
      <w:bodyDiv w:val="1"/>
      <w:marLeft w:val="0"/>
      <w:marRight w:val="0"/>
      <w:marTop w:val="0"/>
      <w:marBottom w:val="0"/>
      <w:divBdr>
        <w:top w:val="none" w:sz="0" w:space="0" w:color="auto"/>
        <w:left w:val="none" w:sz="0" w:space="0" w:color="auto"/>
        <w:bottom w:val="none" w:sz="0" w:space="0" w:color="auto"/>
        <w:right w:val="none" w:sz="0" w:space="0" w:color="auto"/>
      </w:divBdr>
    </w:div>
    <w:div w:id="773479625">
      <w:bodyDiv w:val="1"/>
      <w:marLeft w:val="0"/>
      <w:marRight w:val="0"/>
      <w:marTop w:val="0"/>
      <w:marBottom w:val="0"/>
      <w:divBdr>
        <w:top w:val="none" w:sz="0" w:space="0" w:color="auto"/>
        <w:left w:val="none" w:sz="0" w:space="0" w:color="auto"/>
        <w:bottom w:val="none" w:sz="0" w:space="0" w:color="auto"/>
        <w:right w:val="none" w:sz="0" w:space="0" w:color="auto"/>
      </w:divBdr>
    </w:div>
    <w:div w:id="774399488">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783118280">
      <w:bodyDiv w:val="1"/>
      <w:marLeft w:val="0"/>
      <w:marRight w:val="0"/>
      <w:marTop w:val="0"/>
      <w:marBottom w:val="0"/>
      <w:divBdr>
        <w:top w:val="none" w:sz="0" w:space="0" w:color="auto"/>
        <w:left w:val="none" w:sz="0" w:space="0" w:color="auto"/>
        <w:bottom w:val="none" w:sz="0" w:space="0" w:color="auto"/>
        <w:right w:val="none" w:sz="0" w:space="0" w:color="auto"/>
      </w:divBdr>
    </w:div>
    <w:div w:id="785008651">
      <w:bodyDiv w:val="1"/>
      <w:marLeft w:val="0"/>
      <w:marRight w:val="0"/>
      <w:marTop w:val="0"/>
      <w:marBottom w:val="0"/>
      <w:divBdr>
        <w:top w:val="none" w:sz="0" w:space="0" w:color="auto"/>
        <w:left w:val="none" w:sz="0" w:space="0" w:color="auto"/>
        <w:bottom w:val="none" w:sz="0" w:space="0" w:color="auto"/>
        <w:right w:val="none" w:sz="0" w:space="0" w:color="auto"/>
      </w:divBdr>
    </w:div>
    <w:div w:id="787314957">
      <w:bodyDiv w:val="1"/>
      <w:marLeft w:val="0"/>
      <w:marRight w:val="0"/>
      <w:marTop w:val="0"/>
      <w:marBottom w:val="0"/>
      <w:divBdr>
        <w:top w:val="none" w:sz="0" w:space="0" w:color="auto"/>
        <w:left w:val="none" w:sz="0" w:space="0" w:color="auto"/>
        <w:bottom w:val="none" w:sz="0" w:space="0" w:color="auto"/>
        <w:right w:val="none" w:sz="0" w:space="0" w:color="auto"/>
      </w:divBdr>
    </w:div>
    <w:div w:id="789209090">
      <w:bodyDiv w:val="1"/>
      <w:marLeft w:val="0"/>
      <w:marRight w:val="0"/>
      <w:marTop w:val="0"/>
      <w:marBottom w:val="0"/>
      <w:divBdr>
        <w:top w:val="none" w:sz="0" w:space="0" w:color="auto"/>
        <w:left w:val="none" w:sz="0" w:space="0" w:color="auto"/>
        <w:bottom w:val="none" w:sz="0" w:space="0" w:color="auto"/>
        <w:right w:val="none" w:sz="0" w:space="0" w:color="auto"/>
      </w:divBdr>
    </w:div>
    <w:div w:id="791899936">
      <w:bodyDiv w:val="1"/>
      <w:marLeft w:val="0"/>
      <w:marRight w:val="0"/>
      <w:marTop w:val="0"/>
      <w:marBottom w:val="0"/>
      <w:divBdr>
        <w:top w:val="none" w:sz="0" w:space="0" w:color="auto"/>
        <w:left w:val="none" w:sz="0" w:space="0" w:color="auto"/>
        <w:bottom w:val="none" w:sz="0" w:space="0" w:color="auto"/>
        <w:right w:val="none" w:sz="0" w:space="0" w:color="auto"/>
      </w:divBdr>
    </w:div>
    <w:div w:id="792207971">
      <w:bodyDiv w:val="1"/>
      <w:marLeft w:val="0"/>
      <w:marRight w:val="0"/>
      <w:marTop w:val="0"/>
      <w:marBottom w:val="0"/>
      <w:divBdr>
        <w:top w:val="none" w:sz="0" w:space="0" w:color="auto"/>
        <w:left w:val="none" w:sz="0" w:space="0" w:color="auto"/>
        <w:bottom w:val="none" w:sz="0" w:space="0" w:color="auto"/>
        <w:right w:val="none" w:sz="0" w:space="0" w:color="auto"/>
      </w:divBdr>
    </w:div>
    <w:div w:id="798382098">
      <w:bodyDiv w:val="1"/>
      <w:marLeft w:val="0"/>
      <w:marRight w:val="0"/>
      <w:marTop w:val="0"/>
      <w:marBottom w:val="0"/>
      <w:divBdr>
        <w:top w:val="none" w:sz="0" w:space="0" w:color="auto"/>
        <w:left w:val="none" w:sz="0" w:space="0" w:color="auto"/>
        <w:bottom w:val="none" w:sz="0" w:space="0" w:color="auto"/>
        <w:right w:val="none" w:sz="0" w:space="0" w:color="auto"/>
      </w:divBdr>
    </w:div>
    <w:div w:id="800541544">
      <w:bodyDiv w:val="1"/>
      <w:marLeft w:val="0"/>
      <w:marRight w:val="0"/>
      <w:marTop w:val="0"/>
      <w:marBottom w:val="0"/>
      <w:divBdr>
        <w:top w:val="none" w:sz="0" w:space="0" w:color="auto"/>
        <w:left w:val="none" w:sz="0" w:space="0" w:color="auto"/>
        <w:bottom w:val="none" w:sz="0" w:space="0" w:color="auto"/>
        <w:right w:val="none" w:sz="0" w:space="0" w:color="auto"/>
      </w:divBdr>
    </w:div>
    <w:div w:id="800805961">
      <w:bodyDiv w:val="1"/>
      <w:marLeft w:val="0"/>
      <w:marRight w:val="0"/>
      <w:marTop w:val="0"/>
      <w:marBottom w:val="0"/>
      <w:divBdr>
        <w:top w:val="none" w:sz="0" w:space="0" w:color="auto"/>
        <w:left w:val="none" w:sz="0" w:space="0" w:color="auto"/>
        <w:bottom w:val="none" w:sz="0" w:space="0" w:color="auto"/>
        <w:right w:val="none" w:sz="0" w:space="0" w:color="auto"/>
      </w:divBdr>
    </w:div>
    <w:div w:id="804002455">
      <w:bodyDiv w:val="1"/>
      <w:marLeft w:val="0"/>
      <w:marRight w:val="0"/>
      <w:marTop w:val="0"/>
      <w:marBottom w:val="0"/>
      <w:divBdr>
        <w:top w:val="none" w:sz="0" w:space="0" w:color="auto"/>
        <w:left w:val="none" w:sz="0" w:space="0" w:color="auto"/>
        <w:bottom w:val="none" w:sz="0" w:space="0" w:color="auto"/>
        <w:right w:val="none" w:sz="0" w:space="0" w:color="auto"/>
      </w:divBdr>
    </w:div>
    <w:div w:id="804589332">
      <w:bodyDiv w:val="1"/>
      <w:marLeft w:val="0"/>
      <w:marRight w:val="0"/>
      <w:marTop w:val="0"/>
      <w:marBottom w:val="0"/>
      <w:divBdr>
        <w:top w:val="none" w:sz="0" w:space="0" w:color="auto"/>
        <w:left w:val="none" w:sz="0" w:space="0" w:color="auto"/>
        <w:bottom w:val="none" w:sz="0" w:space="0" w:color="auto"/>
        <w:right w:val="none" w:sz="0" w:space="0" w:color="auto"/>
      </w:divBdr>
    </w:div>
    <w:div w:id="805396383">
      <w:bodyDiv w:val="1"/>
      <w:marLeft w:val="0"/>
      <w:marRight w:val="0"/>
      <w:marTop w:val="0"/>
      <w:marBottom w:val="0"/>
      <w:divBdr>
        <w:top w:val="none" w:sz="0" w:space="0" w:color="auto"/>
        <w:left w:val="none" w:sz="0" w:space="0" w:color="auto"/>
        <w:bottom w:val="none" w:sz="0" w:space="0" w:color="auto"/>
        <w:right w:val="none" w:sz="0" w:space="0" w:color="auto"/>
      </w:divBdr>
    </w:div>
    <w:div w:id="805437882">
      <w:bodyDiv w:val="1"/>
      <w:marLeft w:val="0"/>
      <w:marRight w:val="0"/>
      <w:marTop w:val="0"/>
      <w:marBottom w:val="0"/>
      <w:divBdr>
        <w:top w:val="none" w:sz="0" w:space="0" w:color="auto"/>
        <w:left w:val="none" w:sz="0" w:space="0" w:color="auto"/>
        <w:bottom w:val="none" w:sz="0" w:space="0" w:color="auto"/>
        <w:right w:val="none" w:sz="0" w:space="0" w:color="auto"/>
      </w:divBdr>
    </w:div>
    <w:div w:id="805707931">
      <w:bodyDiv w:val="1"/>
      <w:marLeft w:val="0"/>
      <w:marRight w:val="0"/>
      <w:marTop w:val="0"/>
      <w:marBottom w:val="0"/>
      <w:divBdr>
        <w:top w:val="none" w:sz="0" w:space="0" w:color="auto"/>
        <w:left w:val="none" w:sz="0" w:space="0" w:color="auto"/>
        <w:bottom w:val="none" w:sz="0" w:space="0" w:color="auto"/>
        <w:right w:val="none" w:sz="0" w:space="0" w:color="auto"/>
      </w:divBdr>
    </w:div>
    <w:div w:id="806750065">
      <w:bodyDiv w:val="1"/>
      <w:marLeft w:val="0"/>
      <w:marRight w:val="0"/>
      <w:marTop w:val="0"/>
      <w:marBottom w:val="0"/>
      <w:divBdr>
        <w:top w:val="none" w:sz="0" w:space="0" w:color="auto"/>
        <w:left w:val="none" w:sz="0" w:space="0" w:color="auto"/>
        <w:bottom w:val="none" w:sz="0" w:space="0" w:color="auto"/>
        <w:right w:val="none" w:sz="0" w:space="0" w:color="auto"/>
      </w:divBdr>
    </w:div>
    <w:div w:id="807866853">
      <w:bodyDiv w:val="1"/>
      <w:marLeft w:val="0"/>
      <w:marRight w:val="0"/>
      <w:marTop w:val="0"/>
      <w:marBottom w:val="0"/>
      <w:divBdr>
        <w:top w:val="none" w:sz="0" w:space="0" w:color="auto"/>
        <w:left w:val="none" w:sz="0" w:space="0" w:color="auto"/>
        <w:bottom w:val="none" w:sz="0" w:space="0" w:color="auto"/>
        <w:right w:val="none" w:sz="0" w:space="0" w:color="auto"/>
      </w:divBdr>
    </w:div>
    <w:div w:id="810365596">
      <w:bodyDiv w:val="1"/>
      <w:marLeft w:val="0"/>
      <w:marRight w:val="0"/>
      <w:marTop w:val="0"/>
      <w:marBottom w:val="0"/>
      <w:divBdr>
        <w:top w:val="none" w:sz="0" w:space="0" w:color="auto"/>
        <w:left w:val="none" w:sz="0" w:space="0" w:color="auto"/>
        <w:bottom w:val="none" w:sz="0" w:space="0" w:color="auto"/>
        <w:right w:val="none" w:sz="0" w:space="0" w:color="auto"/>
      </w:divBdr>
    </w:div>
    <w:div w:id="810556184">
      <w:bodyDiv w:val="1"/>
      <w:marLeft w:val="0"/>
      <w:marRight w:val="0"/>
      <w:marTop w:val="0"/>
      <w:marBottom w:val="0"/>
      <w:divBdr>
        <w:top w:val="none" w:sz="0" w:space="0" w:color="auto"/>
        <w:left w:val="none" w:sz="0" w:space="0" w:color="auto"/>
        <w:bottom w:val="none" w:sz="0" w:space="0" w:color="auto"/>
        <w:right w:val="none" w:sz="0" w:space="0" w:color="auto"/>
      </w:divBdr>
    </w:div>
    <w:div w:id="815952807">
      <w:bodyDiv w:val="1"/>
      <w:marLeft w:val="0"/>
      <w:marRight w:val="0"/>
      <w:marTop w:val="0"/>
      <w:marBottom w:val="0"/>
      <w:divBdr>
        <w:top w:val="none" w:sz="0" w:space="0" w:color="auto"/>
        <w:left w:val="none" w:sz="0" w:space="0" w:color="auto"/>
        <w:bottom w:val="none" w:sz="0" w:space="0" w:color="auto"/>
        <w:right w:val="none" w:sz="0" w:space="0" w:color="auto"/>
      </w:divBdr>
    </w:div>
    <w:div w:id="817184505">
      <w:bodyDiv w:val="1"/>
      <w:marLeft w:val="0"/>
      <w:marRight w:val="0"/>
      <w:marTop w:val="0"/>
      <w:marBottom w:val="0"/>
      <w:divBdr>
        <w:top w:val="none" w:sz="0" w:space="0" w:color="auto"/>
        <w:left w:val="none" w:sz="0" w:space="0" w:color="auto"/>
        <w:bottom w:val="none" w:sz="0" w:space="0" w:color="auto"/>
        <w:right w:val="none" w:sz="0" w:space="0" w:color="auto"/>
      </w:divBdr>
    </w:div>
    <w:div w:id="818963805">
      <w:bodyDiv w:val="1"/>
      <w:marLeft w:val="0"/>
      <w:marRight w:val="0"/>
      <w:marTop w:val="0"/>
      <w:marBottom w:val="0"/>
      <w:divBdr>
        <w:top w:val="none" w:sz="0" w:space="0" w:color="auto"/>
        <w:left w:val="none" w:sz="0" w:space="0" w:color="auto"/>
        <w:bottom w:val="none" w:sz="0" w:space="0" w:color="auto"/>
        <w:right w:val="none" w:sz="0" w:space="0" w:color="auto"/>
      </w:divBdr>
    </w:div>
    <w:div w:id="819542860">
      <w:bodyDiv w:val="1"/>
      <w:marLeft w:val="0"/>
      <w:marRight w:val="0"/>
      <w:marTop w:val="0"/>
      <w:marBottom w:val="0"/>
      <w:divBdr>
        <w:top w:val="none" w:sz="0" w:space="0" w:color="auto"/>
        <w:left w:val="none" w:sz="0" w:space="0" w:color="auto"/>
        <w:bottom w:val="none" w:sz="0" w:space="0" w:color="auto"/>
        <w:right w:val="none" w:sz="0" w:space="0" w:color="auto"/>
      </w:divBdr>
    </w:div>
    <w:div w:id="820002984">
      <w:bodyDiv w:val="1"/>
      <w:marLeft w:val="0"/>
      <w:marRight w:val="0"/>
      <w:marTop w:val="0"/>
      <w:marBottom w:val="0"/>
      <w:divBdr>
        <w:top w:val="none" w:sz="0" w:space="0" w:color="auto"/>
        <w:left w:val="none" w:sz="0" w:space="0" w:color="auto"/>
        <w:bottom w:val="none" w:sz="0" w:space="0" w:color="auto"/>
        <w:right w:val="none" w:sz="0" w:space="0" w:color="auto"/>
      </w:divBdr>
    </w:div>
    <w:div w:id="821001254">
      <w:bodyDiv w:val="1"/>
      <w:marLeft w:val="0"/>
      <w:marRight w:val="0"/>
      <w:marTop w:val="0"/>
      <w:marBottom w:val="0"/>
      <w:divBdr>
        <w:top w:val="none" w:sz="0" w:space="0" w:color="auto"/>
        <w:left w:val="none" w:sz="0" w:space="0" w:color="auto"/>
        <w:bottom w:val="none" w:sz="0" w:space="0" w:color="auto"/>
        <w:right w:val="none" w:sz="0" w:space="0" w:color="auto"/>
      </w:divBdr>
    </w:div>
    <w:div w:id="821655498">
      <w:bodyDiv w:val="1"/>
      <w:marLeft w:val="0"/>
      <w:marRight w:val="0"/>
      <w:marTop w:val="0"/>
      <w:marBottom w:val="0"/>
      <w:divBdr>
        <w:top w:val="none" w:sz="0" w:space="0" w:color="auto"/>
        <w:left w:val="none" w:sz="0" w:space="0" w:color="auto"/>
        <w:bottom w:val="none" w:sz="0" w:space="0" w:color="auto"/>
        <w:right w:val="none" w:sz="0" w:space="0" w:color="auto"/>
      </w:divBdr>
    </w:div>
    <w:div w:id="821777853">
      <w:bodyDiv w:val="1"/>
      <w:marLeft w:val="0"/>
      <w:marRight w:val="0"/>
      <w:marTop w:val="0"/>
      <w:marBottom w:val="0"/>
      <w:divBdr>
        <w:top w:val="none" w:sz="0" w:space="0" w:color="auto"/>
        <w:left w:val="none" w:sz="0" w:space="0" w:color="auto"/>
        <w:bottom w:val="none" w:sz="0" w:space="0" w:color="auto"/>
        <w:right w:val="none" w:sz="0" w:space="0" w:color="auto"/>
      </w:divBdr>
    </w:div>
    <w:div w:id="822039474">
      <w:bodyDiv w:val="1"/>
      <w:marLeft w:val="0"/>
      <w:marRight w:val="0"/>
      <w:marTop w:val="0"/>
      <w:marBottom w:val="0"/>
      <w:divBdr>
        <w:top w:val="none" w:sz="0" w:space="0" w:color="auto"/>
        <w:left w:val="none" w:sz="0" w:space="0" w:color="auto"/>
        <w:bottom w:val="none" w:sz="0" w:space="0" w:color="auto"/>
        <w:right w:val="none" w:sz="0" w:space="0" w:color="auto"/>
      </w:divBdr>
    </w:div>
    <w:div w:id="822620593">
      <w:bodyDiv w:val="1"/>
      <w:marLeft w:val="0"/>
      <w:marRight w:val="0"/>
      <w:marTop w:val="0"/>
      <w:marBottom w:val="0"/>
      <w:divBdr>
        <w:top w:val="none" w:sz="0" w:space="0" w:color="auto"/>
        <w:left w:val="none" w:sz="0" w:space="0" w:color="auto"/>
        <w:bottom w:val="none" w:sz="0" w:space="0" w:color="auto"/>
        <w:right w:val="none" w:sz="0" w:space="0" w:color="auto"/>
      </w:divBdr>
    </w:div>
    <w:div w:id="822739474">
      <w:bodyDiv w:val="1"/>
      <w:marLeft w:val="0"/>
      <w:marRight w:val="0"/>
      <w:marTop w:val="0"/>
      <w:marBottom w:val="0"/>
      <w:divBdr>
        <w:top w:val="none" w:sz="0" w:space="0" w:color="auto"/>
        <w:left w:val="none" w:sz="0" w:space="0" w:color="auto"/>
        <w:bottom w:val="none" w:sz="0" w:space="0" w:color="auto"/>
        <w:right w:val="none" w:sz="0" w:space="0" w:color="auto"/>
      </w:divBdr>
    </w:div>
    <w:div w:id="827939954">
      <w:bodyDiv w:val="1"/>
      <w:marLeft w:val="0"/>
      <w:marRight w:val="0"/>
      <w:marTop w:val="0"/>
      <w:marBottom w:val="0"/>
      <w:divBdr>
        <w:top w:val="none" w:sz="0" w:space="0" w:color="auto"/>
        <w:left w:val="none" w:sz="0" w:space="0" w:color="auto"/>
        <w:bottom w:val="none" w:sz="0" w:space="0" w:color="auto"/>
        <w:right w:val="none" w:sz="0" w:space="0" w:color="auto"/>
      </w:divBdr>
    </w:div>
    <w:div w:id="836385840">
      <w:bodyDiv w:val="1"/>
      <w:marLeft w:val="0"/>
      <w:marRight w:val="0"/>
      <w:marTop w:val="0"/>
      <w:marBottom w:val="0"/>
      <w:divBdr>
        <w:top w:val="none" w:sz="0" w:space="0" w:color="auto"/>
        <w:left w:val="none" w:sz="0" w:space="0" w:color="auto"/>
        <w:bottom w:val="none" w:sz="0" w:space="0" w:color="auto"/>
        <w:right w:val="none" w:sz="0" w:space="0" w:color="auto"/>
      </w:divBdr>
    </w:div>
    <w:div w:id="837887677">
      <w:bodyDiv w:val="1"/>
      <w:marLeft w:val="0"/>
      <w:marRight w:val="0"/>
      <w:marTop w:val="0"/>
      <w:marBottom w:val="0"/>
      <w:divBdr>
        <w:top w:val="none" w:sz="0" w:space="0" w:color="auto"/>
        <w:left w:val="none" w:sz="0" w:space="0" w:color="auto"/>
        <w:bottom w:val="none" w:sz="0" w:space="0" w:color="auto"/>
        <w:right w:val="none" w:sz="0" w:space="0" w:color="auto"/>
      </w:divBdr>
    </w:div>
    <w:div w:id="838274933">
      <w:bodyDiv w:val="1"/>
      <w:marLeft w:val="0"/>
      <w:marRight w:val="0"/>
      <w:marTop w:val="0"/>
      <w:marBottom w:val="0"/>
      <w:divBdr>
        <w:top w:val="none" w:sz="0" w:space="0" w:color="auto"/>
        <w:left w:val="none" w:sz="0" w:space="0" w:color="auto"/>
        <w:bottom w:val="none" w:sz="0" w:space="0" w:color="auto"/>
        <w:right w:val="none" w:sz="0" w:space="0" w:color="auto"/>
      </w:divBdr>
    </w:div>
    <w:div w:id="838807898">
      <w:bodyDiv w:val="1"/>
      <w:marLeft w:val="0"/>
      <w:marRight w:val="0"/>
      <w:marTop w:val="0"/>
      <w:marBottom w:val="0"/>
      <w:divBdr>
        <w:top w:val="none" w:sz="0" w:space="0" w:color="auto"/>
        <w:left w:val="none" w:sz="0" w:space="0" w:color="auto"/>
        <w:bottom w:val="none" w:sz="0" w:space="0" w:color="auto"/>
        <w:right w:val="none" w:sz="0" w:space="0" w:color="auto"/>
      </w:divBdr>
    </w:div>
    <w:div w:id="841897242">
      <w:bodyDiv w:val="1"/>
      <w:marLeft w:val="0"/>
      <w:marRight w:val="0"/>
      <w:marTop w:val="0"/>
      <w:marBottom w:val="0"/>
      <w:divBdr>
        <w:top w:val="none" w:sz="0" w:space="0" w:color="auto"/>
        <w:left w:val="none" w:sz="0" w:space="0" w:color="auto"/>
        <w:bottom w:val="none" w:sz="0" w:space="0" w:color="auto"/>
        <w:right w:val="none" w:sz="0" w:space="0" w:color="auto"/>
      </w:divBdr>
    </w:div>
    <w:div w:id="841898596">
      <w:bodyDiv w:val="1"/>
      <w:marLeft w:val="0"/>
      <w:marRight w:val="0"/>
      <w:marTop w:val="0"/>
      <w:marBottom w:val="0"/>
      <w:divBdr>
        <w:top w:val="none" w:sz="0" w:space="0" w:color="auto"/>
        <w:left w:val="none" w:sz="0" w:space="0" w:color="auto"/>
        <w:bottom w:val="none" w:sz="0" w:space="0" w:color="auto"/>
        <w:right w:val="none" w:sz="0" w:space="0" w:color="auto"/>
      </w:divBdr>
    </w:div>
    <w:div w:id="845287377">
      <w:bodyDiv w:val="1"/>
      <w:marLeft w:val="0"/>
      <w:marRight w:val="0"/>
      <w:marTop w:val="0"/>
      <w:marBottom w:val="0"/>
      <w:divBdr>
        <w:top w:val="none" w:sz="0" w:space="0" w:color="auto"/>
        <w:left w:val="none" w:sz="0" w:space="0" w:color="auto"/>
        <w:bottom w:val="none" w:sz="0" w:space="0" w:color="auto"/>
        <w:right w:val="none" w:sz="0" w:space="0" w:color="auto"/>
      </w:divBdr>
    </w:div>
    <w:div w:id="851185697">
      <w:bodyDiv w:val="1"/>
      <w:marLeft w:val="0"/>
      <w:marRight w:val="0"/>
      <w:marTop w:val="0"/>
      <w:marBottom w:val="0"/>
      <w:divBdr>
        <w:top w:val="none" w:sz="0" w:space="0" w:color="auto"/>
        <w:left w:val="none" w:sz="0" w:space="0" w:color="auto"/>
        <w:bottom w:val="none" w:sz="0" w:space="0" w:color="auto"/>
        <w:right w:val="none" w:sz="0" w:space="0" w:color="auto"/>
      </w:divBdr>
    </w:div>
    <w:div w:id="851920610">
      <w:bodyDiv w:val="1"/>
      <w:marLeft w:val="0"/>
      <w:marRight w:val="0"/>
      <w:marTop w:val="0"/>
      <w:marBottom w:val="0"/>
      <w:divBdr>
        <w:top w:val="none" w:sz="0" w:space="0" w:color="auto"/>
        <w:left w:val="none" w:sz="0" w:space="0" w:color="auto"/>
        <w:bottom w:val="none" w:sz="0" w:space="0" w:color="auto"/>
        <w:right w:val="none" w:sz="0" w:space="0" w:color="auto"/>
      </w:divBdr>
    </w:div>
    <w:div w:id="852107762">
      <w:bodyDiv w:val="1"/>
      <w:marLeft w:val="0"/>
      <w:marRight w:val="0"/>
      <w:marTop w:val="0"/>
      <w:marBottom w:val="0"/>
      <w:divBdr>
        <w:top w:val="none" w:sz="0" w:space="0" w:color="auto"/>
        <w:left w:val="none" w:sz="0" w:space="0" w:color="auto"/>
        <w:bottom w:val="none" w:sz="0" w:space="0" w:color="auto"/>
        <w:right w:val="none" w:sz="0" w:space="0" w:color="auto"/>
      </w:divBdr>
    </w:div>
    <w:div w:id="853303348">
      <w:bodyDiv w:val="1"/>
      <w:marLeft w:val="0"/>
      <w:marRight w:val="0"/>
      <w:marTop w:val="0"/>
      <w:marBottom w:val="0"/>
      <w:divBdr>
        <w:top w:val="none" w:sz="0" w:space="0" w:color="auto"/>
        <w:left w:val="none" w:sz="0" w:space="0" w:color="auto"/>
        <w:bottom w:val="none" w:sz="0" w:space="0" w:color="auto"/>
        <w:right w:val="none" w:sz="0" w:space="0" w:color="auto"/>
      </w:divBdr>
    </w:div>
    <w:div w:id="853766651">
      <w:bodyDiv w:val="1"/>
      <w:marLeft w:val="0"/>
      <w:marRight w:val="0"/>
      <w:marTop w:val="0"/>
      <w:marBottom w:val="0"/>
      <w:divBdr>
        <w:top w:val="none" w:sz="0" w:space="0" w:color="auto"/>
        <w:left w:val="none" w:sz="0" w:space="0" w:color="auto"/>
        <w:bottom w:val="none" w:sz="0" w:space="0" w:color="auto"/>
        <w:right w:val="none" w:sz="0" w:space="0" w:color="auto"/>
      </w:divBdr>
    </w:div>
    <w:div w:id="860320511">
      <w:bodyDiv w:val="1"/>
      <w:marLeft w:val="0"/>
      <w:marRight w:val="0"/>
      <w:marTop w:val="0"/>
      <w:marBottom w:val="0"/>
      <w:divBdr>
        <w:top w:val="none" w:sz="0" w:space="0" w:color="auto"/>
        <w:left w:val="none" w:sz="0" w:space="0" w:color="auto"/>
        <w:bottom w:val="none" w:sz="0" w:space="0" w:color="auto"/>
        <w:right w:val="none" w:sz="0" w:space="0" w:color="auto"/>
      </w:divBdr>
    </w:div>
    <w:div w:id="866989529">
      <w:bodyDiv w:val="1"/>
      <w:marLeft w:val="0"/>
      <w:marRight w:val="0"/>
      <w:marTop w:val="0"/>
      <w:marBottom w:val="0"/>
      <w:divBdr>
        <w:top w:val="none" w:sz="0" w:space="0" w:color="auto"/>
        <w:left w:val="none" w:sz="0" w:space="0" w:color="auto"/>
        <w:bottom w:val="none" w:sz="0" w:space="0" w:color="auto"/>
        <w:right w:val="none" w:sz="0" w:space="0" w:color="auto"/>
      </w:divBdr>
    </w:div>
    <w:div w:id="867569376">
      <w:bodyDiv w:val="1"/>
      <w:marLeft w:val="0"/>
      <w:marRight w:val="0"/>
      <w:marTop w:val="0"/>
      <w:marBottom w:val="0"/>
      <w:divBdr>
        <w:top w:val="none" w:sz="0" w:space="0" w:color="auto"/>
        <w:left w:val="none" w:sz="0" w:space="0" w:color="auto"/>
        <w:bottom w:val="none" w:sz="0" w:space="0" w:color="auto"/>
        <w:right w:val="none" w:sz="0" w:space="0" w:color="auto"/>
      </w:divBdr>
    </w:div>
    <w:div w:id="868185296">
      <w:bodyDiv w:val="1"/>
      <w:marLeft w:val="0"/>
      <w:marRight w:val="0"/>
      <w:marTop w:val="0"/>
      <w:marBottom w:val="0"/>
      <w:divBdr>
        <w:top w:val="none" w:sz="0" w:space="0" w:color="auto"/>
        <w:left w:val="none" w:sz="0" w:space="0" w:color="auto"/>
        <w:bottom w:val="none" w:sz="0" w:space="0" w:color="auto"/>
        <w:right w:val="none" w:sz="0" w:space="0" w:color="auto"/>
      </w:divBdr>
    </w:div>
    <w:div w:id="869878843">
      <w:bodyDiv w:val="1"/>
      <w:marLeft w:val="0"/>
      <w:marRight w:val="0"/>
      <w:marTop w:val="0"/>
      <w:marBottom w:val="0"/>
      <w:divBdr>
        <w:top w:val="none" w:sz="0" w:space="0" w:color="auto"/>
        <w:left w:val="none" w:sz="0" w:space="0" w:color="auto"/>
        <w:bottom w:val="none" w:sz="0" w:space="0" w:color="auto"/>
        <w:right w:val="none" w:sz="0" w:space="0" w:color="auto"/>
      </w:divBdr>
    </w:div>
    <w:div w:id="870335623">
      <w:bodyDiv w:val="1"/>
      <w:marLeft w:val="0"/>
      <w:marRight w:val="0"/>
      <w:marTop w:val="0"/>
      <w:marBottom w:val="0"/>
      <w:divBdr>
        <w:top w:val="none" w:sz="0" w:space="0" w:color="auto"/>
        <w:left w:val="none" w:sz="0" w:space="0" w:color="auto"/>
        <w:bottom w:val="none" w:sz="0" w:space="0" w:color="auto"/>
        <w:right w:val="none" w:sz="0" w:space="0" w:color="auto"/>
      </w:divBdr>
    </w:div>
    <w:div w:id="870534951">
      <w:bodyDiv w:val="1"/>
      <w:marLeft w:val="0"/>
      <w:marRight w:val="0"/>
      <w:marTop w:val="0"/>
      <w:marBottom w:val="0"/>
      <w:divBdr>
        <w:top w:val="none" w:sz="0" w:space="0" w:color="auto"/>
        <w:left w:val="none" w:sz="0" w:space="0" w:color="auto"/>
        <w:bottom w:val="none" w:sz="0" w:space="0" w:color="auto"/>
        <w:right w:val="none" w:sz="0" w:space="0" w:color="auto"/>
      </w:divBdr>
    </w:div>
    <w:div w:id="871454649">
      <w:bodyDiv w:val="1"/>
      <w:marLeft w:val="0"/>
      <w:marRight w:val="0"/>
      <w:marTop w:val="0"/>
      <w:marBottom w:val="0"/>
      <w:divBdr>
        <w:top w:val="none" w:sz="0" w:space="0" w:color="auto"/>
        <w:left w:val="none" w:sz="0" w:space="0" w:color="auto"/>
        <w:bottom w:val="none" w:sz="0" w:space="0" w:color="auto"/>
        <w:right w:val="none" w:sz="0" w:space="0" w:color="auto"/>
      </w:divBdr>
    </w:div>
    <w:div w:id="872696447">
      <w:bodyDiv w:val="1"/>
      <w:marLeft w:val="0"/>
      <w:marRight w:val="0"/>
      <w:marTop w:val="0"/>
      <w:marBottom w:val="0"/>
      <w:divBdr>
        <w:top w:val="none" w:sz="0" w:space="0" w:color="auto"/>
        <w:left w:val="none" w:sz="0" w:space="0" w:color="auto"/>
        <w:bottom w:val="none" w:sz="0" w:space="0" w:color="auto"/>
        <w:right w:val="none" w:sz="0" w:space="0" w:color="auto"/>
      </w:divBdr>
    </w:div>
    <w:div w:id="876308297">
      <w:bodyDiv w:val="1"/>
      <w:marLeft w:val="0"/>
      <w:marRight w:val="0"/>
      <w:marTop w:val="0"/>
      <w:marBottom w:val="0"/>
      <w:divBdr>
        <w:top w:val="none" w:sz="0" w:space="0" w:color="auto"/>
        <w:left w:val="none" w:sz="0" w:space="0" w:color="auto"/>
        <w:bottom w:val="none" w:sz="0" w:space="0" w:color="auto"/>
        <w:right w:val="none" w:sz="0" w:space="0" w:color="auto"/>
      </w:divBdr>
    </w:div>
    <w:div w:id="881936851">
      <w:bodyDiv w:val="1"/>
      <w:marLeft w:val="0"/>
      <w:marRight w:val="0"/>
      <w:marTop w:val="0"/>
      <w:marBottom w:val="0"/>
      <w:divBdr>
        <w:top w:val="none" w:sz="0" w:space="0" w:color="auto"/>
        <w:left w:val="none" w:sz="0" w:space="0" w:color="auto"/>
        <w:bottom w:val="none" w:sz="0" w:space="0" w:color="auto"/>
        <w:right w:val="none" w:sz="0" w:space="0" w:color="auto"/>
      </w:divBdr>
    </w:div>
    <w:div w:id="883129393">
      <w:bodyDiv w:val="1"/>
      <w:marLeft w:val="0"/>
      <w:marRight w:val="0"/>
      <w:marTop w:val="0"/>
      <w:marBottom w:val="0"/>
      <w:divBdr>
        <w:top w:val="none" w:sz="0" w:space="0" w:color="auto"/>
        <w:left w:val="none" w:sz="0" w:space="0" w:color="auto"/>
        <w:bottom w:val="none" w:sz="0" w:space="0" w:color="auto"/>
        <w:right w:val="none" w:sz="0" w:space="0" w:color="auto"/>
      </w:divBdr>
    </w:div>
    <w:div w:id="883178442">
      <w:bodyDiv w:val="1"/>
      <w:marLeft w:val="0"/>
      <w:marRight w:val="0"/>
      <w:marTop w:val="0"/>
      <w:marBottom w:val="0"/>
      <w:divBdr>
        <w:top w:val="none" w:sz="0" w:space="0" w:color="auto"/>
        <w:left w:val="none" w:sz="0" w:space="0" w:color="auto"/>
        <w:bottom w:val="none" w:sz="0" w:space="0" w:color="auto"/>
        <w:right w:val="none" w:sz="0" w:space="0" w:color="auto"/>
      </w:divBdr>
    </w:div>
    <w:div w:id="885532814">
      <w:bodyDiv w:val="1"/>
      <w:marLeft w:val="0"/>
      <w:marRight w:val="0"/>
      <w:marTop w:val="0"/>
      <w:marBottom w:val="0"/>
      <w:divBdr>
        <w:top w:val="none" w:sz="0" w:space="0" w:color="auto"/>
        <w:left w:val="none" w:sz="0" w:space="0" w:color="auto"/>
        <w:bottom w:val="none" w:sz="0" w:space="0" w:color="auto"/>
        <w:right w:val="none" w:sz="0" w:space="0" w:color="auto"/>
      </w:divBdr>
    </w:div>
    <w:div w:id="891116903">
      <w:bodyDiv w:val="1"/>
      <w:marLeft w:val="0"/>
      <w:marRight w:val="0"/>
      <w:marTop w:val="0"/>
      <w:marBottom w:val="0"/>
      <w:divBdr>
        <w:top w:val="none" w:sz="0" w:space="0" w:color="auto"/>
        <w:left w:val="none" w:sz="0" w:space="0" w:color="auto"/>
        <w:bottom w:val="none" w:sz="0" w:space="0" w:color="auto"/>
        <w:right w:val="none" w:sz="0" w:space="0" w:color="auto"/>
      </w:divBdr>
    </w:div>
    <w:div w:id="892350262">
      <w:bodyDiv w:val="1"/>
      <w:marLeft w:val="0"/>
      <w:marRight w:val="0"/>
      <w:marTop w:val="0"/>
      <w:marBottom w:val="0"/>
      <w:divBdr>
        <w:top w:val="none" w:sz="0" w:space="0" w:color="auto"/>
        <w:left w:val="none" w:sz="0" w:space="0" w:color="auto"/>
        <w:bottom w:val="none" w:sz="0" w:space="0" w:color="auto"/>
        <w:right w:val="none" w:sz="0" w:space="0" w:color="auto"/>
      </w:divBdr>
    </w:div>
    <w:div w:id="892427889">
      <w:bodyDiv w:val="1"/>
      <w:marLeft w:val="0"/>
      <w:marRight w:val="0"/>
      <w:marTop w:val="0"/>
      <w:marBottom w:val="0"/>
      <w:divBdr>
        <w:top w:val="none" w:sz="0" w:space="0" w:color="auto"/>
        <w:left w:val="none" w:sz="0" w:space="0" w:color="auto"/>
        <w:bottom w:val="none" w:sz="0" w:space="0" w:color="auto"/>
        <w:right w:val="none" w:sz="0" w:space="0" w:color="auto"/>
      </w:divBdr>
    </w:div>
    <w:div w:id="893463961">
      <w:bodyDiv w:val="1"/>
      <w:marLeft w:val="0"/>
      <w:marRight w:val="0"/>
      <w:marTop w:val="0"/>
      <w:marBottom w:val="0"/>
      <w:divBdr>
        <w:top w:val="none" w:sz="0" w:space="0" w:color="auto"/>
        <w:left w:val="none" w:sz="0" w:space="0" w:color="auto"/>
        <w:bottom w:val="none" w:sz="0" w:space="0" w:color="auto"/>
        <w:right w:val="none" w:sz="0" w:space="0" w:color="auto"/>
      </w:divBdr>
    </w:div>
    <w:div w:id="895045970">
      <w:bodyDiv w:val="1"/>
      <w:marLeft w:val="0"/>
      <w:marRight w:val="0"/>
      <w:marTop w:val="0"/>
      <w:marBottom w:val="0"/>
      <w:divBdr>
        <w:top w:val="none" w:sz="0" w:space="0" w:color="auto"/>
        <w:left w:val="none" w:sz="0" w:space="0" w:color="auto"/>
        <w:bottom w:val="none" w:sz="0" w:space="0" w:color="auto"/>
        <w:right w:val="none" w:sz="0" w:space="0" w:color="auto"/>
      </w:divBdr>
    </w:div>
    <w:div w:id="895968426">
      <w:bodyDiv w:val="1"/>
      <w:marLeft w:val="0"/>
      <w:marRight w:val="0"/>
      <w:marTop w:val="0"/>
      <w:marBottom w:val="0"/>
      <w:divBdr>
        <w:top w:val="none" w:sz="0" w:space="0" w:color="auto"/>
        <w:left w:val="none" w:sz="0" w:space="0" w:color="auto"/>
        <w:bottom w:val="none" w:sz="0" w:space="0" w:color="auto"/>
        <w:right w:val="none" w:sz="0" w:space="0" w:color="auto"/>
      </w:divBdr>
    </w:div>
    <w:div w:id="898906574">
      <w:bodyDiv w:val="1"/>
      <w:marLeft w:val="0"/>
      <w:marRight w:val="0"/>
      <w:marTop w:val="0"/>
      <w:marBottom w:val="0"/>
      <w:divBdr>
        <w:top w:val="none" w:sz="0" w:space="0" w:color="auto"/>
        <w:left w:val="none" w:sz="0" w:space="0" w:color="auto"/>
        <w:bottom w:val="none" w:sz="0" w:space="0" w:color="auto"/>
        <w:right w:val="none" w:sz="0" w:space="0" w:color="auto"/>
      </w:divBdr>
    </w:div>
    <w:div w:id="899484254">
      <w:bodyDiv w:val="1"/>
      <w:marLeft w:val="0"/>
      <w:marRight w:val="0"/>
      <w:marTop w:val="0"/>
      <w:marBottom w:val="0"/>
      <w:divBdr>
        <w:top w:val="none" w:sz="0" w:space="0" w:color="auto"/>
        <w:left w:val="none" w:sz="0" w:space="0" w:color="auto"/>
        <w:bottom w:val="none" w:sz="0" w:space="0" w:color="auto"/>
        <w:right w:val="none" w:sz="0" w:space="0" w:color="auto"/>
      </w:divBdr>
    </w:div>
    <w:div w:id="899824824">
      <w:bodyDiv w:val="1"/>
      <w:marLeft w:val="0"/>
      <w:marRight w:val="0"/>
      <w:marTop w:val="0"/>
      <w:marBottom w:val="0"/>
      <w:divBdr>
        <w:top w:val="none" w:sz="0" w:space="0" w:color="auto"/>
        <w:left w:val="none" w:sz="0" w:space="0" w:color="auto"/>
        <w:bottom w:val="none" w:sz="0" w:space="0" w:color="auto"/>
        <w:right w:val="none" w:sz="0" w:space="0" w:color="auto"/>
      </w:divBdr>
    </w:div>
    <w:div w:id="911088251">
      <w:bodyDiv w:val="1"/>
      <w:marLeft w:val="0"/>
      <w:marRight w:val="0"/>
      <w:marTop w:val="0"/>
      <w:marBottom w:val="0"/>
      <w:divBdr>
        <w:top w:val="none" w:sz="0" w:space="0" w:color="auto"/>
        <w:left w:val="none" w:sz="0" w:space="0" w:color="auto"/>
        <w:bottom w:val="none" w:sz="0" w:space="0" w:color="auto"/>
        <w:right w:val="none" w:sz="0" w:space="0" w:color="auto"/>
      </w:divBdr>
    </w:div>
    <w:div w:id="913928842">
      <w:bodyDiv w:val="1"/>
      <w:marLeft w:val="0"/>
      <w:marRight w:val="0"/>
      <w:marTop w:val="0"/>
      <w:marBottom w:val="0"/>
      <w:divBdr>
        <w:top w:val="none" w:sz="0" w:space="0" w:color="auto"/>
        <w:left w:val="none" w:sz="0" w:space="0" w:color="auto"/>
        <w:bottom w:val="none" w:sz="0" w:space="0" w:color="auto"/>
        <w:right w:val="none" w:sz="0" w:space="0" w:color="auto"/>
      </w:divBdr>
    </w:div>
    <w:div w:id="915092426">
      <w:bodyDiv w:val="1"/>
      <w:marLeft w:val="0"/>
      <w:marRight w:val="0"/>
      <w:marTop w:val="0"/>
      <w:marBottom w:val="0"/>
      <w:divBdr>
        <w:top w:val="none" w:sz="0" w:space="0" w:color="auto"/>
        <w:left w:val="none" w:sz="0" w:space="0" w:color="auto"/>
        <w:bottom w:val="none" w:sz="0" w:space="0" w:color="auto"/>
        <w:right w:val="none" w:sz="0" w:space="0" w:color="auto"/>
      </w:divBdr>
    </w:div>
    <w:div w:id="920018699">
      <w:bodyDiv w:val="1"/>
      <w:marLeft w:val="0"/>
      <w:marRight w:val="0"/>
      <w:marTop w:val="0"/>
      <w:marBottom w:val="0"/>
      <w:divBdr>
        <w:top w:val="none" w:sz="0" w:space="0" w:color="auto"/>
        <w:left w:val="none" w:sz="0" w:space="0" w:color="auto"/>
        <w:bottom w:val="none" w:sz="0" w:space="0" w:color="auto"/>
        <w:right w:val="none" w:sz="0" w:space="0" w:color="auto"/>
      </w:divBdr>
    </w:div>
    <w:div w:id="922446016">
      <w:bodyDiv w:val="1"/>
      <w:marLeft w:val="0"/>
      <w:marRight w:val="0"/>
      <w:marTop w:val="0"/>
      <w:marBottom w:val="0"/>
      <w:divBdr>
        <w:top w:val="none" w:sz="0" w:space="0" w:color="auto"/>
        <w:left w:val="none" w:sz="0" w:space="0" w:color="auto"/>
        <w:bottom w:val="none" w:sz="0" w:space="0" w:color="auto"/>
        <w:right w:val="none" w:sz="0" w:space="0" w:color="auto"/>
      </w:divBdr>
    </w:div>
    <w:div w:id="922569078">
      <w:bodyDiv w:val="1"/>
      <w:marLeft w:val="0"/>
      <w:marRight w:val="0"/>
      <w:marTop w:val="0"/>
      <w:marBottom w:val="0"/>
      <w:divBdr>
        <w:top w:val="none" w:sz="0" w:space="0" w:color="auto"/>
        <w:left w:val="none" w:sz="0" w:space="0" w:color="auto"/>
        <w:bottom w:val="none" w:sz="0" w:space="0" w:color="auto"/>
        <w:right w:val="none" w:sz="0" w:space="0" w:color="auto"/>
      </w:divBdr>
    </w:div>
    <w:div w:id="922958291">
      <w:bodyDiv w:val="1"/>
      <w:marLeft w:val="0"/>
      <w:marRight w:val="0"/>
      <w:marTop w:val="0"/>
      <w:marBottom w:val="0"/>
      <w:divBdr>
        <w:top w:val="none" w:sz="0" w:space="0" w:color="auto"/>
        <w:left w:val="none" w:sz="0" w:space="0" w:color="auto"/>
        <w:bottom w:val="none" w:sz="0" w:space="0" w:color="auto"/>
        <w:right w:val="none" w:sz="0" w:space="0" w:color="auto"/>
      </w:divBdr>
    </w:div>
    <w:div w:id="923684384">
      <w:bodyDiv w:val="1"/>
      <w:marLeft w:val="0"/>
      <w:marRight w:val="0"/>
      <w:marTop w:val="0"/>
      <w:marBottom w:val="0"/>
      <w:divBdr>
        <w:top w:val="none" w:sz="0" w:space="0" w:color="auto"/>
        <w:left w:val="none" w:sz="0" w:space="0" w:color="auto"/>
        <w:bottom w:val="none" w:sz="0" w:space="0" w:color="auto"/>
        <w:right w:val="none" w:sz="0" w:space="0" w:color="auto"/>
      </w:divBdr>
    </w:div>
    <w:div w:id="932738572">
      <w:bodyDiv w:val="1"/>
      <w:marLeft w:val="0"/>
      <w:marRight w:val="0"/>
      <w:marTop w:val="0"/>
      <w:marBottom w:val="0"/>
      <w:divBdr>
        <w:top w:val="none" w:sz="0" w:space="0" w:color="auto"/>
        <w:left w:val="none" w:sz="0" w:space="0" w:color="auto"/>
        <w:bottom w:val="none" w:sz="0" w:space="0" w:color="auto"/>
        <w:right w:val="none" w:sz="0" w:space="0" w:color="auto"/>
      </w:divBdr>
    </w:div>
    <w:div w:id="933242777">
      <w:bodyDiv w:val="1"/>
      <w:marLeft w:val="0"/>
      <w:marRight w:val="0"/>
      <w:marTop w:val="0"/>
      <w:marBottom w:val="0"/>
      <w:divBdr>
        <w:top w:val="none" w:sz="0" w:space="0" w:color="auto"/>
        <w:left w:val="none" w:sz="0" w:space="0" w:color="auto"/>
        <w:bottom w:val="none" w:sz="0" w:space="0" w:color="auto"/>
        <w:right w:val="none" w:sz="0" w:space="0" w:color="auto"/>
      </w:divBdr>
    </w:div>
    <w:div w:id="937911821">
      <w:bodyDiv w:val="1"/>
      <w:marLeft w:val="0"/>
      <w:marRight w:val="0"/>
      <w:marTop w:val="0"/>
      <w:marBottom w:val="0"/>
      <w:divBdr>
        <w:top w:val="none" w:sz="0" w:space="0" w:color="auto"/>
        <w:left w:val="none" w:sz="0" w:space="0" w:color="auto"/>
        <w:bottom w:val="none" w:sz="0" w:space="0" w:color="auto"/>
        <w:right w:val="none" w:sz="0" w:space="0" w:color="auto"/>
      </w:divBdr>
    </w:div>
    <w:div w:id="938102197">
      <w:bodyDiv w:val="1"/>
      <w:marLeft w:val="0"/>
      <w:marRight w:val="0"/>
      <w:marTop w:val="0"/>
      <w:marBottom w:val="0"/>
      <w:divBdr>
        <w:top w:val="none" w:sz="0" w:space="0" w:color="auto"/>
        <w:left w:val="none" w:sz="0" w:space="0" w:color="auto"/>
        <w:bottom w:val="none" w:sz="0" w:space="0" w:color="auto"/>
        <w:right w:val="none" w:sz="0" w:space="0" w:color="auto"/>
      </w:divBdr>
    </w:div>
    <w:div w:id="939525710">
      <w:bodyDiv w:val="1"/>
      <w:marLeft w:val="0"/>
      <w:marRight w:val="0"/>
      <w:marTop w:val="0"/>
      <w:marBottom w:val="0"/>
      <w:divBdr>
        <w:top w:val="none" w:sz="0" w:space="0" w:color="auto"/>
        <w:left w:val="none" w:sz="0" w:space="0" w:color="auto"/>
        <w:bottom w:val="none" w:sz="0" w:space="0" w:color="auto"/>
        <w:right w:val="none" w:sz="0" w:space="0" w:color="auto"/>
      </w:divBdr>
    </w:div>
    <w:div w:id="940338868">
      <w:bodyDiv w:val="1"/>
      <w:marLeft w:val="0"/>
      <w:marRight w:val="0"/>
      <w:marTop w:val="0"/>
      <w:marBottom w:val="0"/>
      <w:divBdr>
        <w:top w:val="none" w:sz="0" w:space="0" w:color="auto"/>
        <w:left w:val="none" w:sz="0" w:space="0" w:color="auto"/>
        <w:bottom w:val="none" w:sz="0" w:space="0" w:color="auto"/>
        <w:right w:val="none" w:sz="0" w:space="0" w:color="auto"/>
      </w:divBdr>
    </w:div>
    <w:div w:id="940453200">
      <w:bodyDiv w:val="1"/>
      <w:marLeft w:val="0"/>
      <w:marRight w:val="0"/>
      <w:marTop w:val="0"/>
      <w:marBottom w:val="0"/>
      <w:divBdr>
        <w:top w:val="none" w:sz="0" w:space="0" w:color="auto"/>
        <w:left w:val="none" w:sz="0" w:space="0" w:color="auto"/>
        <w:bottom w:val="none" w:sz="0" w:space="0" w:color="auto"/>
        <w:right w:val="none" w:sz="0" w:space="0" w:color="auto"/>
      </w:divBdr>
    </w:div>
    <w:div w:id="940651298">
      <w:bodyDiv w:val="1"/>
      <w:marLeft w:val="0"/>
      <w:marRight w:val="0"/>
      <w:marTop w:val="0"/>
      <w:marBottom w:val="0"/>
      <w:divBdr>
        <w:top w:val="none" w:sz="0" w:space="0" w:color="auto"/>
        <w:left w:val="none" w:sz="0" w:space="0" w:color="auto"/>
        <w:bottom w:val="none" w:sz="0" w:space="0" w:color="auto"/>
        <w:right w:val="none" w:sz="0" w:space="0" w:color="auto"/>
      </w:divBdr>
    </w:div>
    <w:div w:id="942884501">
      <w:bodyDiv w:val="1"/>
      <w:marLeft w:val="0"/>
      <w:marRight w:val="0"/>
      <w:marTop w:val="0"/>
      <w:marBottom w:val="0"/>
      <w:divBdr>
        <w:top w:val="none" w:sz="0" w:space="0" w:color="auto"/>
        <w:left w:val="none" w:sz="0" w:space="0" w:color="auto"/>
        <w:bottom w:val="none" w:sz="0" w:space="0" w:color="auto"/>
        <w:right w:val="none" w:sz="0" w:space="0" w:color="auto"/>
      </w:divBdr>
    </w:div>
    <w:div w:id="944263559">
      <w:bodyDiv w:val="1"/>
      <w:marLeft w:val="0"/>
      <w:marRight w:val="0"/>
      <w:marTop w:val="0"/>
      <w:marBottom w:val="0"/>
      <w:divBdr>
        <w:top w:val="none" w:sz="0" w:space="0" w:color="auto"/>
        <w:left w:val="none" w:sz="0" w:space="0" w:color="auto"/>
        <w:bottom w:val="none" w:sz="0" w:space="0" w:color="auto"/>
        <w:right w:val="none" w:sz="0" w:space="0" w:color="auto"/>
      </w:divBdr>
    </w:div>
    <w:div w:id="948778359">
      <w:bodyDiv w:val="1"/>
      <w:marLeft w:val="0"/>
      <w:marRight w:val="0"/>
      <w:marTop w:val="0"/>
      <w:marBottom w:val="0"/>
      <w:divBdr>
        <w:top w:val="none" w:sz="0" w:space="0" w:color="auto"/>
        <w:left w:val="none" w:sz="0" w:space="0" w:color="auto"/>
        <w:bottom w:val="none" w:sz="0" w:space="0" w:color="auto"/>
        <w:right w:val="none" w:sz="0" w:space="0" w:color="auto"/>
      </w:divBdr>
    </w:div>
    <w:div w:id="949431553">
      <w:bodyDiv w:val="1"/>
      <w:marLeft w:val="0"/>
      <w:marRight w:val="0"/>
      <w:marTop w:val="0"/>
      <w:marBottom w:val="0"/>
      <w:divBdr>
        <w:top w:val="none" w:sz="0" w:space="0" w:color="auto"/>
        <w:left w:val="none" w:sz="0" w:space="0" w:color="auto"/>
        <w:bottom w:val="none" w:sz="0" w:space="0" w:color="auto"/>
        <w:right w:val="none" w:sz="0" w:space="0" w:color="auto"/>
      </w:divBdr>
    </w:div>
    <w:div w:id="953098462">
      <w:bodyDiv w:val="1"/>
      <w:marLeft w:val="0"/>
      <w:marRight w:val="0"/>
      <w:marTop w:val="0"/>
      <w:marBottom w:val="0"/>
      <w:divBdr>
        <w:top w:val="none" w:sz="0" w:space="0" w:color="auto"/>
        <w:left w:val="none" w:sz="0" w:space="0" w:color="auto"/>
        <w:bottom w:val="none" w:sz="0" w:space="0" w:color="auto"/>
        <w:right w:val="none" w:sz="0" w:space="0" w:color="auto"/>
      </w:divBdr>
    </w:div>
    <w:div w:id="953950749">
      <w:bodyDiv w:val="1"/>
      <w:marLeft w:val="0"/>
      <w:marRight w:val="0"/>
      <w:marTop w:val="0"/>
      <w:marBottom w:val="0"/>
      <w:divBdr>
        <w:top w:val="none" w:sz="0" w:space="0" w:color="auto"/>
        <w:left w:val="none" w:sz="0" w:space="0" w:color="auto"/>
        <w:bottom w:val="none" w:sz="0" w:space="0" w:color="auto"/>
        <w:right w:val="none" w:sz="0" w:space="0" w:color="auto"/>
      </w:divBdr>
    </w:div>
    <w:div w:id="954945072">
      <w:bodyDiv w:val="1"/>
      <w:marLeft w:val="0"/>
      <w:marRight w:val="0"/>
      <w:marTop w:val="0"/>
      <w:marBottom w:val="0"/>
      <w:divBdr>
        <w:top w:val="none" w:sz="0" w:space="0" w:color="auto"/>
        <w:left w:val="none" w:sz="0" w:space="0" w:color="auto"/>
        <w:bottom w:val="none" w:sz="0" w:space="0" w:color="auto"/>
        <w:right w:val="none" w:sz="0" w:space="0" w:color="auto"/>
      </w:divBdr>
    </w:div>
    <w:div w:id="955866483">
      <w:bodyDiv w:val="1"/>
      <w:marLeft w:val="0"/>
      <w:marRight w:val="0"/>
      <w:marTop w:val="0"/>
      <w:marBottom w:val="0"/>
      <w:divBdr>
        <w:top w:val="none" w:sz="0" w:space="0" w:color="auto"/>
        <w:left w:val="none" w:sz="0" w:space="0" w:color="auto"/>
        <w:bottom w:val="none" w:sz="0" w:space="0" w:color="auto"/>
        <w:right w:val="none" w:sz="0" w:space="0" w:color="auto"/>
      </w:divBdr>
    </w:div>
    <w:div w:id="956062328">
      <w:bodyDiv w:val="1"/>
      <w:marLeft w:val="0"/>
      <w:marRight w:val="0"/>
      <w:marTop w:val="0"/>
      <w:marBottom w:val="0"/>
      <w:divBdr>
        <w:top w:val="none" w:sz="0" w:space="0" w:color="auto"/>
        <w:left w:val="none" w:sz="0" w:space="0" w:color="auto"/>
        <w:bottom w:val="none" w:sz="0" w:space="0" w:color="auto"/>
        <w:right w:val="none" w:sz="0" w:space="0" w:color="auto"/>
      </w:divBdr>
    </w:div>
    <w:div w:id="958418549">
      <w:bodyDiv w:val="1"/>
      <w:marLeft w:val="0"/>
      <w:marRight w:val="0"/>
      <w:marTop w:val="0"/>
      <w:marBottom w:val="0"/>
      <w:divBdr>
        <w:top w:val="none" w:sz="0" w:space="0" w:color="auto"/>
        <w:left w:val="none" w:sz="0" w:space="0" w:color="auto"/>
        <w:bottom w:val="none" w:sz="0" w:space="0" w:color="auto"/>
        <w:right w:val="none" w:sz="0" w:space="0" w:color="auto"/>
      </w:divBdr>
    </w:div>
    <w:div w:id="958561475">
      <w:bodyDiv w:val="1"/>
      <w:marLeft w:val="0"/>
      <w:marRight w:val="0"/>
      <w:marTop w:val="0"/>
      <w:marBottom w:val="0"/>
      <w:divBdr>
        <w:top w:val="none" w:sz="0" w:space="0" w:color="auto"/>
        <w:left w:val="none" w:sz="0" w:space="0" w:color="auto"/>
        <w:bottom w:val="none" w:sz="0" w:space="0" w:color="auto"/>
        <w:right w:val="none" w:sz="0" w:space="0" w:color="auto"/>
      </w:divBdr>
    </w:div>
    <w:div w:id="959412904">
      <w:bodyDiv w:val="1"/>
      <w:marLeft w:val="0"/>
      <w:marRight w:val="0"/>
      <w:marTop w:val="0"/>
      <w:marBottom w:val="0"/>
      <w:divBdr>
        <w:top w:val="none" w:sz="0" w:space="0" w:color="auto"/>
        <w:left w:val="none" w:sz="0" w:space="0" w:color="auto"/>
        <w:bottom w:val="none" w:sz="0" w:space="0" w:color="auto"/>
        <w:right w:val="none" w:sz="0" w:space="0" w:color="auto"/>
      </w:divBdr>
    </w:div>
    <w:div w:id="968129315">
      <w:bodyDiv w:val="1"/>
      <w:marLeft w:val="0"/>
      <w:marRight w:val="0"/>
      <w:marTop w:val="0"/>
      <w:marBottom w:val="0"/>
      <w:divBdr>
        <w:top w:val="none" w:sz="0" w:space="0" w:color="auto"/>
        <w:left w:val="none" w:sz="0" w:space="0" w:color="auto"/>
        <w:bottom w:val="none" w:sz="0" w:space="0" w:color="auto"/>
        <w:right w:val="none" w:sz="0" w:space="0" w:color="auto"/>
      </w:divBdr>
    </w:div>
    <w:div w:id="977490486">
      <w:bodyDiv w:val="1"/>
      <w:marLeft w:val="0"/>
      <w:marRight w:val="0"/>
      <w:marTop w:val="0"/>
      <w:marBottom w:val="0"/>
      <w:divBdr>
        <w:top w:val="none" w:sz="0" w:space="0" w:color="auto"/>
        <w:left w:val="none" w:sz="0" w:space="0" w:color="auto"/>
        <w:bottom w:val="none" w:sz="0" w:space="0" w:color="auto"/>
        <w:right w:val="none" w:sz="0" w:space="0" w:color="auto"/>
      </w:divBdr>
    </w:div>
    <w:div w:id="979304947">
      <w:bodyDiv w:val="1"/>
      <w:marLeft w:val="0"/>
      <w:marRight w:val="0"/>
      <w:marTop w:val="0"/>
      <w:marBottom w:val="0"/>
      <w:divBdr>
        <w:top w:val="none" w:sz="0" w:space="0" w:color="auto"/>
        <w:left w:val="none" w:sz="0" w:space="0" w:color="auto"/>
        <w:bottom w:val="none" w:sz="0" w:space="0" w:color="auto"/>
        <w:right w:val="none" w:sz="0" w:space="0" w:color="auto"/>
      </w:divBdr>
    </w:div>
    <w:div w:id="980694845">
      <w:bodyDiv w:val="1"/>
      <w:marLeft w:val="0"/>
      <w:marRight w:val="0"/>
      <w:marTop w:val="0"/>
      <w:marBottom w:val="0"/>
      <w:divBdr>
        <w:top w:val="none" w:sz="0" w:space="0" w:color="auto"/>
        <w:left w:val="none" w:sz="0" w:space="0" w:color="auto"/>
        <w:bottom w:val="none" w:sz="0" w:space="0" w:color="auto"/>
        <w:right w:val="none" w:sz="0" w:space="0" w:color="auto"/>
      </w:divBdr>
    </w:div>
    <w:div w:id="982199507">
      <w:bodyDiv w:val="1"/>
      <w:marLeft w:val="0"/>
      <w:marRight w:val="0"/>
      <w:marTop w:val="0"/>
      <w:marBottom w:val="0"/>
      <w:divBdr>
        <w:top w:val="none" w:sz="0" w:space="0" w:color="auto"/>
        <w:left w:val="none" w:sz="0" w:space="0" w:color="auto"/>
        <w:bottom w:val="none" w:sz="0" w:space="0" w:color="auto"/>
        <w:right w:val="none" w:sz="0" w:space="0" w:color="auto"/>
      </w:divBdr>
    </w:div>
    <w:div w:id="984771728">
      <w:bodyDiv w:val="1"/>
      <w:marLeft w:val="0"/>
      <w:marRight w:val="0"/>
      <w:marTop w:val="0"/>
      <w:marBottom w:val="0"/>
      <w:divBdr>
        <w:top w:val="none" w:sz="0" w:space="0" w:color="auto"/>
        <w:left w:val="none" w:sz="0" w:space="0" w:color="auto"/>
        <w:bottom w:val="none" w:sz="0" w:space="0" w:color="auto"/>
        <w:right w:val="none" w:sz="0" w:space="0" w:color="auto"/>
      </w:divBdr>
    </w:div>
    <w:div w:id="986981053">
      <w:bodyDiv w:val="1"/>
      <w:marLeft w:val="0"/>
      <w:marRight w:val="0"/>
      <w:marTop w:val="0"/>
      <w:marBottom w:val="0"/>
      <w:divBdr>
        <w:top w:val="none" w:sz="0" w:space="0" w:color="auto"/>
        <w:left w:val="none" w:sz="0" w:space="0" w:color="auto"/>
        <w:bottom w:val="none" w:sz="0" w:space="0" w:color="auto"/>
        <w:right w:val="none" w:sz="0" w:space="0" w:color="auto"/>
      </w:divBdr>
    </w:div>
    <w:div w:id="987244078">
      <w:bodyDiv w:val="1"/>
      <w:marLeft w:val="0"/>
      <w:marRight w:val="0"/>
      <w:marTop w:val="0"/>
      <w:marBottom w:val="0"/>
      <w:divBdr>
        <w:top w:val="none" w:sz="0" w:space="0" w:color="auto"/>
        <w:left w:val="none" w:sz="0" w:space="0" w:color="auto"/>
        <w:bottom w:val="none" w:sz="0" w:space="0" w:color="auto"/>
        <w:right w:val="none" w:sz="0" w:space="0" w:color="auto"/>
      </w:divBdr>
    </w:div>
    <w:div w:id="990139331">
      <w:bodyDiv w:val="1"/>
      <w:marLeft w:val="0"/>
      <w:marRight w:val="0"/>
      <w:marTop w:val="0"/>
      <w:marBottom w:val="0"/>
      <w:divBdr>
        <w:top w:val="none" w:sz="0" w:space="0" w:color="auto"/>
        <w:left w:val="none" w:sz="0" w:space="0" w:color="auto"/>
        <w:bottom w:val="none" w:sz="0" w:space="0" w:color="auto"/>
        <w:right w:val="none" w:sz="0" w:space="0" w:color="auto"/>
      </w:divBdr>
    </w:div>
    <w:div w:id="991250912">
      <w:bodyDiv w:val="1"/>
      <w:marLeft w:val="0"/>
      <w:marRight w:val="0"/>
      <w:marTop w:val="0"/>
      <w:marBottom w:val="0"/>
      <w:divBdr>
        <w:top w:val="none" w:sz="0" w:space="0" w:color="auto"/>
        <w:left w:val="none" w:sz="0" w:space="0" w:color="auto"/>
        <w:bottom w:val="none" w:sz="0" w:space="0" w:color="auto"/>
        <w:right w:val="none" w:sz="0" w:space="0" w:color="auto"/>
      </w:divBdr>
    </w:div>
    <w:div w:id="991519941">
      <w:bodyDiv w:val="1"/>
      <w:marLeft w:val="0"/>
      <w:marRight w:val="0"/>
      <w:marTop w:val="0"/>
      <w:marBottom w:val="0"/>
      <w:divBdr>
        <w:top w:val="none" w:sz="0" w:space="0" w:color="auto"/>
        <w:left w:val="none" w:sz="0" w:space="0" w:color="auto"/>
        <w:bottom w:val="none" w:sz="0" w:space="0" w:color="auto"/>
        <w:right w:val="none" w:sz="0" w:space="0" w:color="auto"/>
      </w:divBdr>
    </w:div>
    <w:div w:id="995694364">
      <w:bodyDiv w:val="1"/>
      <w:marLeft w:val="0"/>
      <w:marRight w:val="0"/>
      <w:marTop w:val="0"/>
      <w:marBottom w:val="0"/>
      <w:divBdr>
        <w:top w:val="none" w:sz="0" w:space="0" w:color="auto"/>
        <w:left w:val="none" w:sz="0" w:space="0" w:color="auto"/>
        <w:bottom w:val="none" w:sz="0" w:space="0" w:color="auto"/>
        <w:right w:val="none" w:sz="0" w:space="0" w:color="auto"/>
      </w:divBdr>
    </w:div>
    <w:div w:id="997727063">
      <w:bodyDiv w:val="1"/>
      <w:marLeft w:val="0"/>
      <w:marRight w:val="0"/>
      <w:marTop w:val="0"/>
      <w:marBottom w:val="0"/>
      <w:divBdr>
        <w:top w:val="none" w:sz="0" w:space="0" w:color="auto"/>
        <w:left w:val="none" w:sz="0" w:space="0" w:color="auto"/>
        <w:bottom w:val="none" w:sz="0" w:space="0" w:color="auto"/>
        <w:right w:val="none" w:sz="0" w:space="0" w:color="auto"/>
      </w:divBdr>
    </w:div>
    <w:div w:id="1000892552">
      <w:bodyDiv w:val="1"/>
      <w:marLeft w:val="0"/>
      <w:marRight w:val="0"/>
      <w:marTop w:val="0"/>
      <w:marBottom w:val="0"/>
      <w:divBdr>
        <w:top w:val="none" w:sz="0" w:space="0" w:color="auto"/>
        <w:left w:val="none" w:sz="0" w:space="0" w:color="auto"/>
        <w:bottom w:val="none" w:sz="0" w:space="0" w:color="auto"/>
        <w:right w:val="none" w:sz="0" w:space="0" w:color="auto"/>
      </w:divBdr>
    </w:div>
    <w:div w:id="1004672824">
      <w:bodyDiv w:val="1"/>
      <w:marLeft w:val="0"/>
      <w:marRight w:val="0"/>
      <w:marTop w:val="0"/>
      <w:marBottom w:val="0"/>
      <w:divBdr>
        <w:top w:val="none" w:sz="0" w:space="0" w:color="auto"/>
        <w:left w:val="none" w:sz="0" w:space="0" w:color="auto"/>
        <w:bottom w:val="none" w:sz="0" w:space="0" w:color="auto"/>
        <w:right w:val="none" w:sz="0" w:space="0" w:color="auto"/>
      </w:divBdr>
    </w:div>
    <w:div w:id="1016805856">
      <w:bodyDiv w:val="1"/>
      <w:marLeft w:val="0"/>
      <w:marRight w:val="0"/>
      <w:marTop w:val="0"/>
      <w:marBottom w:val="0"/>
      <w:divBdr>
        <w:top w:val="none" w:sz="0" w:space="0" w:color="auto"/>
        <w:left w:val="none" w:sz="0" w:space="0" w:color="auto"/>
        <w:bottom w:val="none" w:sz="0" w:space="0" w:color="auto"/>
        <w:right w:val="none" w:sz="0" w:space="0" w:color="auto"/>
      </w:divBdr>
    </w:div>
    <w:div w:id="1017345408">
      <w:bodyDiv w:val="1"/>
      <w:marLeft w:val="0"/>
      <w:marRight w:val="0"/>
      <w:marTop w:val="0"/>
      <w:marBottom w:val="0"/>
      <w:divBdr>
        <w:top w:val="none" w:sz="0" w:space="0" w:color="auto"/>
        <w:left w:val="none" w:sz="0" w:space="0" w:color="auto"/>
        <w:bottom w:val="none" w:sz="0" w:space="0" w:color="auto"/>
        <w:right w:val="none" w:sz="0" w:space="0" w:color="auto"/>
      </w:divBdr>
    </w:div>
    <w:div w:id="1020424605">
      <w:bodyDiv w:val="1"/>
      <w:marLeft w:val="0"/>
      <w:marRight w:val="0"/>
      <w:marTop w:val="0"/>
      <w:marBottom w:val="0"/>
      <w:divBdr>
        <w:top w:val="none" w:sz="0" w:space="0" w:color="auto"/>
        <w:left w:val="none" w:sz="0" w:space="0" w:color="auto"/>
        <w:bottom w:val="none" w:sz="0" w:space="0" w:color="auto"/>
        <w:right w:val="none" w:sz="0" w:space="0" w:color="auto"/>
      </w:divBdr>
    </w:div>
    <w:div w:id="1027440337">
      <w:bodyDiv w:val="1"/>
      <w:marLeft w:val="0"/>
      <w:marRight w:val="0"/>
      <w:marTop w:val="0"/>
      <w:marBottom w:val="0"/>
      <w:divBdr>
        <w:top w:val="none" w:sz="0" w:space="0" w:color="auto"/>
        <w:left w:val="none" w:sz="0" w:space="0" w:color="auto"/>
        <w:bottom w:val="none" w:sz="0" w:space="0" w:color="auto"/>
        <w:right w:val="none" w:sz="0" w:space="0" w:color="auto"/>
      </w:divBdr>
    </w:div>
    <w:div w:id="1029527479">
      <w:bodyDiv w:val="1"/>
      <w:marLeft w:val="0"/>
      <w:marRight w:val="0"/>
      <w:marTop w:val="0"/>
      <w:marBottom w:val="0"/>
      <w:divBdr>
        <w:top w:val="none" w:sz="0" w:space="0" w:color="auto"/>
        <w:left w:val="none" w:sz="0" w:space="0" w:color="auto"/>
        <w:bottom w:val="none" w:sz="0" w:space="0" w:color="auto"/>
        <w:right w:val="none" w:sz="0" w:space="0" w:color="auto"/>
      </w:divBdr>
    </w:div>
    <w:div w:id="1029725184">
      <w:bodyDiv w:val="1"/>
      <w:marLeft w:val="0"/>
      <w:marRight w:val="0"/>
      <w:marTop w:val="0"/>
      <w:marBottom w:val="0"/>
      <w:divBdr>
        <w:top w:val="none" w:sz="0" w:space="0" w:color="auto"/>
        <w:left w:val="none" w:sz="0" w:space="0" w:color="auto"/>
        <w:bottom w:val="none" w:sz="0" w:space="0" w:color="auto"/>
        <w:right w:val="none" w:sz="0" w:space="0" w:color="auto"/>
      </w:divBdr>
    </w:div>
    <w:div w:id="1030034976">
      <w:bodyDiv w:val="1"/>
      <w:marLeft w:val="0"/>
      <w:marRight w:val="0"/>
      <w:marTop w:val="0"/>
      <w:marBottom w:val="0"/>
      <w:divBdr>
        <w:top w:val="none" w:sz="0" w:space="0" w:color="auto"/>
        <w:left w:val="none" w:sz="0" w:space="0" w:color="auto"/>
        <w:bottom w:val="none" w:sz="0" w:space="0" w:color="auto"/>
        <w:right w:val="none" w:sz="0" w:space="0" w:color="auto"/>
      </w:divBdr>
    </w:div>
    <w:div w:id="1030833923">
      <w:bodyDiv w:val="1"/>
      <w:marLeft w:val="0"/>
      <w:marRight w:val="0"/>
      <w:marTop w:val="0"/>
      <w:marBottom w:val="0"/>
      <w:divBdr>
        <w:top w:val="none" w:sz="0" w:space="0" w:color="auto"/>
        <w:left w:val="none" w:sz="0" w:space="0" w:color="auto"/>
        <w:bottom w:val="none" w:sz="0" w:space="0" w:color="auto"/>
        <w:right w:val="none" w:sz="0" w:space="0" w:color="auto"/>
      </w:divBdr>
    </w:div>
    <w:div w:id="1031028396">
      <w:bodyDiv w:val="1"/>
      <w:marLeft w:val="0"/>
      <w:marRight w:val="0"/>
      <w:marTop w:val="0"/>
      <w:marBottom w:val="0"/>
      <w:divBdr>
        <w:top w:val="none" w:sz="0" w:space="0" w:color="auto"/>
        <w:left w:val="none" w:sz="0" w:space="0" w:color="auto"/>
        <w:bottom w:val="none" w:sz="0" w:space="0" w:color="auto"/>
        <w:right w:val="none" w:sz="0" w:space="0" w:color="auto"/>
      </w:divBdr>
    </w:div>
    <w:div w:id="1031034494">
      <w:bodyDiv w:val="1"/>
      <w:marLeft w:val="0"/>
      <w:marRight w:val="0"/>
      <w:marTop w:val="0"/>
      <w:marBottom w:val="0"/>
      <w:divBdr>
        <w:top w:val="none" w:sz="0" w:space="0" w:color="auto"/>
        <w:left w:val="none" w:sz="0" w:space="0" w:color="auto"/>
        <w:bottom w:val="none" w:sz="0" w:space="0" w:color="auto"/>
        <w:right w:val="none" w:sz="0" w:space="0" w:color="auto"/>
      </w:divBdr>
    </w:div>
    <w:div w:id="1032923546">
      <w:bodyDiv w:val="1"/>
      <w:marLeft w:val="0"/>
      <w:marRight w:val="0"/>
      <w:marTop w:val="0"/>
      <w:marBottom w:val="0"/>
      <w:divBdr>
        <w:top w:val="none" w:sz="0" w:space="0" w:color="auto"/>
        <w:left w:val="none" w:sz="0" w:space="0" w:color="auto"/>
        <w:bottom w:val="none" w:sz="0" w:space="0" w:color="auto"/>
        <w:right w:val="none" w:sz="0" w:space="0" w:color="auto"/>
      </w:divBdr>
    </w:div>
    <w:div w:id="1034421964">
      <w:bodyDiv w:val="1"/>
      <w:marLeft w:val="0"/>
      <w:marRight w:val="0"/>
      <w:marTop w:val="0"/>
      <w:marBottom w:val="0"/>
      <w:divBdr>
        <w:top w:val="none" w:sz="0" w:space="0" w:color="auto"/>
        <w:left w:val="none" w:sz="0" w:space="0" w:color="auto"/>
        <w:bottom w:val="none" w:sz="0" w:space="0" w:color="auto"/>
        <w:right w:val="none" w:sz="0" w:space="0" w:color="auto"/>
      </w:divBdr>
    </w:div>
    <w:div w:id="1035620756">
      <w:bodyDiv w:val="1"/>
      <w:marLeft w:val="0"/>
      <w:marRight w:val="0"/>
      <w:marTop w:val="0"/>
      <w:marBottom w:val="0"/>
      <w:divBdr>
        <w:top w:val="none" w:sz="0" w:space="0" w:color="auto"/>
        <w:left w:val="none" w:sz="0" w:space="0" w:color="auto"/>
        <w:bottom w:val="none" w:sz="0" w:space="0" w:color="auto"/>
        <w:right w:val="none" w:sz="0" w:space="0" w:color="auto"/>
      </w:divBdr>
    </w:div>
    <w:div w:id="1035813590">
      <w:bodyDiv w:val="1"/>
      <w:marLeft w:val="0"/>
      <w:marRight w:val="0"/>
      <w:marTop w:val="0"/>
      <w:marBottom w:val="0"/>
      <w:divBdr>
        <w:top w:val="none" w:sz="0" w:space="0" w:color="auto"/>
        <w:left w:val="none" w:sz="0" w:space="0" w:color="auto"/>
        <w:bottom w:val="none" w:sz="0" w:space="0" w:color="auto"/>
        <w:right w:val="none" w:sz="0" w:space="0" w:color="auto"/>
      </w:divBdr>
    </w:div>
    <w:div w:id="1036926930">
      <w:bodyDiv w:val="1"/>
      <w:marLeft w:val="0"/>
      <w:marRight w:val="0"/>
      <w:marTop w:val="0"/>
      <w:marBottom w:val="0"/>
      <w:divBdr>
        <w:top w:val="none" w:sz="0" w:space="0" w:color="auto"/>
        <w:left w:val="none" w:sz="0" w:space="0" w:color="auto"/>
        <w:bottom w:val="none" w:sz="0" w:space="0" w:color="auto"/>
        <w:right w:val="none" w:sz="0" w:space="0" w:color="auto"/>
      </w:divBdr>
    </w:div>
    <w:div w:id="1043406284">
      <w:bodyDiv w:val="1"/>
      <w:marLeft w:val="0"/>
      <w:marRight w:val="0"/>
      <w:marTop w:val="0"/>
      <w:marBottom w:val="0"/>
      <w:divBdr>
        <w:top w:val="none" w:sz="0" w:space="0" w:color="auto"/>
        <w:left w:val="none" w:sz="0" w:space="0" w:color="auto"/>
        <w:bottom w:val="none" w:sz="0" w:space="0" w:color="auto"/>
        <w:right w:val="none" w:sz="0" w:space="0" w:color="auto"/>
      </w:divBdr>
    </w:div>
    <w:div w:id="1050960121">
      <w:bodyDiv w:val="1"/>
      <w:marLeft w:val="0"/>
      <w:marRight w:val="0"/>
      <w:marTop w:val="0"/>
      <w:marBottom w:val="0"/>
      <w:divBdr>
        <w:top w:val="none" w:sz="0" w:space="0" w:color="auto"/>
        <w:left w:val="none" w:sz="0" w:space="0" w:color="auto"/>
        <w:bottom w:val="none" w:sz="0" w:space="0" w:color="auto"/>
        <w:right w:val="none" w:sz="0" w:space="0" w:color="auto"/>
      </w:divBdr>
    </w:div>
    <w:div w:id="1051928673">
      <w:bodyDiv w:val="1"/>
      <w:marLeft w:val="0"/>
      <w:marRight w:val="0"/>
      <w:marTop w:val="0"/>
      <w:marBottom w:val="0"/>
      <w:divBdr>
        <w:top w:val="none" w:sz="0" w:space="0" w:color="auto"/>
        <w:left w:val="none" w:sz="0" w:space="0" w:color="auto"/>
        <w:bottom w:val="none" w:sz="0" w:space="0" w:color="auto"/>
        <w:right w:val="none" w:sz="0" w:space="0" w:color="auto"/>
      </w:divBdr>
    </w:div>
    <w:div w:id="1055199177">
      <w:bodyDiv w:val="1"/>
      <w:marLeft w:val="0"/>
      <w:marRight w:val="0"/>
      <w:marTop w:val="0"/>
      <w:marBottom w:val="0"/>
      <w:divBdr>
        <w:top w:val="none" w:sz="0" w:space="0" w:color="auto"/>
        <w:left w:val="none" w:sz="0" w:space="0" w:color="auto"/>
        <w:bottom w:val="none" w:sz="0" w:space="0" w:color="auto"/>
        <w:right w:val="none" w:sz="0" w:space="0" w:color="auto"/>
      </w:divBdr>
    </w:div>
    <w:div w:id="1055930418">
      <w:bodyDiv w:val="1"/>
      <w:marLeft w:val="0"/>
      <w:marRight w:val="0"/>
      <w:marTop w:val="0"/>
      <w:marBottom w:val="0"/>
      <w:divBdr>
        <w:top w:val="none" w:sz="0" w:space="0" w:color="auto"/>
        <w:left w:val="none" w:sz="0" w:space="0" w:color="auto"/>
        <w:bottom w:val="none" w:sz="0" w:space="0" w:color="auto"/>
        <w:right w:val="none" w:sz="0" w:space="0" w:color="auto"/>
      </w:divBdr>
    </w:div>
    <w:div w:id="1056321753">
      <w:bodyDiv w:val="1"/>
      <w:marLeft w:val="0"/>
      <w:marRight w:val="0"/>
      <w:marTop w:val="0"/>
      <w:marBottom w:val="0"/>
      <w:divBdr>
        <w:top w:val="none" w:sz="0" w:space="0" w:color="auto"/>
        <w:left w:val="none" w:sz="0" w:space="0" w:color="auto"/>
        <w:bottom w:val="none" w:sz="0" w:space="0" w:color="auto"/>
        <w:right w:val="none" w:sz="0" w:space="0" w:color="auto"/>
      </w:divBdr>
    </w:div>
    <w:div w:id="1057820932">
      <w:bodyDiv w:val="1"/>
      <w:marLeft w:val="0"/>
      <w:marRight w:val="0"/>
      <w:marTop w:val="0"/>
      <w:marBottom w:val="0"/>
      <w:divBdr>
        <w:top w:val="none" w:sz="0" w:space="0" w:color="auto"/>
        <w:left w:val="none" w:sz="0" w:space="0" w:color="auto"/>
        <w:bottom w:val="none" w:sz="0" w:space="0" w:color="auto"/>
        <w:right w:val="none" w:sz="0" w:space="0" w:color="auto"/>
      </w:divBdr>
    </w:div>
    <w:div w:id="1059018196">
      <w:bodyDiv w:val="1"/>
      <w:marLeft w:val="0"/>
      <w:marRight w:val="0"/>
      <w:marTop w:val="0"/>
      <w:marBottom w:val="0"/>
      <w:divBdr>
        <w:top w:val="none" w:sz="0" w:space="0" w:color="auto"/>
        <w:left w:val="none" w:sz="0" w:space="0" w:color="auto"/>
        <w:bottom w:val="none" w:sz="0" w:space="0" w:color="auto"/>
        <w:right w:val="none" w:sz="0" w:space="0" w:color="auto"/>
      </w:divBdr>
    </w:div>
    <w:div w:id="1060326253">
      <w:bodyDiv w:val="1"/>
      <w:marLeft w:val="0"/>
      <w:marRight w:val="0"/>
      <w:marTop w:val="0"/>
      <w:marBottom w:val="0"/>
      <w:divBdr>
        <w:top w:val="none" w:sz="0" w:space="0" w:color="auto"/>
        <w:left w:val="none" w:sz="0" w:space="0" w:color="auto"/>
        <w:bottom w:val="none" w:sz="0" w:space="0" w:color="auto"/>
        <w:right w:val="none" w:sz="0" w:space="0" w:color="auto"/>
      </w:divBdr>
    </w:div>
    <w:div w:id="1063605471">
      <w:bodyDiv w:val="1"/>
      <w:marLeft w:val="0"/>
      <w:marRight w:val="0"/>
      <w:marTop w:val="0"/>
      <w:marBottom w:val="0"/>
      <w:divBdr>
        <w:top w:val="none" w:sz="0" w:space="0" w:color="auto"/>
        <w:left w:val="none" w:sz="0" w:space="0" w:color="auto"/>
        <w:bottom w:val="none" w:sz="0" w:space="0" w:color="auto"/>
        <w:right w:val="none" w:sz="0" w:space="0" w:color="auto"/>
      </w:divBdr>
    </w:div>
    <w:div w:id="1063867748">
      <w:bodyDiv w:val="1"/>
      <w:marLeft w:val="0"/>
      <w:marRight w:val="0"/>
      <w:marTop w:val="0"/>
      <w:marBottom w:val="0"/>
      <w:divBdr>
        <w:top w:val="none" w:sz="0" w:space="0" w:color="auto"/>
        <w:left w:val="none" w:sz="0" w:space="0" w:color="auto"/>
        <w:bottom w:val="none" w:sz="0" w:space="0" w:color="auto"/>
        <w:right w:val="none" w:sz="0" w:space="0" w:color="auto"/>
      </w:divBdr>
      <w:divsChild>
        <w:div w:id="1345936388">
          <w:marLeft w:val="480"/>
          <w:marRight w:val="0"/>
          <w:marTop w:val="0"/>
          <w:marBottom w:val="0"/>
          <w:divBdr>
            <w:top w:val="none" w:sz="0" w:space="0" w:color="auto"/>
            <w:left w:val="none" w:sz="0" w:space="0" w:color="auto"/>
            <w:bottom w:val="none" w:sz="0" w:space="0" w:color="auto"/>
            <w:right w:val="none" w:sz="0" w:space="0" w:color="auto"/>
          </w:divBdr>
        </w:div>
        <w:div w:id="581064816">
          <w:marLeft w:val="480"/>
          <w:marRight w:val="0"/>
          <w:marTop w:val="0"/>
          <w:marBottom w:val="0"/>
          <w:divBdr>
            <w:top w:val="none" w:sz="0" w:space="0" w:color="auto"/>
            <w:left w:val="none" w:sz="0" w:space="0" w:color="auto"/>
            <w:bottom w:val="none" w:sz="0" w:space="0" w:color="auto"/>
            <w:right w:val="none" w:sz="0" w:space="0" w:color="auto"/>
          </w:divBdr>
        </w:div>
        <w:div w:id="1803956367">
          <w:marLeft w:val="480"/>
          <w:marRight w:val="0"/>
          <w:marTop w:val="0"/>
          <w:marBottom w:val="0"/>
          <w:divBdr>
            <w:top w:val="none" w:sz="0" w:space="0" w:color="auto"/>
            <w:left w:val="none" w:sz="0" w:space="0" w:color="auto"/>
            <w:bottom w:val="none" w:sz="0" w:space="0" w:color="auto"/>
            <w:right w:val="none" w:sz="0" w:space="0" w:color="auto"/>
          </w:divBdr>
        </w:div>
        <w:div w:id="1929466077">
          <w:marLeft w:val="480"/>
          <w:marRight w:val="0"/>
          <w:marTop w:val="0"/>
          <w:marBottom w:val="0"/>
          <w:divBdr>
            <w:top w:val="none" w:sz="0" w:space="0" w:color="auto"/>
            <w:left w:val="none" w:sz="0" w:space="0" w:color="auto"/>
            <w:bottom w:val="none" w:sz="0" w:space="0" w:color="auto"/>
            <w:right w:val="none" w:sz="0" w:space="0" w:color="auto"/>
          </w:divBdr>
        </w:div>
        <w:div w:id="1073427246">
          <w:marLeft w:val="480"/>
          <w:marRight w:val="0"/>
          <w:marTop w:val="0"/>
          <w:marBottom w:val="0"/>
          <w:divBdr>
            <w:top w:val="none" w:sz="0" w:space="0" w:color="auto"/>
            <w:left w:val="none" w:sz="0" w:space="0" w:color="auto"/>
            <w:bottom w:val="none" w:sz="0" w:space="0" w:color="auto"/>
            <w:right w:val="none" w:sz="0" w:space="0" w:color="auto"/>
          </w:divBdr>
        </w:div>
        <w:div w:id="2128504962">
          <w:marLeft w:val="480"/>
          <w:marRight w:val="0"/>
          <w:marTop w:val="0"/>
          <w:marBottom w:val="0"/>
          <w:divBdr>
            <w:top w:val="none" w:sz="0" w:space="0" w:color="auto"/>
            <w:left w:val="none" w:sz="0" w:space="0" w:color="auto"/>
            <w:bottom w:val="none" w:sz="0" w:space="0" w:color="auto"/>
            <w:right w:val="none" w:sz="0" w:space="0" w:color="auto"/>
          </w:divBdr>
        </w:div>
        <w:div w:id="1641886926">
          <w:marLeft w:val="480"/>
          <w:marRight w:val="0"/>
          <w:marTop w:val="0"/>
          <w:marBottom w:val="0"/>
          <w:divBdr>
            <w:top w:val="none" w:sz="0" w:space="0" w:color="auto"/>
            <w:left w:val="none" w:sz="0" w:space="0" w:color="auto"/>
            <w:bottom w:val="none" w:sz="0" w:space="0" w:color="auto"/>
            <w:right w:val="none" w:sz="0" w:space="0" w:color="auto"/>
          </w:divBdr>
        </w:div>
        <w:div w:id="1793016576">
          <w:marLeft w:val="480"/>
          <w:marRight w:val="0"/>
          <w:marTop w:val="0"/>
          <w:marBottom w:val="0"/>
          <w:divBdr>
            <w:top w:val="none" w:sz="0" w:space="0" w:color="auto"/>
            <w:left w:val="none" w:sz="0" w:space="0" w:color="auto"/>
            <w:bottom w:val="none" w:sz="0" w:space="0" w:color="auto"/>
            <w:right w:val="none" w:sz="0" w:space="0" w:color="auto"/>
          </w:divBdr>
        </w:div>
        <w:div w:id="89545449">
          <w:marLeft w:val="480"/>
          <w:marRight w:val="0"/>
          <w:marTop w:val="0"/>
          <w:marBottom w:val="0"/>
          <w:divBdr>
            <w:top w:val="none" w:sz="0" w:space="0" w:color="auto"/>
            <w:left w:val="none" w:sz="0" w:space="0" w:color="auto"/>
            <w:bottom w:val="none" w:sz="0" w:space="0" w:color="auto"/>
            <w:right w:val="none" w:sz="0" w:space="0" w:color="auto"/>
          </w:divBdr>
        </w:div>
        <w:div w:id="1160463580">
          <w:marLeft w:val="480"/>
          <w:marRight w:val="0"/>
          <w:marTop w:val="0"/>
          <w:marBottom w:val="0"/>
          <w:divBdr>
            <w:top w:val="none" w:sz="0" w:space="0" w:color="auto"/>
            <w:left w:val="none" w:sz="0" w:space="0" w:color="auto"/>
            <w:bottom w:val="none" w:sz="0" w:space="0" w:color="auto"/>
            <w:right w:val="none" w:sz="0" w:space="0" w:color="auto"/>
          </w:divBdr>
        </w:div>
        <w:div w:id="1282032164">
          <w:marLeft w:val="480"/>
          <w:marRight w:val="0"/>
          <w:marTop w:val="0"/>
          <w:marBottom w:val="0"/>
          <w:divBdr>
            <w:top w:val="none" w:sz="0" w:space="0" w:color="auto"/>
            <w:left w:val="none" w:sz="0" w:space="0" w:color="auto"/>
            <w:bottom w:val="none" w:sz="0" w:space="0" w:color="auto"/>
            <w:right w:val="none" w:sz="0" w:space="0" w:color="auto"/>
          </w:divBdr>
        </w:div>
        <w:div w:id="207500685">
          <w:marLeft w:val="480"/>
          <w:marRight w:val="0"/>
          <w:marTop w:val="0"/>
          <w:marBottom w:val="0"/>
          <w:divBdr>
            <w:top w:val="none" w:sz="0" w:space="0" w:color="auto"/>
            <w:left w:val="none" w:sz="0" w:space="0" w:color="auto"/>
            <w:bottom w:val="none" w:sz="0" w:space="0" w:color="auto"/>
            <w:right w:val="none" w:sz="0" w:space="0" w:color="auto"/>
          </w:divBdr>
        </w:div>
        <w:div w:id="2021394489">
          <w:marLeft w:val="480"/>
          <w:marRight w:val="0"/>
          <w:marTop w:val="0"/>
          <w:marBottom w:val="0"/>
          <w:divBdr>
            <w:top w:val="none" w:sz="0" w:space="0" w:color="auto"/>
            <w:left w:val="none" w:sz="0" w:space="0" w:color="auto"/>
            <w:bottom w:val="none" w:sz="0" w:space="0" w:color="auto"/>
            <w:right w:val="none" w:sz="0" w:space="0" w:color="auto"/>
          </w:divBdr>
        </w:div>
        <w:div w:id="1926567731">
          <w:marLeft w:val="480"/>
          <w:marRight w:val="0"/>
          <w:marTop w:val="0"/>
          <w:marBottom w:val="0"/>
          <w:divBdr>
            <w:top w:val="none" w:sz="0" w:space="0" w:color="auto"/>
            <w:left w:val="none" w:sz="0" w:space="0" w:color="auto"/>
            <w:bottom w:val="none" w:sz="0" w:space="0" w:color="auto"/>
            <w:right w:val="none" w:sz="0" w:space="0" w:color="auto"/>
          </w:divBdr>
        </w:div>
        <w:div w:id="545215786">
          <w:marLeft w:val="480"/>
          <w:marRight w:val="0"/>
          <w:marTop w:val="0"/>
          <w:marBottom w:val="0"/>
          <w:divBdr>
            <w:top w:val="none" w:sz="0" w:space="0" w:color="auto"/>
            <w:left w:val="none" w:sz="0" w:space="0" w:color="auto"/>
            <w:bottom w:val="none" w:sz="0" w:space="0" w:color="auto"/>
            <w:right w:val="none" w:sz="0" w:space="0" w:color="auto"/>
          </w:divBdr>
        </w:div>
        <w:div w:id="1467353738">
          <w:marLeft w:val="480"/>
          <w:marRight w:val="0"/>
          <w:marTop w:val="0"/>
          <w:marBottom w:val="0"/>
          <w:divBdr>
            <w:top w:val="none" w:sz="0" w:space="0" w:color="auto"/>
            <w:left w:val="none" w:sz="0" w:space="0" w:color="auto"/>
            <w:bottom w:val="none" w:sz="0" w:space="0" w:color="auto"/>
            <w:right w:val="none" w:sz="0" w:space="0" w:color="auto"/>
          </w:divBdr>
        </w:div>
        <w:div w:id="1270310619">
          <w:marLeft w:val="480"/>
          <w:marRight w:val="0"/>
          <w:marTop w:val="0"/>
          <w:marBottom w:val="0"/>
          <w:divBdr>
            <w:top w:val="none" w:sz="0" w:space="0" w:color="auto"/>
            <w:left w:val="none" w:sz="0" w:space="0" w:color="auto"/>
            <w:bottom w:val="none" w:sz="0" w:space="0" w:color="auto"/>
            <w:right w:val="none" w:sz="0" w:space="0" w:color="auto"/>
          </w:divBdr>
        </w:div>
        <w:div w:id="409498574">
          <w:marLeft w:val="480"/>
          <w:marRight w:val="0"/>
          <w:marTop w:val="0"/>
          <w:marBottom w:val="0"/>
          <w:divBdr>
            <w:top w:val="none" w:sz="0" w:space="0" w:color="auto"/>
            <w:left w:val="none" w:sz="0" w:space="0" w:color="auto"/>
            <w:bottom w:val="none" w:sz="0" w:space="0" w:color="auto"/>
            <w:right w:val="none" w:sz="0" w:space="0" w:color="auto"/>
          </w:divBdr>
        </w:div>
        <w:div w:id="1073772074">
          <w:marLeft w:val="480"/>
          <w:marRight w:val="0"/>
          <w:marTop w:val="0"/>
          <w:marBottom w:val="0"/>
          <w:divBdr>
            <w:top w:val="none" w:sz="0" w:space="0" w:color="auto"/>
            <w:left w:val="none" w:sz="0" w:space="0" w:color="auto"/>
            <w:bottom w:val="none" w:sz="0" w:space="0" w:color="auto"/>
            <w:right w:val="none" w:sz="0" w:space="0" w:color="auto"/>
          </w:divBdr>
        </w:div>
        <w:div w:id="1592738568">
          <w:marLeft w:val="480"/>
          <w:marRight w:val="0"/>
          <w:marTop w:val="0"/>
          <w:marBottom w:val="0"/>
          <w:divBdr>
            <w:top w:val="none" w:sz="0" w:space="0" w:color="auto"/>
            <w:left w:val="none" w:sz="0" w:space="0" w:color="auto"/>
            <w:bottom w:val="none" w:sz="0" w:space="0" w:color="auto"/>
            <w:right w:val="none" w:sz="0" w:space="0" w:color="auto"/>
          </w:divBdr>
        </w:div>
        <w:div w:id="390156932">
          <w:marLeft w:val="480"/>
          <w:marRight w:val="0"/>
          <w:marTop w:val="0"/>
          <w:marBottom w:val="0"/>
          <w:divBdr>
            <w:top w:val="none" w:sz="0" w:space="0" w:color="auto"/>
            <w:left w:val="none" w:sz="0" w:space="0" w:color="auto"/>
            <w:bottom w:val="none" w:sz="0" w:space="0" w:color="auto"/>
            <w:right w:val="none" w:sz="0" w:space="0" w:color="auto"/>
          </w:divBdr>
        </w:div>
        <w:div w:id="846017998">
          <w:marLeft w:val="480"/>
          <w:marRight w:val="0"/>
          <w:marTop w:val="0"/>
          <w:marBottom w:val="0"/>
          <w:divBdr>
            <w:top w:val="none" w:sz="0" w:space="0" w:color="auto"/>
            <w:left w:val="none" w:sz="0" w:space="0" w:color="auto"/>
            <w:bottom w:val="none" w:sz="0" w:space="0" w:color="auto"/>
            <w:right w:val="none" w:sz="0" w:space="0" w:color="auto"/>
          </w:divBdr>
        </w:div>
        <w:div w:id="720598466">
          <w:marLeft w:val="480"/>
          <w:marRight w:val="0"/>
          <w:marTop w:val="0"/>
          <w:marBottom w:val="0"/>
          <w:divBdr>
            <w:top w:val="none" w:sz="0" w:space="0" w:color="auto"/>
            <w:left w:val="none" w:sz="0" w:space="0" w:color="auto"/>
            <w:bottom w:val="none" w:sz="0" w:space="0" w:color="auto"/>
            <w:right w:val="none" w:sz="0" w:space="0" w:color="auto"/>
          </w:divBdr>
        </w:div>
        <w:div w:id="915628013">
          <w:marLeft w:val="480"/>
          <w:marRight w:val="0"/>
          <w:marTop w:val="0"/>
          <w:marBottom w:val="0"/>
          <w:divBdr>
            <w:top w:val="none" w:sz="0" w:space="0" w:color="auto"/>
            <w:left w:val="none" w:sz="0" w:space="0" w:color="auto"/>
            <w:bottom w:val="none" w:sz="0" w:space="0" w:color="auto"/>
            <w:right w:val="none" w:sz="0" w:space="0" w:color="auto"/>
          </w:divBdr>
        </w:div>
        <w:div w:id="586768785">
          <w:marLeft w:val="480"/>
          <w:marRight w:val="0"/>
          <w:marTop w:val="0"/>
          <w:marBottom w:val="0"/>
          <w:divBdr>
            <w:top w:val="none" w:sz="0" w:space="0" w:color="auto"/>
            <w:left w:val="none" w:sz="0" w:space="0" w:color="auto"/>
            <w:bottom w:val="none" w:sz="0" w:space="0" w:color="auto"/>
            <w:right w:val="none" w:sz="0" w:space="0" w:color="auto"/>
          </w:divBdr>
        </w:div>
        <w:div w:id="501120335">
          <w:marLeft w:val="480"/>
          <w:marRight w:val="0"/>
          <w:marTop w:val="0"/>
          <w:marBottom w:val="0"/>
          <w:divBdr>
            <w:top w:val="none" w:sz="0" w:space="0" w:color="auto"/>
            <w:left w:val="none" w:sz="0" w:space="0" w:color="auto"/>
            <w:bottom w:val="none" w:sz="0" w:space="0" w:color="auto"/>
            <w:right w:val="none" w:sz="0" w:space="0" w:color="auto"/>
          </w:divBdr>
        </w:div>
        <w:div w:id="1536653785">
          <w:marLeft w:val="480"/>
          <w:marRight w:val="0"/>
          <w:marTop w:val="0"/>
          <w:marBottom w:val="0"/>
          <w:divBdr>
            <w:top w:val="none" w:sz="0" w:space="0" w:color="auto"/>
            <w:left w:val="none" w:sz="0" w:space="0" w:color="auto"/>
            <w:bottom w:val="none" w:sz="0" w:space="0" w:color="auto"/>
            <w:right w:val="none" w:sz="0" w:space="0" w:color="auto"/>
          </w:divBdr>
        </w:div>
        <w:div w:id="374472727">
          <w:marLeft w:val="480"/>
          <w:marRight w:val="0"/>
          <w:marTop w:val="0"/>
          <w:marBottom w:val="0"/>
          <w:divBdr>
            <w:top w:val="none" w:sz="0" w:space="0" w:color="auto"/>
            <w:left w:val="none" w:sz="0" w:space="0" w:color="auto"/>
            <w:bottom w:val="none" w:sz="0" w:space="0" w:color="auto"/>
            <w:right w:val="none" w:sz="0" w:space="0" w:color="auto"/>
          </w:divBdr>
        </w:div>
        <w:div w:id="1893692700">
          <w:marLeft w:val="480"/>
          <w:marRight w:val="0"/>
          <w:marTop w:val="0"/>
          <w:marBottom w:val="0"/>
          <w:divBdr>
            <w:top w:val="none" w:sz="0" w:space="0" w:color="auto"/>
            <w:left w:val="none" w:sz="0" w:space="0" w:color="auto"/>
            <w:bottom w:val="none" w:sz="0" w:space="0" w:color="auto"/>
            <w:right w:val="none" w:sz="0" w:space="0" w:color="auto"/>
          </w:divBdr>
        </w:div>
        <w:div w:id="1825274735">
          <w:marLeft w:val="480"/>
          <w:marRight w:val="0"/>
          <w:marTop w:val="0"/>
          <w:marBottom w:val="0"/>
          <w:divBdr>
            <w:top w:val="none" w:sz="0" w:space="0" w:color="auto"/>
            <w:left w:val="none" w:sz="0" w:space="0" w:color="auto"/>
            <w:bottom w:val="none" w:sz="0" w:space="0" w:color="auto"/>
            <w:right w:val="none" w:sz="0" w:space="0" w:color="auto"/>
          </w:divBdr>
        </w:div>
        <w:div w:id="266429657">
          <w:marLeft w:val="480"/>
          <w:marRight w:val="0"/>
          <w:marTop w:val="0"/>
          <w:marBottom w:val="0"/>
          <w:divBdr>
            <w:top w:val="none" w:sz="0" w:space="0" w:color="auto"/>
            <w:left w:val="none" w:sz="0" w:space="0" w:color="auto"/>
            <w:bottom w:val="none" w:sz="0" w:space="0" w:color="auto"/>
            <w:right w:val="none" w:sz="0" w:space="0" w:color="auto"/>
          </w:divBdr>
        </w:div>
        <w:div w:id="2037071443">
          <w:marLeft w:val="480"/>
          <w:marRight w:val="0"/>
          <w:marTop w:val="0"/>
          <w:marBottom w:val="0"/>
          <w:divBdr>
            <w:top w:val="none" w:sz="0" w:space="0" w:color="auto"/>
            <w:left w:val="none" w:sz="0" w:space="0" w:color="auto"/>
            <w:bottom w:val="none" w:sz="0" w:space="0" w:color="auto"/>
            <w:right w:val="none" w:sz="0" w:space="0" w:color="auto"/>
          </w:divBdr>
        </w:div>
        <w:div w:id="172645953">
          <w:marLeft w:val="480"/>
          <w:marRight w:val="0"/>
          <w:marTop w:val="0"/>
          <w:marBottom w:val="0"/>
          <w:divBdr>
            <w:top w:val="none" w:sz="0" w:space="0" w:color="auto"/>
            <w:left w:val="none" w:sz="0" w:space="0" w:color="auto"/>
            <w:bottom w:val="none" w:sz="0" w:space="0" w:color="auto"/>
            <w:right w:val="none" w:sz="0" w:space="0" w:color="auto"/>
          </w:divBdr>
        </w:div>
        <w:div w:id="241571064">
          <w:marLeft w:val="480"/>
          <w:marRight w:val="0"/>
          <w:marTop w:val="0"/>
          <w:marBottom w:val="0"/>
          <w:divBdr>
            <w:top w:val="none" w:sz="0" w:space="0" w:color="auto"/>
            <w:left w:val="none" w:sz="0" w:space="0" w:color="auto"/>
            <w:bottom w:val="none" w:sz="0" w:space="0" w:color="auto"/>
            <w:right w:val="none" w:sz="0" w:space="0" w:color="auto"/>
          </w:divBdr>
        </w:div>
        <w:div w:id="214659658">
          <w:marLeft w:val="480"/>
          <w:marRight w:val="0"/>
          <w:marTop w:val="0"/>
          <w:marBottom w:val="0"/>
          <w:divBdr>
            <w:top w:val="none" w:sz="0" w:space="0" w:color="auto"/>
            <w:left w:val="none" w:sz="0" w:space="0" w:color="auto"/>
            <w:bottom w:val="none" w:sz="0" w:space="0" w:color="auto"/>
            <w:right w:val="none" w:sz="0" w:space="0" w:color="auto"/>
          </w:divBdr>
        </w:div>
        <w:div w:id="845899766">
          <w:marLeft w:val="480"/>
          <w:marRight w:val="0"/>
          <w:marTop w:val="0"/>
          <w:marBottom w:val="0"/>
          <w:divBdr>
            <w:top w:val="none" w:sz="0" w:space="0" w:color="auto"/>
            <w:left w:val="none" w:sz="0" w:space="0" w:color="auto"/>
            <w:bottom w:val="none" w:sz="0" w:space="0" w:color="auto"/>
            <w:right w:val="none" w:sz="0" w:space="0" w:color="auto"/>
          </w:divBdr>
        </w:div>
        <w:div w:id="1740396075">
          <w:marLeft w:val="480"/>
          <w:marRight w:val="0"/>
          <w:marTop w:val="0"/>
          <w:marBottom w:val="0"/>
          <w:divBdr>
            <w:top w:val="none" w:sz="0" w:space="0" w:color="auto"/>
            <w:left w:val="none" w:sz="0" w:space="0" w:color="auto"/>
            <w:bottom w:val="none" w:sz="0" w:space="0" w:color="auto"/>
            <w:right w:val="none" w:sz="0" w:space="0" w:color="auto"/>
          </w:divBdr>
        </w:div>
        <w:div w:id="1511066325">
          <w:marLeft w:val="480"/>
          <w:marRight w:val="0"/>
          <w:marTop w:val="0"/>
          <w:marBottom w:val="0"/>
          <w:divBdr>
            <w:top w:val="none" w:sz="0" w:space="0" w:color="auto"/>
            <w:left w:val="none" w:sz="0" w:space="0" w:color="auto"/>
            <w:bottom w:val="none" w:sz="0" w:space="0" w:color="auto"/>
            <w:right w:val="none" w:sz="0" w:space="0" w:color="auto"/>
          </w:divBdr>
        </w:div>
        <w:div w:id="426385639">
          <w:marLeft w:val="480"/>
          <w:marRight w:val="0"/>
          <w:marTop w:val="0"/>
          <w:marBottom w:val="0"/>
          <w:divBdr>
            <w:top w:val="none" w:sz="0" w:space="0" w:color="auto"/>
            <w:left w:val="none" w:sz="0" w:space="0" w:color="auto"/>
            <w:bottom w:val="none" w:sz="0" w:space="0" w:color="auto"/>
            <w:right w:val="none" w:sz="0" w:space="0" w:color="auto"/>
          </w:divBdr>
        </w:div>
        <w:div w:id="1375813146">
          <w:marLeft w:val="480"/>
          <w:marRight w:val="0"/>
          <w:marTop w:val="0"/>
          <w:marBottom w:val="0"/>
          <w:divBdr>
            <w:top w:val="none" w:sz="0" w:space="0" w:color="auto"/>
            <w:left w:val="none" w:sz="0" w:space="0" w:color="auto"/>
            <w:bottom w:val="none" w:sz="0" w:space="0" w:color="auto"/>
            <w:right w:val="none" w:sz="0" w:space="0" w:color="auto"/>
          </w:divBdr>
        </w:div>
        <w:div w:id="2035692571">
          <w:marLeft w:val="480"/>
          <w:marRight w:val="0"/>
          <w:marTop w:val="0"/>
          <w:marBottom w:val="0"/>
          <w:divBdr>
            <w:top w:val="none" w:sz="0" w:space="0" w:color="auto"/>
            <w:left w:val="none" w:sz="0" w:space="0" w:color="auto"/>
            <w:bottom w:val="none" w:sz="0" w:space="0" w:color="auto"/>
            <w:right w:val="none" w:sz="0" w:space="0" w:color="auto"/>
          </w:divBdr>
        </w:div>
        <w:div w:id="310982775">
          <w:marLeft w:val="480"/>
          <w:marRight w:val="0"/>
          <w:marTop w:val="0"/>
          <w:marBottom w:val="0"/>
          <w:divBdr>
            <w:top w:val="none" w:sz="0" w:space="0" w:color="auto"/>
            <w:left w:val="none" w:sz="0" w:space="0" w:color="auto"/>
            <w:bottom w:val="none" w:sz="0" w:space="0" w:color="auto"/>
            <w:right w:val="none" w:sz="0" w:space="0" w:color="auto"/>
          </w:divBdr>
        </w:div>
        <w:div w:id="1057046470">
          <w:marLeft w:val="480"/>
          <w:marRight w:val="0"/>
          <w:marTop w:val="0"/>
          <w:marBottom w:val="0"/>
          <w:divBdr>
            <w:top w:val="none" w:sz="0" w:space="0" w:color="auto"/>
            <w:left w:val="none" w:sz="0" w:space="0" w:color="auto"/>
            <w:bottom w:val="none" w:sz="0" w:space="0" w:color="auto"/>
            <w:right w:val="none" w:sz="0" w:space="0" w:color="auto"/>
          </w:divBdr>
        </w:div>
        <w:div w:id="460272523">
          <w:marLeft w:val="480"/>
          <w:marRight w:val="0"/>
          <w:marTop w:val="0"/>
          <w:marBottom w:val="0"/>
          <w:divBdr>
            <w:top w:val="none" w:sz="0" w:space="0" w:color="auto"/>
            <w:left w:val="none" w:sz="0" w:space="0" w:color="auto"/>
            <w:bottom w:val="none" w:sz="0" w:space="0" w:color="auto"/>
            <w:right w:val="none" w:sz="0" w:space="0" w:color="auto"/>
          </w:divBdr>
        </w:div>
        <w:div w:id="2122214418">
          <w:marLeft w:val="480"/>
          <w:marRight w:val="0"/>
          <w:marTop w:val="0"/>
          <w:marBottom w:val="0"/>
          <w:divBdr>
            <w:top w:val="none" w:sz="0" w:space="0" w:color="auto"/>
            <w:left w:val="none" w:sz="0" w:space="0" w:color="auto"/>
            <w:bottom w:val="none" w:sz="0" w:space="0" w:color="auto"/>
            <w:right w:val="none" w:sz="0" w:space="0" w:color="auto"/>
          </w:divBdr>
        </w:div>
        <w:div w:id="535853470">
          <w:marLeft w:val="480"/>
          <w:marRight w:val="0"/>
          <w:marTop w:val="0"/>
          <w:marBottom w:val="0"/>
          <w:divBdr>
            <w:top w:val="none" w:sz="0" w:space="0" w:color="auto"/>
            <w:left w:val="none" w:sz="0" w:space="0" w:color="auto"/>
            <w:bottom w:val="none" w:sz="0" w:space="0" w:color="auto"/>
            <w:right w:val="none" w:sz="0" w:space="0" w:color="auto"/>
          </w:divBdr>
        </w:div>
        <w:div w:id="1389494797">
          <w:marLeft w:val="480"/>
          <w:marRight w:val="0"/>
          <w:marTop w:val="0"/>
          <w:marBottom w:val="0"/>
          <w:divBdr>
            <w:top w:val="none" w:sz="0" w:space="0" w:color="auto"/>
            <w:left w:val="none" w:sz="0" w:space="0" w:color="auto"/>
            <w:bottom w:val="none" w:sz="0" w:space="0" w:color="auto"/>
            <w:right w:val="none" w:sz="0" w:space="0" w:color="auto"/>
          </w:divBdr>
        </w:div>
        <w:div w:id="667681838">
          <w:marLeft w:val="480"/>
          <w:marRight w:val="0"/>
          <w:marTop w:val="0"/>
          <w:marBottom w:val="0"/>
          <w:divBdr>
            <w:top w:val="none" w:sz="0" w:space="0" w:color="auto"/>
            <w:left w:val="none" w:sz="0" w:space="0" w:color="auto"/>
            <w:bottom w:val="none" w:sz="0" w:space="0" w:color="auto"/>
            <w:right w:val="none" w:sz="0" w:space="0" w:color="auto"/>
          </w:divBdr>
        </w:div>
        <w:div w:id="1462729358">
          <w:marLeft w:val="480"/>
          <w:marRight w:val="0"/>
          <w:marTop w:val="0"/>
          <w:marBottom w:val="0"/>
          <w:divBdr>
            <w:top w:val="none" w:sz="0" w:space="0" w:color="auto"/>
            <w:left w:val="none" w:sz="0" w:space="0" w:color="auto"/>
            <w:bottom w:val="none" w:sz="0" w:space="0" w:color="auto"/>
            <w:right w:val="none" w:sz="0" w:space="0" w:color="auto"/>
          </w:divBdr>
        </w:div>
        <w:div w:id="1147432873">
          <w:marLeft w:val="480"/>
          <w:marRight w:val="0"/>
          <w:marTop w:val="0"/>
          <w:marBottom w:val="0"/>
          <w:divBdr>
            <w:top w:val="none" w:sz="0" w:space="0" w:color="auto"/>
            <w:left w:val="none" w:sz="0" w:space="0" w:color="auto"/>
            <w:bottom w:val="none" w:sz="0" w:space="0" w:color="auto"/>
            <w:right w:val="none" w:sz="0" w:space="0" w:color="auto"/>
          </w:divBdr>
        </w:div>
        <w:div w:id="1607424757">
          <w:marLeft w:val="480"/>
          <w:marRight w:val="0"/>
          <w:marTop w:val="0"/>
          <w:marBottom w:val="0"/>
          <w:divBdr>
            <w:top w:val="none" w:sz="0" w:space="0" w:color="auto"/>
            <w:left w:val="none" w:sz="0" w:space="0" w:color="auto"/>
            <w:bottom w:val="none" w:sz="0" w:space="0" w:color="auto"/>
            <w:right w:val="none" w:sz="0" w:space="0" w:color="auto"/>
          </w:divBdr>
        </w:div>
        <w:div w:id="2099595572">
          <w:marLeft w:val="480"/>
          <w:marRight w:val="0"/>
          <w:marTop w:val="0"/>
          <w:marBottom w:val="0"/>
          <w:divBdr>
            <w:top w:val="none" w:sz="0" w:space="0" w:color="auto"/>
            <w:left w:val="none" w:sz="0" w:space="0" w:color="auto"/>
            <w:bottom w:val="none" w:sz="0" w:space="0" w:color="auto"/>
            <w:right w:val="none" w:sz="0" w:space="0" w:color="auto"/>
          </w:divBdr>
        </w:div>
        <w:div w:id="1747191506">
          <w:marLeft w:val="480"/>
          <w:marRight w:val="0"/>
          <w:marTop w:val="0"/>
          <w:marBottom w:val="0"/>
          <w:divBdr>
            <w:top w:val="none" w:sz="0" w:space="0" w:color="auto"/>
            <w:left w:val="none" w:sz="0" w:space="0" w:color="auto"/>
            <w:bottom w:val="none" w:sz="0" w:space="0" w:color="auto"/>
            <w:right w:val="none" w:sz="0" w:space="0" w:color="auto"/>
          </w:divBdr>
        </w:div>
        <w:div w:id="826553363">
          <w:marLeft w:val="480"/>
          <w:marRight w:val="0"/>
          <w:marTop w:val="0"/>
          <w:marBottom w:val="0"/>
          <w:divBdr>
            <w:top w:val="none" w:sz="0" w:space="0" w:color="auto"/>
            <w:left w:val="none" w:sz="0" w:space="0" w:color="auto"/>
            <w:bottom w:val="none" w:sz="0" w:space="0" w:color="auto"/>
            <w:right w:val="none" w:sz="0" w:space="0" w:color="auto"/>
          </w:divBdr>
        </w:div>
        <w:div w:id="1381899488">
          <w:marLeft w:val="480"/>
          <w:marRight w:val="0"/>
          <w:marTop w:val="0"/>
          <w:marBottom w:val="0"/>
          <w:divBdr>
            <w:top w:val="none" w:sz="0" w:space="0" w:color="auto"/>
            <w:left w:val="none" w:sz="0" w:space="0" w:color="auto"/>
            <w:bottom w:val="none" w:sz="0" w:space="0" w:color="auto"/>
            <w:right w:val="none" w:sz="0" w:space="0" w:color="auto"/>
          </w:divBdr>
        </w:div>
        <w:div w:id="1497068401">
          <w:marLeft w:val="480"/>
          <w:marRight w:val="0"/>
          <w:marTop w:val="0"/>
          <w:marBottom w:val="0"/>
          <w:divBdr>
            <w:top w:val="none" w:sz="0" w:space="0" w:color="auto"/>
            <w:left w:val="none" w:sz="0" w:space="0" w:color="auto"/>
            <w:bottom w:val="none" w:sz="0" w:space="0" w:color="auto"/>
            <w:right w:val="none" w:sz="0" w:space="0" w:color="auto"/>
          </w:divBdr>
        </w:div>
        <w:div w:id="1733963106">
          <w:marLeft w:val="480"/>
          <w:marRight w:val="0"/>
          <w:marTop w:val="0"/>
          <w:marBottom w:val="0"/>
          <w:divBdr>
            <w:top w:val="none" w:sz="0" w:space="0" w:color="auto"/>
            <w:left w:val="none" w:sz="0" w:space="0" w:color="auto"/>
            <w:bottom w:val="none" w:sz="0" w:space="0" w:color="auto"/>
            <w:right w:val="none" w:sz="0" w:space="0" w:color="auto"/>
          </w:divBdr>
        </w:div>
        <w:div w:id="389349770">
          <w:marLeft w:val="480"/>
          <w:marRight w:val="0"/>
          <w:marTop w:val="0"/>
          <w:marBottom w:val="0"/>
          <w:divBdr>
            <w:top w:val="none" w:sz="0" w:space="0" w:color="auto"/>
            <w:left w:val="none" w:sz="0" w:space="0" w:color="auto"/>
            <w:bottom w:val="none" w:sz="0" w:space="0" w:color="auto"/>
            <w:right w:val="none" w:sz="0" w:space="0" w:color="auto"/>
          </w:divBdr>
        </w:div>
        <w:div w:id="530339497">
          <w:marLeft w:val="480"/>
          <w:marRight w:val="0"/>
          <w:marTop w:val="0"/>
          <w:marBottom w:val="0"/>
          <w:divBdr>
            <w:top w:val="none" w:sz="0" w:space="0" w:color="auto"/>
            <w:left w:val="none" w:sz="0" w:space="0" w:color="auto"/>
            <w:bottom w:val="none" w:sz="0" w:space="0" w:color="auto"/>
            <w:right w:val="none" w:sz="0" w:space="0" w:color="auto"/>
          </w:divBdr>
        </w:div>
        <w:div w:id="1074474053">
          <w:marLeft w:val="480"/>
          <w:marRight w:val="0"/>
          <w:marTop w:val="0"/>
          <w:marBottom w:val="0"/>
          <w:divBdr>
            <w:top w:val="none" w:sz="0" w:space="0" w:color="auto"/>
            <w:left w:val="none" w:sz="0" w:space="0" w:color="auto"/>
            <w:bottom w:val="none" w:sz="0" w:space="0" w:color="auto"/>
            <w:right w:val="none" w:sz="0" w:space="0" w:color="auto"/>
          </w:divBdr>
        </w:div>
        <w:div w:id="1549562609">
          <w:marLeft w:val="480"/>
          <w:marRight w:val="0"/>
          <w:marTop w:val="0"/>
          <w:marBottom w:val="0"/>
          <w:divBdr>
            <w:top w:val="none" w:sz="0" w:space="0" w:color="auto"/>
            <w:left w:val="none" w:sz="0" w:space="0" w:color="auto"/>
            <w:bottom w:val="none" w:sz="0" w:space="0" w:color="auto"/>
            <w:right w:val="none" w:sz="0" w:space="0" w:color="auto"/>
          </w:divBdr>
        </w:div>
        <w:div w:id="700740038">
          <w:marLeft w:val="480"/>
          <w:marRight w:val="0"/>
          <w:marTop w:val="0"/>
          <w:marBottom w:val="0"/>
          <w:divBdr>
            <w:top w:val="none" w:sz="0" w:space="0" w:color="auto"/>
            <w:left w:val="none" w:sz="0" w:space="0" w:color="auto"/>
            <w:bottom w:val="none" w:sz="0" w:space="0" w:color="auto"/>
            <w:right w:val="none" w:sz="0" w:space="0" w:color="auto"/>
          </w:divBdr>
        </w:div>
        <w:div w:id="1926645740">
          <w:marLeft w:val="480"/>
          <w:marRight w:val="0"/>
          <w:marTop w:val="0"/>
          <w:marBottom w:val="0"/>
          <w:divBdr>
            <w:top w:val="none" w:sz="0" w:space="0" w:color="auto"/>
            <w:left w:val="none" w:sz="0" w:space="0" w:color="auto"/>
            <w:bottom w:val="none" w:sz="0" w:space="0" w:color="auto"/>
            <w:right w:val="none" w:sz="0" w:space="0" w:color="auto"/>
          </w:divBdr>
        </w:div>
        <w:div w:id="1388845799">
          <w:marLeft w:val="480"/>
          <w:marRight w:val="0"/>
          <w:marTop w:val="0"/>
          <w:marBottom w:val="0"/>
          <w:divBdr>
            <w:top w:val="none" w:sz="0" w:space="0" w:color="auto"/>
            <w:left w:val="none" w:sz="0" w:space="0" w:color="auto"/>
            <w:bottom w:val="none" w:sz="0" w:space="0" w:color="auto"/>
            <w:right w:val="none" w:sz="0" w:space="0" w:color="auto"/>
          </w:divBdr>
        </w:div>
        <w:div w:id="568737219">
          <w:marLeft w:val="480"/>
          <w:marRight w:val="0"/>
          <w:marTop w:val="0"/>
          <w:marBottom w:val="0"/>
          <w:divBdr>
            <w:top w:val="none" w:sz="0" w:space="0" w:color="auto"/>
            <w:left w:val="none" w:sz="0" w:space="0" w:color="auto"/>
            <w:bottom w:val="none" w:sz="0" w:space="0" w:color="auto"/>
            <w:right w:val="none" w:sz="0" w:space="0" w:color="auto"/>
          </w:divBdr>
        </w:div>
        <w:div w:id="2125731259">
          <w:marLeft w:val="480"/>
          <w:marRight w:val="0"/>
          <w:marTop w:val="0"/>
          <w:marBottom w:val="0"/>
          <w:divBdr>
            <w:top w:val="none" w:sz="0" w:space="0" w:color="auto"/>
            <w:left w:val="none" w:sz="0" w:space="0" w:color="auto"/>
            <w:bottom w:val="none" w:sz="0" w:space="0" w:color="auto"/>
            <w:right w:val="none" w:sz="0" w:space="0" w:color="auto"/>
          </w:divBdr>
        </w:div>
        <w:div w:id="839009192">
          <w:marLeft w:val="480"/>
          <w:marRight w:val="0"/>
          <w:marTop w:val="0"/>
          <w:marBottom w:val="0"/>
          <w:divBdr>
            <w:top w:val="none" w:sz="0" w:space="0" w:color="auto"/>
            <w:left w:val="none" w:sz="0" w:space="0" w:color="auto"/>
            <w:bottom w:val="none" w:sz="0" w:space="0" w:color="auto"/>
            <w:right w:val="none" w:sz="0" w:space="0" w:color="auto"/>
          </w:divBdr>
        </w:div>
        <w:div w:id="321738006">
          <w:marLeft w:val="480"/>
          <w:marRight w:val="0"/>
          <w:marTop w:val="0"/>
          <w:marBottom w:val="0"/>
          <w:divBdr>
            <w:top w:val="none" w:sz="0" w:space="0" w:color="auto"/>
            <w:left w:val="none" w:sz="0" w:space="0" w:color="auto"/>
            <w:bottom w:val="none" w:sz="0" w:space="0" w:color="auto"/>
            <w:right w:val="none" w:sz="0" w:space="0" w:color="auto"/>
          </w:divBdr>
        </w:div>
        <w:div w:id="1379738227">
          <w:marLeft w:val="480"/>
          <w:marRight w:val="0"/>
          <w:marTop w:val="0"/>
          <w:marBottom w:val="0"/>
          <w:divBdr>
            <w:top w:val="none" w:sz="0" w:space="0" w:color="auto"/>
            <w:left w:val="none" w:sz="0" w:space="0" w:color="auto"/>
            <w:bottom w:val="none" w:sz="0" w:space="0" w:color="auto"/>
            <w:right w:val="none" w:sz="0" w:space="0" w:color="auto"/>
          </w:divBdr>
        </w:div>
        <w:div w:id="902565656">
          <w:marLeft w:val="480"/>
          <w:marRight w:val="0"/>
          <w:marTop w:val="0"/>
          <w:marBottom w:val="0"/>
          <w:divBdr>
            <w:top w:val="none" w:sz="0" w:space="0" w:color="auto"/>
            <w:left w:val="none" w:sz="0" w:space="0" w:color="auto"/>
            <w:bottom w:val="none" w:sz="0" w:space="0" w:color="auto"/>
            <w:right w:val="none" w:sz="0" w:space="0" w:color="auto"/>
          </w:divBdr>
        </w:div>
        <w:div w:id="595792153">
          <w:marLeft w:val="480"/>
          <w:marRight w:val="0"/>
          <w:marTop w:val="0"/>
          <w:marBottom w:val="0"/>
          <w:divBdr>
            <w:top w:val="none" w:sz="0" w:space="0" w:color="auto"/>
            <w:left w:val="none" w:sz="0" w:space="0" w:color="auto"/>
            <w:bottom w:val="none" w:sz="0" w:space="0" w:color="auto"/>
            <w:right w:val="none" w:sz="0" w:space="0" w:color="auto"/>
          </w:divBdr>
        </w:div>
        <w:div w:id="2117560379">
          <w:marLeft w:val="480"/>
          <w:marRight w:val="0"/>
          <w:marTop w:val="0"/>
          <w:marBottom w:val="0"/>
          <w:divBdr>
            <w:top w:val="none" w:sz="0" w:space="0" w:color="auto"/>
            <w:left w:val="none" w:sz="0" w:space="0" w:color="auto"/>
            <w:bottom w:val="none" w:sz="0" w:space="0" w:color="auto"/>
            <w:right w:val="none" w:sz="0" w:space="0" w:color="auto"/>
          </w:divBdr>
        </w:div>
        <w:div w:id="1313825136">
          <w:marLeft w:val="480"/>
          <w:marRight w:val="0"/>
          <w:marTop w:val="0"/>
          <w:marBottom w:val="0"/>
          <w:divBdr>
            <w:top w:val="none" w:sz="0" w:space="0" w:color="auto"/>
            <w:left w:val="none" w:sz="0" w:space="0" w:color="auto"/>
            <w:bottom w:val="none" w:sz="0" w:space="0" w:color="auto"/>
            <w:right w:val="none" w:sz="0" w:space="0" w:color="auto"/>
          </w:divBdr>
        </w:div>
        <w:div w:id="890919794">
          <w:marLeft w:val="480"/>
          <w:marRight w:val="0"/>
          <w:marTop w:val="0"/>
          <w:marBottom w:val="0"/>
          <w:divBdr>
            <w:top w:val="none" w:sz="0" w:space="0" w:color="auto"/>
            <w:left w:val="none" w:sz="0" w:space="0" w:color="auto"/>
            <w:bottom w:val="none" w:sz="0" w:space="0" w:color="auto"/>
            <w:right w:val="none" w:sz="0" w:space="0" w:color="auto"/>
          </w:divBdr>
        </w:div>
        <w:div w:id="1117404793">
          <w:marLeft w:val="480"/>
          <w:marRight w:val="0"/>
          <w:marTop w:val="0"/>
          <w:marBottom w:val="0"/>
          <w:divBdr>
            <w:top w:val="none" w:sz="0" w:space="0" w:color="auto"/>
            <w:left w:val="none" w:sz="0" w:space="0" w:color="auto"/>
            <w:bottom w:val="none" w:sz="0" w:space="0" w:color="auto"/>
            <w:right w:val="none" w:sz="0" w:space="0" w:color="auto"/>
          </w:divBdr>
        </w:div>
        <w:div w:id="913322722">
          <w:marLeft w:val="480"/>
          <w:marRight w:val="0"/>
          <w:marTop w:val="0"/>
          <w:marBottom w:val="0"/>
          <w:divBdr>
            <w:top w:val="none" w:sz="0" w:space="0" w:color="auto"/>
            <w:left w:val="none" w:sz="0" w:space="0" w:color="auto"/>
            <w:bottom w:val="none" w:sz="0" w:space="0" w:color="auto"/>
            <w:right w:val="none" w:sz="0" w:space="0" w:color="auto"/>
          </w:divBdr>
        </w:div>
        <w:div w:id="206719775">
          <w:marLeft w:val="480"/>
          <w:marRight w:val="0"/>
          <w:marTop w:val="0"/>
          <w:marBottom w:val="0"/>
          <w:divBdr>
            <w:top w:val="none" w:sz="0" w:space="0" w:color="auto"/>
            <w:left w:val="none" w:sz="0" w:space="0" w:color="auto"/>
            <w:bottom w:val="none" w:sz="0" w:space="0" w:color="auto"/>
            <w:right w:val="none" w:sz="0" w:space="0" w:color="auto"/>
          </w:divBdr>
        </w:div>
        <w:div w:id="48235392">
          <w:marLeft w:val="480"/>
          <w:marRight w:val="0"/>
          <w:marTop w:val="0"/>
          <w:marBottom w:val="0"/>
          <w:divBdr>
            <w:top w:val="none" w:sz="0" w:space="0" w:color="auto"/>
            <w:left w:val="none" w:sz="0" w:space="0" w:color="auto"/>
            <w:bottom w:val="none" w:sz="0" w:space="0" w:color="auto"/>
            <w:right w:val="none" w:sz="0" w:space="0" w:color="auto"/>
          </w:divBdr>
        </w:div>
        <w:div w:id="1263994012">
          <w:marLeft w:val="480"/>
          <w:marRight w:val="0"/>
          <w:marTop w:val="0"/>
          <w:marBottom w:val="0"/>
          <w:divBdr>
            <w:top w:val="none" w:sz="0" w:space="0" w:color="auto"/>
            <w:left w:val="none" w:sz="0" w:space="0" w:color="auto"/>
            <w:bottom w:val="none" w:sz="0" w:space="0" w:color="auto"/>
            <w:right w:val="none" w:sz="0" w:space="0" w:color="auto"/>
          </w:divBdr>
        </w:div>
        <w:div w:id="1471941635">
          <w:marLeft w:val="480"/>
          <w:marRight w:val="0"/>
          <w:marTop w:val="0"/>
          <w:marBottom w:val="0"/>
          <w:divBdr>
            <w:top w:val="none" w:sz="0" w:space="0" w:color="auto"/>
            <w:left w:val="none" w:sz="0" w:space="0" w:color="auto"/>
            <w:bottom w:val="none" w:sz="0" w:space="0" w:color="auto"/>
            <w:right w:val="none" w:sz="0" w:space="0" w:color="auto"/>
          </w:divBdr>
        </w:div>
        <w:div w:id="1427119885">
          <w:marLeft w:val="480"/>
          <w:marRight w:val="0"/>
          <w:marTop w:val="0"/>
          <w:marBottom w:val="0"/>
          <w:divBdr>
            <w:top w:val="none" w:sz="0" w:space="0" w:color="auto"/>
            <w:left w:val="none" w:sz="0" w:space="0" w:color="auto"/>
            <w:bottom w:val="none" w:sz="0" w:space="0" w:color="auto"/>
            <w:right w:val="none" w:sz="0" w:space="0" w:color="auto"/>
          </w:divBdr>
        </w:div>
        <w:div w:id="1004894815">
          <w:marLeft w:val="480"/>
          <w:marRight w:val="0"/>
          <w:marTop w:val="0"/>
          <w:marBottom w:val="0"/>
          <w:divBdr>
            <w:top w:val="none" w:sz="0" w:space="0" w:color="auto"/>
            <w:left w:val="none" w:sz="0" w:space="0" w:color="auto"/>
            <w:bottom w:val="none" w:sz="0" w:space="0" w:color="auto"/>
            <w:right w:val="none" w:sz="0" w:space="0" w:color="auto"/>
          </w:divBdr>
        </w:div>
        <w:div w:id="1039821401">
          <w:marLeft w:val="480"/>
          <w:marRight w:val="0"/>
          <w:marTop w:val="0"/>
          <w:marBottom w:val="0"/>
          <w:divBdr>
            <w:top w:val="none" w:sz="0" w:space="0" w:color="auto"/>
            <w:left w:val="none" w:sz="0" w:space="0" w:color="auto"/>
            <w:bottom w:val="none" w:sz="0" w:space="0" w:color="auto"/>
            <w:right w:val="none" w:sz="0" w:space="0" w:color="auto"/>
          </w:divBdr>
        </w:div>
        <w:div w:id="1968507381">
          <w:marLeft w:val="480"/>
          <w:marRight w:val="0"/>
          <w:marTop w:val="0"/>
          <w:marBottom w:val="0"/>
          <w:divBdr>
            <w:top w:val="none" w:sz="0" w:space="0" w:color="auto"/>
            <w:left w:val="none" w:sz="0" w:space="0" w:color="auto"/>
            <w:bottom w:val="none" w:sz="0" w:space="0" w:color="auto"/>
            <w:right w:val="none" w:sz="0" w:space="0" w:color="auto"/>
          </w:divBdr>
        </w:div>
        <w:div w:id="2058310552">
          <w:marLeft w:val="480"/>
          <w:marRight w:val="0"/>
          <w:marTop w:val="0"/>
          <w:marBottom w:val="0"/>
          <w:divBdr>
            <w:top w:val="none" w:sz="0" w:space="0" w:color="auto"/>
            <w:left w:val="none" w:sz="0" w:space="0" w:color="auto"/>
            <w:bottom w:val="none" w:sz="0" w:space="0" w:color="auto"/>
            <w:right w:val="none" w:sz="0" w:space="0" w:color="auto"/>
          </w:divBdr>
        </w:div>
        <w:div w:id="312299256">
          <w:marLeft w:val="480"/>
          <w:marRight w:val="0"/>
          <w:marTop w:val="0"/>
          <w:marBottom w:val="0"/>
          <w:divBdr>
            <w:top w:val="none" w:sz="0" w:space="0" w:color="auto"/>
            <w:left w:val="none" w:sz="0" w:space="0" w:color="auto"/>
            <w:bottom w:val="none" w:sz="0" w:space="0" w:color="auto"/>
            <w:right w:val="none" w:sz="0" w:space="0" w:color="auto"/>
          </w:divBdr>
        </w:div>
        <w:div w:id="431361958">
          <w:marLeft w:val="480"/>
          <w:marRight w:val="0"/>
          <w:marTop w:val="0"/>
          <w:marBottom w:val="0"/>
          <w:divBdr>
            <w:top w:val="none" w:sz="0" w:space="0" w:color="auto"/>
            <w:left w:val="none" w:sz="0" w:space="0" w:color="auto"/>
            <w:bottom w:val="none" w:sz="0" w:space="0" w:color="auto"/>
            <w:right w:val="none" w:sz="0" w:space="0" w:color="auto"/>
          </w:divBdr>
        </w:div>
        <w:div w:id="1308782262">
          <w:marLeft w:val="480"/>
          <w:marRight w:val="0"/>
          <w:marTop w:val="0"/>
          <w:marBottom w:val="0"/>
          <w:divBdr>
            <w:top w:val="none" w:sz="0" w:space="0" w:color="auto"/>
            <w:left w:val="none" w:sz="0" w:space="0" w:color="auto"/>
            <w:bottom w:val="none" w:sz="0" w:space="0" w:color="auto"/>
            <w:right w:val="none" w:sz="0" w:space="0" w:color="auto"/>
          </w:divBdr>
        </w:div>
        <w:div w:id="1705979283">
          <w:marLeft w:val="480"/>
          <w:marRight w:val="0"/>
          <w:marTop w:val="0"/>
          <w:marBottom w:val="0"/>
          <w:divBdr>
            <w:top w:val="none" w:sz="0" w:space="0" w:color="auto"/>
            <w:left w:val="none" w:sz="0" w:space="0" w:color="auto"/>
            <w:bottom w:val="none" w:sz="0" w:space="0" w:color="auto"/>
            <w:right w:val="none" w:sz="0" w:space="0" w:color="auto"/>
          </w:divBdr>
        </w:div>
        <w:div w:id="1921330512">
          <w:marLeft w:val="480"/>
          <w:marRight w:val="0"/>
          <w:marTop w:val="0"/>
          <w:marBottom w:val="0"/>
          <w:divBdr>
            <w:top w:val="none" w:sz="0" w:space="0" w:color="auto"/>
            <w:left w:val="none" w:sz="0" w:space="0" w:color="auto"/>
            <w:bottom w:val="none" w:sz="0" w:space="0" w:color="auto"/>
            <w:right w:val="none" w:sz="0" w:space="0" w:color="auto"/>
          </w:divBdr>
        </w:div>
        <w:div w:id="2047026462">
          <w:marLeft w:val="480"/>
          <w:marRight w:val="0"/>
          <w:marTop w:val="0"/>
          <w:marBottom w:val="0"/>
          <w:divBdr>
            <w:top w:val="none" w:sz="0" w:space="0" w:color="auto"/>
            <w:left w:val="none" w:sz="0" w:space="0" w:color="auto"/>
            <w:bottom w:val="none" w:sz="0" w:space="0" w:color="auto"/>
            <w:right w:val="none" w:sz="0" w:space="0" w:color="auto"/>
          </w:divBdr>
        </w:div>
        <w:div w:id="307367122">
          <w:marLeft w:val="480"/>
          <w:marRight w:val="0"/>
          <w:marTop w:val="0"/>
          <w:marBottom w:val="0"/>
          <w:divBdr>
            <w:top w:val="none" w:sz="0" w:space="0" w:color="auto"/>
            <w:left w:val="none" w:sz="0" w:space="0" w:color="auto"/>
            <w:bottom w:val="none" w:sz="0" w:space="0" w:color="auto"/>
            <w:right w:val="none" w:sz="0" w:space="0" w:color="auto"/>
          </w:divBdr>
        </w:div>
        <w:div w:id="1424454445">
          <w:marLeft w:val="480"/>
          <w:marRight w:val="0"/>
          <w:marTop w:val="0"/>
          <w:marBottom w:val="0"/>
          <w:divBdr>
            <w:top w:val="none" w:sz="0" w:space="0" w:color="auto"/>
            <w:left w:val="none" w:sz="0" w:space="0" w:color="auto"/>
            <w:bottom w:val="none" w:sz="0" w:space="0" w:color="auto"/>
            <w:right w:val="none" w:sz="0" w:space="0" w:color="auto"/>
          </w:divBdr>
        </w:div>
        <w:div w:id="839807867">
          <w:marLeft w:val="480"/>
          <w:marRight w:val="0"/>
          <w:marTop w:val="0"/>
          <w:marBottom w:val="0"/>
          <w:divBdr>
            <w:top w:val="none" w:sz="0" w:space="0" w:color="auto"/>
            <w:left w:val="none" w:sz="0" w:space="0" w:color="auto"/>
            <w:bottom w:val="none" w:sz="0" w:space="0" w:color="auto"/>
            <w:right w:val="none" w:sz="0" w:space="0" w:color="auto"/>
          </w:divBdr>
        </w:div>
        <w:div w:id="1775325469">
          <w:marLeft w:val="480"/>
          <w:marRight w:val="0"/>
          <w:marTop w:val="0"/>
          <w:marBottom w:val="0"/>
          <w:divBdr>
            <w:top w:val="none" w:sz="0" w:space="0" w:color="auto"/>
            <w:left w:val="none" w:sz="0" w:space="0" w:color="auto"/>
            <w:bottom w:val="none" w:sz="0" w:space="0" w:color="auto"/>
            <w:right w:val="none" w:sz="0" w:space="0" w:color="auto"/>
          </w:divBdr>
        </w:div>
        <w:div w:id="1480074870">
          <w:marLeft w:val="480"/>
          <w:marRight w:val="0"/>
          <w:marTop w:val="0"/>
          <w:marBottom w:val="0"/>
          <w:divBdr>
            <w:top w:val="none" w:sz="0" w:space="0" w:color="auto"/>
            <w:left w:val="none" w:sz="0" w:space="0" w:color="auto"/>
            <w:bottom w:val="none" w:sz="0" w:space="0" w:color="auto"/>
            <w:right w:val="none" w:sz="0" w:space="0" w:color="auto"/>
          </w:divBdr>
        </w:div>
        <w:div w:id="209657893">
          <w:marLeft w:val="480"/>
          <w:marRight w:val="0"/>
          <w:marTop w:val="0"/>
          <w:marBottom w:val="0"/>
          <w:divBdr>
            <w:top w:val="none" w:sz="0" w:space="0" w:color="auto"/>
            <w:left w:val="none" w:sz="0" w:space="0" w:color="auto"/>
            <w:bottom w:val="none" w:sz="0" w:space="0" w:color="auto"/>
            <w:right w:val="none" w:sz="0" w:space="0" w:color="auto"/>
          </w:divBdr>
        </w:div>
      </w:divsChild>
    </w:div>
    <w:div w:id="1066414709">
      <w:bodyDiv w:val="1"/>
      <w:marLeft w:val="0"/>
      <w:marRight w:val="0"/>
      <w:marTop w:val="0"/>
      <w:marBottom w:val="0"/>
      <w:divBdr>
        <w:top w:val="none" w:sz="0" w:space="0" w:color="auto"/>
        <w:left w:val="none" w:sz="0" w:space="0" w:color="auto"/>
        <w:bottom w:val="none" w:sz="0" w:space="0" w:color="auto"/>
        <w:right w:val="none" w:sz="0" w:space="0" w:color="auto"/>
      </w:divBdr>
    </w:div>
    <w:div w:id="1067849218">
      <w:bodyDiv w:val="1"/>
      <w:marLeft w:val="0"/>
      <w:marRight w:val="0"/>
      <w:marTop w:val="0"/>
      <w:marBottom w:val="0"/>
      <w:divBdr>
        <w:top w:val="none" w:sz="0" w:space="0" w:color="auto"/>
        <w:left w:val="none" w:sz="0" w:space="0" w:color="auto"/>
        <w:bottom w:val="none" w:sz="0" w:space="0" w:color="auto"/>
        <w:right w:val="none" w:sz="0" w:space="0" w:color="auto"/>
      </w:divBdr>
    </w:div>
    <w:div w:id="1070538899">
      <w:bodyDiv w:val="1"/>
      <w:marLeft w:val="0"/>
      <w:marRight w:val="0"/>
      <w:marTop w:val="0"/>
      <w:marBottom w:val="0"/>
      <w:divBdr>
        <w:top w:val="none" w:sz="0" w:space="0" w:color="auto"/>
        <w:left w:val="none" w:sz="0" w:space="0" w:color="auto"/>
        <w:bottom w:val="none" w:sz="0" w:space="0" w:color="auto"/>
        <w:right w:val="none" w:sz="0" w:space="0" w:color="auto"/>
      </w:divBdr>
    </w:div>
    <w:div w:id="1071000007">
      <w:bodyDiv w:val="1"/>
      <w:marLeft w:val="0"/>
      <w:marRight w:val="0"/>
      <w:marTop w:val="0"/>
      <w:marBottom w:val="0"/>
      <w:divBdr>
        <w:top w:val="none" w:sz="0" w:space="0" w:color="auto"/>
        <w:left w:val="none" w:sz="0" w:space="0" w:color="auto"/>
        <w:bottom w:val="none" w:sz="0" w:space="0" w:color="auto"/>
        <w:right w:val="none" w:sz="0" w:space="0" w:color="auto"/>
      </w:divBdr>
    </w:div>
    <w:div w:id="1075711899">
      <w:bodyDiv w:val="1"/>
      <w:marLeft w:val="0"/>
      <w:marRight w:val="0"/>
      <w:marTop w:val="0"/>
      <w:marBottom w:val="0"/>
      <w:divBdr>
        <w:top w:val="none" w:sz="0" w:space="0" w:color="auto"/>
        <w:left w:val="none" w:sz="0" w:space="0" w:color="auto"/>
        <w:bottom w:val="none" w:sz="0" w:space="0" w:color="auto"/>
        <w:right w:val="none" w:sz="0" w:space="0" w:color="auto"/>
      </w:divBdr>
    </w:div>
    <w:div w:id="1077478068">
      <w:bodyDiv w:val="1"/>
      <w:marLeft w:val="0"/>
      <w:marRight w:val="0"/>
      <w:marTop w:val="0"/>
      <w:marBottom w:val="0"/>
      <w:divBdr>
        <w:top w:val="none" w:sz="0" w:space="0" w:color="auto"/>
        <w:left w:val="none" w:sz="0" w:space="0" w:color="auto"/>
        <w:bottom w:val="none" w:sz="0" w:space="0" w:color="auto"/>
        <w:right w:val="none" w:sz="0" w:space="0" w:color="auto"/>
      </w:divBdr>
    </w:div>
    <w:div w:id="1077632052">
      <w:bodyDiv w:val="1"/>
      <w:marLeft w:val="0"/>
      <w:marRight w:val="0"/>
      <w:marTop w:val="0"/>
      <w:marBottom w:val="0"/>
      <w:divBdr>
        <w:top w:val="none" w:sz="0" w:space="0" w:color="auto"/>
        <w:left w:val="none" w:sz="0" w:space="0" w:color="auto"/>
        <w:bottom w:val="none" w:sz="0" w:space="0" w:color="auto"/>
        <w:right w:val="none" w:sz="0" w:space="0" w:color="auto"/>
      </w:divBdr>
    </w:div>
    <w:div w:id="1080905614">
      <w:bodyDiv w:val="1"/>
      <w:marLeft w:val="0"/>
      <w:marRight w:val="0"/>
      <w:marTop w:val="0"/>
      <w:marBottom w:val="0"/>
      <w:divBdr>
        <w:top w:val="none" w:sz="0" w:space="0" w:color="auto"/>
        <w:left w:val="none" w:sz="0" w:space="0" w:color="auto"/>
        <w:bottom w:val="none" w:sz="0" w:space="0" w:color="auto"/>
        <w:right w:val="none" w:sz="0" w:space="0" w:color="auto"/>
      </w:divBdr>
    </w:div>
    <w:div w:id="1083181463">
      <w:bodyDiv w:val="1"/>
      <w:marLeft w:val="0"/>
      <w:marRight w:val="0"/>
      <w:marTop w:val="0"/>
      <w:marBottom w:val="0"/>
      <w:divBdr>
        <w:top w:val="none" w:sz="0" w:space="0" w:color="auto"/>
        <w:left w:val="none" w:sz="0" w:space="0" w:color="auto"/>
        <w:bottom w:val="none" w:sz="0" w:space="0" w:color="auto"/>
        <w:right w:val="none" w:sz="0" w:space="0" w:color="auto"/>
      </w:divBdr>
    </w:div>
    <w:div w:id="1085498821">
      <w:bodyDiv w:val="1"/>
      <w:marLeft w:val="0"/>
      <w:marRight w:val="0"/>
      <w:marTop w:val="0"/>
      <w:marBottom w:val="0"/>
      <w:divBdr>
        <w:top w:val="none" w:sz="0" w:space="0" w:color="auto"/>
        <w:left w:val="none" w:sz="0" w:space="0" w:color="auto"/>
        <w:bottom w:val="none" w:sz="0" w:space="0" w:color="auto"/>
        <w:right w:val="none" w:sz="0" w:space="0" w:color="auto"/>
      </w:divBdr>
    </w:div>
    <w:div w:id="1085882443">
      <w:bodyDiv w:val="1"/>
      <w:marLeft w:val="0"/>
      <w:marRight w:val="0"/>
      <w:marTop w:val="0"/>
      <w:marBottom w:val="0"/>
      <w:divBdr>
        <w:top w:val="none" w:sz="0" w:space="0" w:color="auto"/>
        <w:left w:val="none" w:sz="0" w:space="0" w:color="auto"/>
        <w:bottom w:val="none" w:sz="0" w:space="0" w:color="auto"/>
        <w:right w:val="none" w:sz="0" w:space="0" w:color="auto"/>
      </w:divBdr>
    </w:div>
    <w:div w:id="1086264479">
      <w:bodyDiv w:val="1"/>
      <w:marLeft w:val="0"/>
      <w:marRight w:val="0"/>
      <w:marTop w:val="0"/>
      <w:marBottom w:val="0"/>
      <w:divBdr>
        <w:top w:val="none" w:sz="0" w:space="0" w:color="auto"/>
        <w:left w:val="none" w:sz="0" w:space="0" w:color="auto"/>
        <w:bottom w:val="none" w:sz="0" w:space="0" w:color="auto"/>
        <w:right w:val="none" w:sz="0" w:space="0" w:color="auto"/>
      </w:divBdr>
    </w:div>
    <w:div w:id="1090420520">
      <w:bodyDiv w:val="1"/>
      <w:marLeft w:val="0"/>
      <w:marRight w:val="0"/>
      <w:marTop w:val="0"/>
      <w:marBottom w:val="0"/>
      <w:divBdr>
        <w:top w:val="none" w:sz="0" w:space="0" w:color="auto"/>
        <w:left w:val="none" w:sz="0" w:space="0" w:color="auto"/>
        <w:bottom w:val="none" w:sz="0" w:space="0" w:color="auto"/>
        <w:right w:val="none" w:sz="0" w:space="0" w:color="auto"/>
      </w:divBdr>
    </w:div>
    <w:div w:id="1093280888">
      <w:bodyDiv w:val="1"/>
      <w:marLeft w:val="0"/>
      <w:marRight w:val="0"/>
      <w:marTop w:val="0"/>
      <w:marBottom w:val="0"/>
      <w:divBdr>
        <w:top w:val="none" w:sz="0" w:space="0" w:color="auto"/>
        <w:left w:val="none" w:sz="0" w:space="0" w:color="auto"/>
        <w:bottom w:val="none" w:sz="0" w:space="0" w:color="auto"/>
        <w:right w:val="none" w:sz="0" w:space="0" w:color="auto"/>
      </w:divBdr>
    </w:div>
    <w:div w:id="1093284620">
      <w:bodyDiv w:val="1"/>
      <w:marLeft w:val="0"/>
      <w:marRight w:val="0"/>
      <w:marTop w:val="0"/>
      <w:marBottom w:val="0"/>
      <w:divBdr>
        <w:top w:val="none" w:sz="0" w:space="0" w:color="auto"/>
        <w:left w:val="none" w:sz="0" w:space="0" w:color="auto"/>
        <w:bottom w:val="none" w:sz="0" w:space="0" w:color="auto"/>
        <w:right w:val="none" w:sz="0" w:space="0" w:color="auto"/>
      </w:divBdr>
    </w:div>
    <w:div w:id="1094129131">
      <w:bodyDiv w:val="1"/>
      <w:marLeft w:val="0"/>
      <w:marRight w:val="0"/>
      <w:marTop w:val="0"/>
      <w:marBottom w:val="0"/>
      <w:divBdr>
        <w:top w:val="none" w:sz="0" w:space="0" w:color="auto"/>
        <w:left w:val="none" w:sz="0" w:space="0" w:color="auto"/>
        <w:bottom w:val="none" w:sz="0" w:space="0" w:color="auto"/>
        <w:right w:val="none" w:sz="0" w:space="0" w:color="auto"/>
      </w:divBdr>
    </w:div>
    <w:div w:id="1097022033">
      <w:bodyDiv w:val="1"/>
      <w:marLeft w:val="0"/>
      <w:marRight w:val="0"/>
      <w:marTop w:val="0"/>
      <w:marBottom w:val="0"/>
      <w:divBdr>
        <w:top w:val="none" w:sz="0" w:space="0" w:color="auto"/>
        <w:left w:val="none" w:sz="0" w:space="0" w:color="auto"/>
        <w:bottom w:val="none" w:sz="0" w:space="0" w:color="auto"/>
        <w:right w:val="none" w:sz="0" w:space="0" w:color="auto"/>
      </w:divBdr>
    </w:div>
    <w:div w:id="1097362033">
      <w:bodyDiv w:val="1"/>
      <w:marLeft w:val="0"/>
      <w:marRight w:val="0"/>
      <w:marTop w:val="0"/>
      <w:marBottom w:val="0"/>
      <w:divBdr>
        <w:top w:val="none" w:sz="0" w:space="0" w:color="auto"/>
        <w:left w:val="none" w:sz="0" w:space="0" w:color="auto"/>
        <w:bottom w:val="none" w:sz="0" w:space="0" w:color="auto"/>
        <w:right w:val="none" w:sz="0" w:space="0" w:color="auto"/>
      </w:divBdr>
    </w:div>
    <w:div w:id="1098907821">
      <w:bodyDiv w:val="1"/>
      <w:marLeft w:val="0"/>
      <w:marRight w:val="0"/>
      <w:marTop w:val="0"/>
      <w:marBottom w:val="0"/>
      <w:divBdr>
        <w:top w:val="none" w:sz="0" w:space="0" w:color="auto"/>
        <w:left w:val="none" w:sz="0" w:space="0" w:color="auto"/>
        <w:bottom w:val="none" w:sz="0" w:space="0" w:color="auto"/>
        <w:right w:val="none" w:sz="0" w:space="0" w:color="auto"/>
      </w:divBdr>
    </w:div>
    <w:div w:id="1100829483">
      <w:bodyDiv w:val="1"/>
      <w:marLeft w:val="0"/>
      <w:marRight w:val="0"/>
      <w:marTop w:val="0"/>
      <w:marBottom w:val="0"/>
      <w:divBdr>
        <w:top w:val="none" w:sz="0" w:space="0" w:color="auto"/>
        <w:left w:val="none" w:sz="0" w:space="0" w:color="auto"/>
        <w:bottom w:val="none" w:sz="0" w:space="0" w:color="auto"/>
        <w:right w:val="none" w:sz="0" w:space="0" w:color="auto"/>
      </w:divBdr>
    </w:div>
    <w:div w:id="1101219677">
      <w:bodyDiv w:val="1"/>
      <w:marLeft w:val="0"/>
      <w:marRight w:val="0"/>
      <w:marTop w:val="0"/>
      <w:marBottom w:val="0"/>
      <w:divBdr>
        <w:top w:val="none" w:sz="0" w:space="0" w:color="auto"/>
        <w:left w:val="none" w:sz="0" w:space="0" w:color="auto"/>
        <w:bottom w:val="none" w:sz="0" w:space="0" w:color="auto"/>
        <w:right w:val="none" w:sz="0" w:space="0" w:color="auto"/>
      </w:divBdr>
    </w:div>
    <w:div w:id="1104230919">
      <w:bodyDiv w:val="1"/>
      <w:marLeft w:val="0"/>
      <w:marRight w:val="0"/>
      <w:marTop w:val="0"/>
      <w:marBottom w:val="0"/>
      <w:divBdr>
        <w:top w:val="none" w:sz="0" w:space="0" w:color="auto"/>
        <w:left w:val="none" w:sz="0" w:space="0" w:color="auto"/>
        <w:bottom w:val="none" w:sz="0" w:space="0" w:color="auto"/>
        <w:right w:val="none" w:sz="0" w:space="0" w:color="auto"/>
      </w:divBdr>
    </w:div>
    <w:div w:id="1104764143">
      <w:bodyDiv w:val="1"/>
      <w:marLeft w:val="0"/>
      <w:marRight w:val="0"/>
      <w:marTop w:val="0"/>
      <w:marBottom w:val="0"/>
      <w:divBdr>
        <w:top w:val="none" w:sz="0" w:space="0" w:color="auto"/>
        <w:left w:val="none" w:sz="0" w:space="0" w:color="auto"/>
        <w:bottom w:val="none" w:sz="0" w:space="0" w:color="auto"/>
        <w:right w:val="none" w:sz="0" w:space="0" w:color="auto"/>
      </w:divBdr>
    </w:div>
    <w:div w:id="1104766962">
      <w:bodyDiv w:val="1"/>
      <w:marLeft w:val="0"/>
      <w:marRight w:val="0"/>
      <w:marTop w:val="0"/>
      <w:marBottom w:val="0"/>
      <w:divBdr>
        <w:top w:val="none" w:sz="0" w:space="0" w:color="auto"/>
        <w:left w:val="none" w:sz="0" w:space="0" w:color="auto"/>
        <w:bottom w:val="none" w:sz="0" w:space="0" w:color="auto"/>
        <w:right w:val="none" w:sz="0" w:space="0" w:color="auto"/>
      </w:divBdr>
    </w:div>
    <w:div w:id="1104770501">
      <w:bodyDiv w:val="1"/>
      <w:marLeft w:val="0"/>
      <w:marRight w:val="0"/>
      <w:marTop w:val="0"/>
      <w:marBottom w:val="0"/>
      <w:divBdr>
        <w:top w:val="none" w:sz="0" w:space="0" w:color="auto"/>
        <w:left w:val="none" w:sz="0" w:space="0" w:color="auto"/>
        <w:bottom w:val="none" w:sz="0" w:space="0" w:color="auto"/>
        <w:right w:val="none" w:sz="0" w:space="0" w:color="auto"/>
      </w:divBdr>
    </w:div>
    <w:div w:id="1105034065">
      <w:bodyDiv w:val="1"/>
      <w:marLeft w:val="0"/>
      <w:marRight w:val="0"/>
      <w:marTop w:val="0"/>
      <w:marBottom w:val="0"/>
      <w:divBdr>
        <w:top w:val="none" w:sz="0" w:space="0" w:color="auto"/>
        <w:left w:val="none" w:sz="0" w:space="0" w:color="auto"/>
        <w:bottom w:val="none" w:sz="0" w:space="0" w:color="auto"/>
        <w:right w:val="none" w:sz="0" w:space="0" w:color="auto"/>
      </w:divBdr>
    </w:div>
    <w:div w:id="1105270266">
      <w:bodyDiv w:val="1"/>
      <w:marLeft w:val="0"/>
      <w:marRight w:val="0"/>
      <w:marTop w:val="0"/>
      <w:marBottom w:val="0"/>
      <w:divBdr>
        <w:top w:val="none" w:sz="0" w:space="0" w:color="auto"/>
        <w:left w:val="none" w:sz="0" w:space="0" w:color="auto"/>
        <w:bottom w:val="none" w:sz="0" w:space="0" w:color="auto"/>
        <w:right w:val="none" w:sz="0" w:space="0" w:color="auto"/>
      </w:divBdr>
    </w:div>
    <w:div w:id="1108818616">
      <w:bodyDiv w:val="1"/>
      <w:marLeft w:val="0"/>
      <w:marRight w:val="0"/>
      <w:marTop w:val="0"/>
      <w:marBottom w:val="0"/>
      <w:divBdr>
        <w:top w:val="none" w:sz="0" w:space="0" w:color="auto"/>
        <w:left w:val="none" w:sz="0" w:space="0" w:color="auto"/>
        <w:bottom w:val="none" w:sz="0" w:space="0" w:color="auto"/>
        <w:right w:val="none" w:sz="0" w:space="0" w:color="auto"/>
      </w:divBdr>
    </w:div>
    <w:div w:id="1111704321">
      <w:bodyDiv w:val="1"/>
      <w:marLeft w:val="0"/>
      <w:marRight w:val="0"/>
      <w:marTop w:val="0"/>
      <w:marBottom w:val="0"/>
      <w:divBdr>
        <w:top w:val="none" w:sz="0" w:space="0" w:color="auto"/>
        <w:left w:val="none" w:sz="0" w:space="0" w:color="auto"/>
        <w:bottom w:val="none" w:sz="0" w:space="0" w:color="auto"/>
        <w:right w:val="none" w:sz="0" w:space="0" w:color="auto"/>
      </w:divBdr>
    </w:div>
    <w:div w:id="1115488594">
      <w:bodyDiv w:val="1"/>
      <w:marLeft w:val="0"/>
      <w:marRight w:val="0"/>
      <w:marTop w:val="0"/>
      <w:marBottom w:val="0"/>
      <w:divBdr>
        <w:top w:val="none" w:sz="0" w:space="0" w:color="auto"/>
        <w:left w:val="none" w:sz="0" w:space="0" w:color="auto"/>
        <w:bottom w:val="none" w:sz="0" w:space="0" w:color="auto"/>
        <w:right w:val="none" w:sz="0" w:space="0" w:color="auto"/>
      </w:divBdr>
    </w:div>
    <w:div w:id="1115906630">
      <w:bodyDiv w:val="1"/>
      <w:marLeft w:val="0"/>
      <w:marRight w:val="0"/>
      <w:marTop w:val="0"/>
      <w:marBottom w:val="0"/>
      <w:divBdr>
        <w:top w:val="none" w:sz="0" w:space="0" w:color="auto"/>
        <w:left w:val="none" w:sz="0" w:space="0" w:color="auto"/>
        <w:bottom w:val="none" w:sz="0" w:space="0" w:color="auto"/>
        <w:right w:val="none" w:sz="0" w:space="0" w:color="auto"/>
      </w:divBdr>
    </w:div>
    <w:div w:id="1116175767">
      <w:bodyDiv w:val="1"/>
      <w:marLeft w:val="0"/>
      <w:marRight w:val="0"/>
      <w:marTop w:val="0"/>
      <w:marBottom w:val="0"/>
      <w:divBdr>
        <w:top w:val="none" w:sz="0" w:space="0" w:color="auto"/>
        <w:left w:val="none" w:sz="0" w:space="0" w:color="auto"/>
        <w:bottom w:val="none" w:sz="0" w:space="0" w:color="auto"/>
        <w:right w:val="none" w:sz="0" w:space="0" w:color="auto"/>
      </w:divBdr>
    </w:div>
    <w:div w:id="1116875530">
      <w:bodyDiv w:val="1"/>
      <w:marLeft w:val="0"/>
      <w:marRight w:val="0"/>
      <w:marTop w:val="0"/>
      <w:marBottom w:val="0"/>
      <w:divBdr>
        <w:top w:val="none" w:sz="0" w:space="0" w:color="auto"/>
        <w:left w:val="none" w:sz="0" w:space="0" w:color="auto"/>
        <w:bottom w:val="none" w:sz="0" w:space="0" w:color="auto"/>
        <w:right w:val="none" w:sz="0" w:space="0" w:color="auto"/>
      </w:divBdr>
    </w:div>
    <w:div w:id="1118573101">
      <w:bodyDiv w:val="1"/>
      <w:marLeft w:val="0"/>
      <w:marRight w:val="0"/>
      <w:marTop w:val="0"/>
      <w:marBottom w:val="0"/>
      <w:divBdr>
        <w:top w:val="none" w:sz="0" w:space="0" w:color="auto"/>
        <w:left w:val="none" w:sz="0" w:space="0" w:color="auto"/>
        <w:bottom w:val="none" w:sz="0" w:space="0" w:color="auto"/>
        <w:right w:val="none" w:sz="0" w:space="0" w:color="auto"/>
      </w:divBdr>
    </w:div>
    <w:div w:id="1120344856">
      <w:bodyDiv w:val="1"/>
      <w:marLeft w:val="0"/>
      <w:marRight w:val="0"/>
      <w:marTop w:val="0"/>
      <w:marBottom w:val="0"/>
      <w:divBdr>
        <w:top w:val="none" w:sz="0" w:space="0" w:color="auto"/>
        <w:left w:val="none" w:sz="0" w:space="0" w:color="auto"/>
        <w:bottom w:val="none" w:sz="0" w:space="0" w:color="auto"/>
        <w:right w:val="none" w:sz="0" w:space="0" w:color="auto"/>
      </w:divBdr>
    </w:div>
    <w:div w:id="1124034120">
      <w:bodyDiv w:val="1"/>
      <w:marLeft w:val="0"/>
      <w:marRight w:val="0"/>
      <w:marTop w:val="0"/>
      <w:marBottom w:val="0"/>
      <w:divBdr>
        <w:top w:val="none" w:sz="0" w:space="0" w:color="auto"/>
        <w:left w:val="none" w:sz="0" w:space="0" w:color="auto"/>
        <w:bottom w:val="none" w:sz="0" w:space="0" w:color="auto"/>
        <w:right w:val="none" w:sz="0" w:space="0" w:color="auto"/>
      </w:divBdr>
    </w:div>
    <w:div w:id="1124228542">
      <w:bodyDiv w:val="1"/>
      <w:marLeft w:val="0"/>
      <w:marRight w:val="0"/>
      <w:marTop w:val="0"/>
      <w:marBottom w:val="0"/>
      <w:divBdr>
        <w:top w:val="none" w:sz="0" w:space="0" w:color="auto"/>
        <w:left w:val="none" w:sz="0" w:space="0" w:color="auto"/>
        <w:bottom w:val="none" w:sz="0" w:space="0" w:color="auto"/>
        <w:right w:val="none" w:sz="0" w:space="0" w:color="auto"/>
      </w:divBdr>
    </w:div>
    <w:div w:id="1125192329">
      <w:bodyDiv w:val="1"/>
      <w:marLeft w:val="0"/>
      <w:marRight w:val="0"/>
      <w:marTop w:val="0"/>
      <w:marBottom w:val="0"/>
      <w:divBdr>
        <w:top w:val="none" w:sz="0" w:space="0" w:color="auto"/>
        <w:left w:val="none" w:sz="0" w:space="0" w:color="auto"/>
        <w:bottom w:val="none" w:sz="0" w:space="0" w:color="auto"/>
        <w:right w:val="none" w:sz="0" w:space="0" w:color="auto"/>
      </w:divBdr>
    </w:div>
    <w:div w:id="1125536475">
      <w:bodyDiv w:val="1"/>
      <w:marLeft w:val="0"/>
      <w:marRight w:val="0"/>
      <w:marTop w:val="0"/>
      <w:marBottom w:val="0"/>
      <w:divBdr>
        <w:top w:val="none" w:sz="0" w:space="0" w:color="auto"/>
        <w:left w:val="none" w:sz="0" w:space="0" w:color="auto"/>
        <w:bottom w:val="none" w:sz="0" w:space="0" w:color="auto"/>
        <w:right w:val="none" w:sz="0" w:space="0" w:color="auto"/>
      </w:divBdr>
    </w:div>
    <w:div w:id="1132751082">
      <w:bodyDiv w:val="1"/>
      <w:marLeft w:val="0"/>
      <w:marRight w:val="0"/>
      <w:marTop w:val="0"/>
      <w:marBottom w:val="0"/>
      <w:divBdr>
        <w:top w:val="none" w:sz="0" w:space="0" w:color="auto"/>
        <w:left w:val="none" w:sz="0" w:space="0" w:color="auto"/>
        <w:bottom w:val="none" w:sz="0" w:space="0" w:color="auto"/>
        <w:right w:val="none" w:sz="0" w:space="0" w:color="auto"/>
      </w:divBdr>
    </w:div>
    <w:div w:id="1143160418">
      <w:bodyDiv w:val="1"/>
      <w:marLeft w:val="0"/>
      <w:marRight w:val="0"/>
      <w:marTop w:val="0"/>
      <w:marBottom w:val="0"/>
      <w:divBdr>
        <w:top w:val="none" w:sz="0" w:space="0" w:color="auto"/>
        <w:left w:val="none" w:sz="0" w:space="0" w:color="auto"/>
        <w:bottom w:val="none" w:sz="0" w:space="0" w:color="auto"/>
        <w:right w:val="none" w:sz="0" w:space="0" w:color="auto"/>
      </w:divBdr>
    </w:div>
    <w:div w:id="1145392266">
      <w:bodyDiv w:val="1"/>
      <w:marLeft w:val="0"/>
      <w:marRight w:val="0"/>
      <w:marTop w:val="0"/>
      <w:marBottom w:val="0"/>
      <w:divBdr>
        <w:top w:val="none" w:sz="0" w:space="0" w:color="auto"/>
        <w:left w:val="none" w:sz="0" w:space="0" w:color="auto"/>
        <w:bottom w:val="none" w:sz="0" w:space="0" w:color="auto"/>
        <w:right w:val="none" w:sz="0" w:space="0" w:color="auto"/>
      </w:divBdr>
    </w:div>
    <w:div w:id="1145783975">
      <w:bodyDiv w:val="1"/>
      <w:marLeft w:val="0"/>
      <w:marRight w:val="0"/>
      <w:marTop w:val="0"/>
      <w:marBottom w:val="0"/>
      <w:divBdr>
        <w:top w:val="none" w:sz="0" w:space="0" w:color="auto"/>
        <w:left w:val="none" w:sz="0" w:space="0" w:color="auto"/>
        <w:bottom w:val="none" w:sz="0" w:space="0" w:color="auto"/>
        <w:right w:val="none" w:sz="0" w:space="0" w:color="auto"/>
      </w:divBdr>
    </w:div>
    <w:div w:id="1150289108">
      <w:bodyDiv w:val="1"/>
      <w:marLeft w:val="0"/>
      <w:marRight w:val="0"/>
      <w:marTop w:val="0"/>
      <w:marBottom w:val="0"/>
      <w:divBdr>
        <w:top w:val="none" w:sz="0" w:space="0" w:color="auto"/>
        <w:left w:val="none" w:sz="0" w:space="0" w:color="auto"/>
        <w:bottom w:val="none" w:sz="0" w:space="0" w:color="auto"/>
        <w:right w:val="none" w:sz="0" w:space="0" w:color="auto"/>
      </w:divBdr>
      <w:divsChild>
        <w:div w:id="1080442360">
          <w:marLeft w:val="480"/>
          <w:marRight w:val="0"/>
          <w:marTop w:val="0"/>
          <w:marBottom w:val="0"/>
          <w:divBdr>
            <w:top w:val="none" w:sz="0" w:space="0" w:color="auto"/>
            <w:left w:val="none" w:sz="0" w:space="0" w:color="auto"/>
            <w:bottom w:val="none" w:sz="0" w:space="0" w:color="auto"/>
            <w:right w:val="none" w:sz="0" w:space="0" w:color="auto"/>
          </w:divBdr>
        </w:div>
        <w:div w:id="2062553888">
          <w:marLeft w:val="480"/>
          <w:marRight w:val="0"/>
          <w:marTop w:val="0"/>
          <w:marBottom w:val="0"/>
          <w:divBdr>
            <w:top w:val="none" w:sz="0" w:space="0" w:color="auto"/>
            <w:left w:val="none" w:sz="0" w:space="0" w:color="auto"/>
            <w:bottom w:val="none" w:sz="0" w:space="0" w:color="auto"/>
            <w:right w:val="none" w:sz="0" w:space="0" w:color="auto"/>
          </w:divBdr>
        </w:div>
        <w:div w:id="977343857">
          <w:marLeft w:val="480"/>
          <w:marRight w:val="0"/>
          <w:marTop w:val="0"/>
          <w:marBottom w:val="0"/>
          <w:divBdr>
            <w:top w:val="none" w:sz="0" w:space="0" w:color="auto"/>
            <w:left w:val="none" w:sz="0" w:space="0" w:color="auto"/>
            <w:bottom w:val="none" w:sz="0" w:space="0" w:color="auto"/>
            <w:right w:val="none" w:sz="0" w:space="0" w:color="auto"/>
          </w:divBdr>
        </w:div>
        <w:div w:id="457338293">
          <w:marLeft w:val="480"/>
          <w:marRight w:val="0"/>
          <w:marTop w:val="0"/>
          <w:marBottom w:val="0"/>
          <w:divBdr>
            <w:top w:val="none" w:sz="0" w:space="0" w:color="auto"/>
            <w:left w:val="none" w:sz="0" w:space="0" w:color="auto"/>
            <w:bottom w:val="none" w:sz="0" w:space="0" w:color="auto"/>
            <w:right w:val="none" w:sz="0" w:space="0" w:color="auto"/>
          </w:divBdr>
        </w:div>
        <w:div w:id="1936589850">
          <w:marLeft w:val="480"/>
          <w:marRight w:val="0"/>
          <w:marTop w:val="0"/>
          <w:marBottom w:val="0"/>
          <w:divBdr>
            <w:top w:val="none" w:sz="0" w:space="0" w:color="auto"/>
            <w:left w:val="none" w:sz="0" w:space="0" w:color="auto"/>
            <w:bottom w:val="none" w:sz="0" w:space="0" w:color="auto"/>
            <w:right w:val="none" w:sz="0" w:space="0" w:color="auto"/>
          </w:divBdr>
        </w:div>
        <w:div w:id="1948853523">
          <w:marLeft w:val="480"/>
          <w:marRight w:val="0"/>
          <w:marTop w:val="0"/>
          <w:marBottom w:val="0"/>
          <w:divBdr>
            <w:top w:val="none" w:sz="0" w:space="0" w:color="auto"/>
            <w:left w:val="none" w:sz="0" w:space="0" w:color="auto"/>
            <w:bottom w:val="none" w:sz="0" w:space="0" w:color="auto"/>
            <w:right w:val="none" w:sz="0" w:space="0" w:color="auto"/>
          </w:divBdr>
        </w:div>
        <w:div w:id="1608855623">
          <w:marLeft w:val="480"/>
          <w:marRight w:val="0"/>
          <w:marTop w:val="0"/>
          <w:marBottom w:val="0"/>
          <w:divBdr>
            <w:top w:val="none" w:sz="0" w:space="0" w:color="auto"/>
            <w:left w:val="none" w:sz="0" w:space="0" w:color="auto"/>
            <w:bottom w:val="none" w:sz="0" w:space="0" w:color="auto"/>
            <w:right w:val="none" w:sz="0" w:space="0" w:color="auto"/>
          </w:divBdr>
        </w:div>
        <w:div w:id="1011642987">
          <w:marLeft w:val="480"/>
          <w:marRight w:val="0"/>
          <w:marTop w:val="0"/>
          <w:marBottom w:val="0"/>
          <w:divBdr>
            <w:top w:val="none" w:sz="0" w:space="0" w:color="auto"/>
            <w:left w:val="none" w:sz="0" w:space="0" w:color="auto"/>
            <w:bottom w:val="none" w:sz="0" w:space="0" w:color="auto"/>
            <w:right w:val="none" w:sz="0" w:space="0" w:color="auto"/>
          </w:divBdr>
        </w:div>
        <w:div w:id="713775274">
          <w:marLeft w:val="480"/>
          <w:marRight w:val="0"/>
          <w:marTop w:val="0"/>
          <w:marBottom w:val="0"/>
          <w:divBdr>
            <w:top w:val="none" w:sz="0" w:space="0" w:color="auto"/>
            <w:left w:val="none" w:sz="0" w:space="0" w:color="auto"/>
            <w:bottom w:val="none" w:sz="0" w:space="0" w:color="auto"/>
            <w:right w:val="none" w:sz="0" w:space="0" w:color="auto"/>
          </w:divBdr>
        </w:div>
        <w:div w:id="527304302">
          <w:marLeft w:val="480"/>
          <w:marRight w:val="0"/>
          <w:marTop w:val="0"/>
          <w:marBottom w:val="0"/>
          <w:divBdr>
            <w:top w:val="none" w:sz="0" w:space="0" w:color="auto"/>
            <w:left w:val="none" w:sz="0" w:space="0" w:color="auto"/>
            <w:bottom w:val="none" w:sz="0" w:space="0" w:color="auto"/>
            <w:right w:val="none" w:sz="0" w:space="0" w:color="auto"/>
          </w:divBdr>
        </w:div>
        <w:div w:id="1106191375">
          <w:marLeft w:val="480"/>
          <w:marRight w:val="0"/>
          <w:marTop w:val="0"/>
          <w:marBottom w:val="0"/>
          <w:divBdr>
            <w:top w:val="none" w:sz="0" w:space="0" w:color="auto"/>
            <w:left w:val="none" w:sz="0" w:space="0" w:color="auto"/>
            <w:bottom w:val="none" w:sz="0" w:space="0" w:color="auto"/>
            <w:right w:val="none" w:sz="0" w:space="0" w:color="auto"/>
          </w:divBdr>
        </w:div>
        <w:div w:id="1434982484">
          <w:marLeft w:val="480"/>
          <w:marRight w:val="0"/>
          <w:marTop w:val="0"/>
          <w:marBottom w:val="0"/>
          <w:divBdr>
            <w:top w:val="none" w:sz="0" w:space="0" w:color="auto"/>
            <w:left w:val="none" w:sz="0" w:space="0" w:color="auto"/>
            <w:bottom w:val="none" w:sz="0" w:space="0" w:color="auto"/>
            <w:right w:val="none" w:sz="0" w:space="0" w:color="auto"/>
          </w:divBdr>
        </w:div>
        <w:div w:id="1868373051">
          <w:marLeft w:val="480"/>
          <w:marRight w:val="0"/>
          <w:marTop w:val="0"/>
          <w:marBottom w:val="0"/>
          <w:divBdr>
            <w:top w:val="none" w:sz="0" w:space="0" w:color="auto"/>
            <w:left w:val="none" w:sz="0" w:space="0" w:color="auto"/>
            <w:bottom w:val="none" w:sz="0" w:space="0" w:color="auto"/>
            <w:right w:val="none" w:sz="0" w:space="0" w:color="auto"/>
          </w:divBdr>
        </w:div>
        <w:div w:id="385035938">
          <w:marLeft w:val="480"/>
          <w:marRight w:val="0"/>
          <w:marTop w:val="0"/>
          <w:marBottom w:val="0"/>
          <w:divBdr>
            <w:top w:val="none" w:sz="0" w:space="0" w:color="auto"/>
            <w:left w:val="none" w:sz="0" w:space="0" w:color="auto"/>
            <w:bottom w:val="none" w:sz="0" w:space="0" w:color="auto"/>
            <w:right w:val="none" w:sz="0" w:space="0" w:color="auto"/>
          </w:divBdr>
        </w:div>
        <w:div w:id="471483904">
          <w:marLeft w:val="480"/>
          <w:marRight w:val="0"/>
          <w:marTop w:val="0"/>
          <w:marBottom w:val="0"/>
          <w:divBdr>
            <w:top w:val="none" w:sz="0" w:space="0" w:color="auto"/>
            <w:left w:val="none" w:sz="0" w:space="0" w:color="auto"/>
            <w:bottom w:val="none" w:sz="0" w:space="0" w:color="auto"/>
            <w:right w:val="none" w:sz="0" w:space="0" w:color="auto"/>
          </w:divBdr>
        </w:div>
        <w:div w:id="4135365">
          <w:marLeft w:val="480"/>
          <w:marRight w:val="0"/>
          <w:marTop w:val="0"/>
          <w:marBottom w:val="0"/>
          <w:divBdr>
            <w:top w:val="none" w:sz="0" w:space="0" w:color="auto"/>
            <w:left w:val="none" w:sz="0" w:space="0" w:color="auto"/>
            <w:bottom w:val="none" w:sz="0" w:space="0" w:color="auto"/>
            <w:right w:val="none" w:sz="0" w:space="0" w:color="auto"/>
          </w:divBdr>
        </w:div>
        <w:div w:id="824860904">
          <w:marLeft w:val="480"/>
          <w:marRight w:val="0"/>
          <w:marTop w:val="0"/>
          <w:marBottom w:val="0"/>
          <w:divBdr>
            <w:top w:val="none" w:sz="0" w:space="0" w:color="auto"/>
            <w:left w:val="none" w:sz="0" w:space="0" w:color="auto"/>
            <w:bottom w:val="none" w:sz="0" w:space="0" w:color="auto"/>
            <w:right w:val="none" w:sz="0" w:space="0" w:color="auto"/>
          </w:divBdr>
        </w:div>
        <w:div w:id="1385642509">
          <w:marLeft w:val="480"/>
          <w:marRight w:val="0"/>
          <w:marTop w:val="0"/>
          <w:marBottom w:val="0"/>
          <w:divBdr>
            <w:top w:val="none" w:sz="0" w:space="0" w:color="auto"/>
            <w:left w:val="none" w:sz="0" w:space="0" w:color="auto"/>
            <w:bottom w:val="none" w:sz="0" w:space="0" w:color="auto"/>
            <w:right w:val="none" w:sz="0" w:space="0" w:color="auto"/>
          </w:divBdr>
        </w:div>
        <w:div w:id="523397318">
          <w:marLeft w:val="480"/>
          <w:marRight w:val="0"/>
          <w:marTop w:val="0"/>
          <w:marBottom w:val="0"/>
          <w:divBdr>
            <w:top w:val="none" w:sz="0" w:space="0" w:color="auto"/>
            <w:left w:val="none" w:sz="0" w:space="0" w:color="auto"/>
            <w:bottom w:val="none" w:sz="0" w:space="0" w:color="auto"/>
            <w:right w:val="none" w:sz="0" w:space="0" w:color="auto"/>
          </w:divBdr>
        </w:div>
        <w:div w:id="328607231">
          <w:marLeft w:val="480"/>
          <w:marRight w:val="0"/>
          <w:marTop w:val="0"/>
          <w:marBottom w:val="0"/>
          <w:divBdr>
            <w:top w:val="none" w:sz="0" w:space="0" w:color="auto"/>
            <w:left w:val="none" w:sz="0" w:space="0" w:color="auto"/>
            <w:bottom w:val="none" w:sz="0" w:space="0" w:color="auto"/>
            <w:right w:val="none" w:sz="0" w:space="0" w:color="auto"/>
          </w:divBdr>
        </w:div>
        <w:div w:id="1230968835">
          <w:marLeft w:val="480"/>
          <w:marRight w:val="0"/>
          <w:marTop w:val="0"/>
          <w:marBottom w:val="0"/>
          <w:divBdr>
            <w:top w:val="none" w:sz="0" w:space="0" w:color="auto"/>
            <w:left w:val="none" w:sz="0" w:space="0" w:color="auto"/>
            <w:bottom w:val="none" w:sz="0" w:space="0" w:color="auto"/>
            <w:right w:val="none" w:sz="0" w:space="0" w:color="auto"/>
          </w:divBdr>
        </w:div>
        <w:div w:id="1102843908">
          <w:marLeft w:val="480"/>
          <w:marRight w:val="0"/>
          <w:marTop w:val="0"/>
          <w:marBottom w:val="0"/>
          <w:divBdr>
            <w:top w:val="none" w:sz="0" w:space="0" w:color="auto"/>
            <w:left w:val="none" w:sz="0" w:space="0" w:color="auto"/>
            <w:bottom w:val="none" w:sz="0" w:space="0" w:color="auto"/>
            <w:right w:val="none" w:sz="0" w:space="0" w:color="auto"/>
          </w:divBdr>
        </w:div>
        <w:div w:id="1866407655">
          <w:marLeft w:val="480"/>
          <w:marRight w:val="0"/>
          <w:marTop w:val="0"/>
          <w:marBottom w:val="0"/>
          <w:divBdr>
            <w:top w:val="none" w:sz="0" w:space="0" w:color="auto"/>
            <w:left w:val="none" w:sz="0" w:space="0" w:color="auto"/>
            <w:bottom w:val="none" w:sz="0" w:space="0" w:color="auto"/>
            <w:right w:val="none" w:sz="0" w:space="0" w:color="auto"/>
          </w:divBdr>
        </w:div>
        <w:div w:id="665326011">
          <w:marLeft w:val="480"/>
          <w:marRight w:val="0"/>
          <w:marTop w:val="0"/>
          <w:marBottom w:val="0"/>
          <w:divBdr>
            <w:top w:val="none" w:sz="0" w:space="0" w:color="auto"/>
            <w:left w:val="none" w:sz="0" w:space="0" w:color="auto"/>
            <w:bottom w:val="none" w:sz="0" w:space="0" w:color="auto"/>
            <w:right w:val="none" w:sz="0" w:space="0" w:color="auto"/>
          </w:divBdr>
        </w:div>
        <w:div w:id="1224878164">
          <w:marLeft w:val="480"/>
          <w:marRight w:val="0"/>
          <w:marTop w:val="0"/>
          <w:marBottom w:val="0"/>
          <w:divBdr>
            <w:top w:val="none" w:sz="0" w:space="0" w:color="auto"/>
            <w:left w:val="none" w:sz="0" w:space="0" w:color="auto"/>
            <w:bottom w:val="none" w:sz="0" w:space="0" w:color="auto"/>
            <w:right w:val="none" w:sz="0" w:space="0" w:color="auto"/>
          </w:divBdr>
        </w:div>
        <w:div w:id="870338073">
          <w:marLeft w:val="480"/>
          <w:marRight w:val="0"/>
          <w:marTop w:val="0"/>
          <w:marBottom w:val="0"/>
          <w:divBdr>
            <w:top w:val="none" w:sz="0" w:space="0" w:color="auto"/>
            <w:left w:val="none" w:sz="0" w:space="0" w:color="auto"/>
            <w:bottom w:val="none" w:sz="0" w:space="0" w:color="auto"/>
            <w:right w:val="none" w:sz="0" w:space="0" w:color="auto"/>
          </w:divBdr>
        </w:div>
        <w:div w:id="767624827">
          <w:marLeft w:val="480"/>
          <w:marRight w:val="0"/>
          <w:marTop w:val="0"/>
          <w:marBottom w:val="0"/>
          <w:divBdr>
            <w:top w:val="none" w:sz="0" w:space="0" w:color="auto"/>
            <w:left w:val="none" w:sz="0" w:space="0" w:color="auto"/>
            <w:bottom w:val="none" w:sz="0" w:space="0" w:color="auto"/>
            <w:right w:val="none" w:sz="0" w:space="0" w:color="auto"/>
          </w:divBdr>
        </w:div>
        <w:div w:id="626208058">
          <w:marLeft w:val="480"/>
          <w:marRight w:val="0"/>
          <w:marTop w:val="0"/>
          <w:marBottom w:val="0"/>
          <w:divBdr>
            <w:top w:val="none" w:sz="0" w:space="0" w:color="auto"/>
            <w:left w:val="none" w:sz="0" w:space="0" w:color="auto"/>
            <w:bottom w:val="none" w:sz="0" w:space="0" w:color="auto"/>
            <w:right w:val="none" w:sz="0" w:space="0" w:color="auto"/>
          </w:divBdr>
        </w:div>
        <w:div w:id="798570847">
          <w:marLeft w:val="480"/>
          <w:marRight w:val="0"/>
          <w:marTop w:val="0"/>
          <w:marBottom w:val="0"/>
          <w:divBdr>
            <w:top w:val="none" w:sz="0" w:space="0" w:color="auto"/>
            <w:left w:val="none" w:sz="0" w:space="0" w:color="auto"/>
            <w:bottom w:val="none" w:sz="0" w:space="0" w:color="auto"/>
            <w:right w:val="none" w:sz="0" w:space="0" w:color="auto"/>
          </w:divBdr>
        </w:div>
        <w:div w:id="310795990">
          <w:marLeft w:val="480"/>
          <w:marRight w:val="0"/>
          <w:marTop w:val="0"/>
          <w:marBottom w:val="0"/>
          <w:divBdr>
            <w:top w:val="none" w:sz="0" w:space="0" w:color="auto"/>
            <w:left w:val="none" w:sz="0" w:space="0" w:color="auto"/>
            <w:bottom w:val="none" w:sz="0" w:space="0" w:color="auto"/>
            <w:right w:val="none" w:sz="0" w:space="0" w:color="auto"/>
          </w:divBdr>
        </w:div>
        <w:div w:id="1276134801">
          <w:marLeft w:val="480"/>
          <w:marRight w:val="0"/>
          <w:marTop w:val="0"/>
          <w:marBottom w:val="0"/>
          <w:divBdr>
            <w:top w:val="none" w:sz="0" w:space="0" w:color="auto"/>
            <w:left w:val="none" w:sz="0" w:space="0" w:color="auto"/>
            <w:bottom w:val="none" w:sz="0" w:space="0" w:color="auto"/>
            <w:right w:val="none" w:sz="0" w:space="0" w:color="auto"/>
          </w:divBdr>
        </w:div>
        <w:div w:id="1833794119">
          <w:marLeft w:val="480"/>
          <w:marRight w:val="0"/>
          <w:marTop w:val="0"/>
          <w:marBottom w:val="0"/>
          <w:divBdr>
            <w:top w:val="none" w:sz="0" w:space="0" w:color="auto"/>
            <w:left w:val="none" w:sz="0" w:space="0" w:color="auto"/>
            <w:bottom w:val="none" w:sz="0" w:space="0" w:color="auto"/>
            <w:right w:val="none" w:sz="0" w:space="0" w:color="auto"/>
          </w:divBdr>
        </w:div>
        <w:div w:id="476842253">
          <w:marLeft w:val="480"/>
          <w:marRight w:val="0"/>
          <w:marTop w:val="0"/>
          <w:marBottom w:val="0"/>
          <w:divBdr>
            <w:top w:val="none" w:sz="0" w:space="0" w:color="auto"/>
            <w:left w:val="none" w:sz="0" w:space="0" w:color="auto"/>
            <w:bottom w:val="none" w:sz="0" w:space="0" w:color="auto"/>
            <w:right w:val="none" w:sz="0" w:space="0" w:color="auto"/>
          </w:divBdr>
        </w:div>
        <w:div w:id="1336348930">
          <w:marLeft w:val="480"/>
          <w:marRight w:val="0"/>
          <w:marTop w:val="0"/>
          <w:marBottom w:val="0"/>
          <w:divBdr>
            <w:top w:val="none" w:sz="0" w:space="0" w:color="auto"/>
            <w:left w:val="none" w:sz="0" w:space="0" w:color="auto"/>
            <w:bottom w:val="none" w:sz="0" w:space="0" w:color="auto"/>
            <w:right w:val="none" w:sz="0" w:space="0" w:color="auto"/>
          </w:divBdr>
        </w:div>
        <w:div w:id="410125001">
          <w:marLeft w:val="480"/>
          <w:marRight w:val="0"/>
          <w:marTop w:val="0"/>
          <w:marBottom w:val="0"/>
          <w:divBdr>
            <w:top w:val="none" w:sz="0" w:space="0" w:color="auto"/>
            <w:left w:val="none" w:sz="0" w:space="0" w:color="auto"/>
            <w:bottom w:val="none" w:sz="0" w:space="0" w:color="auto"/>
            <w:right w:val="none" w:sz="0" w:space="0" w:color="auto"/>
          </w:divBdr>
        </w:div>
        <w:div w:id="1686057706">
          <w:marLeft w:val="480"/>
          <w:marRight w:val="0"/>
          <w:marTop w:val="0"/>
          <w:marBottom w:val="0"/>
          <w:divBdr>
            <w:top w:val="none" w:sz="0" w:space="0" w:color="auto"/>
            <w:left w:val="none" w:sz="0" w:space="0" w:color="auto"/>
            <w:bottom w:val="none" w:sz="0" w:space="0" w:color="auto"/>
            <w:right w:val="none" w:sz="0" w:space="0" w:color="auto"/>
          </w:divBdr>
        </w:div>
        <w:div w:id="1504315737">
          <w:marLeft w:val="480"/>
          <w:marRight w:val="0"/>
          <w:marTop w:val="0"/>
          <w:marBottom w:val="0"/>
          <w:divBdr>
            <w:top w:val="none" w:sz="0" w:space="0" w:color="auto"/>
            <w:left w:val="none" w:sz="0" w:space="0" w:color="auto"/>
            <w:bottom w:val="none" w:sz="0" w:space="0" w:color="auto"/>
            <w:right w:val="none" w:sz="0" w:space="0" w:color="auto"/>
          </w:divBdr>
        </w:div>
        <w:div w:id="333345041">
          <w:marLeft w:val="480"/>
          <w:marRight w:val="0"/>
          <w:marTop w:val="0"/>
          <w:marBottom w:val="0"/>
          <w:divBdr>
            <w:top w:val="none" w:sz="0" w:space="0" w:color="auto"/>
            <w:left w:val="none" w:sz="0" w:space="0" w:color="auto"/>
            <w:bottom w:val="none" w:sz="0" w:space="0" w:color="auto"/>
            <w:right w:val="none" w:sz="0" w:space="0" w:color="auto"/>
          </w:divBdr>
        </w:div>
        <w:div w:id="1102264962">
          <w:marLeft w:val="480"/>
          <w:marRight w:val="0"/>
          <w:marTop w:val="0"/>
          <w:marBottom w:val="0"/>
          <w:divBdr>
            <w:top w:val="none" w:sz="0" w:space="0" w:color="auto"/>
            <w:left w:val="none" w:sz="0" w:space="0" w:color="auto"/>
            <w:bottom w:val="none" w:sz="0" w:space="0" w:color="auto"/>
            <w:right w:val="none" w:sz="0" w:space="0" w:color="auto"/>
          </w:divBdr>
        </w:div>
        <w:div w:id="689525729">
          <w:marLeft w:val="480"/>
          <w:marRight w:val="0"/>
          <w:marTop w:val="0"/>
          <w:marBottom w:val="0"/>
          <w:divBdr>
            <w:top w:val="none" w:sz="0" w:space="0" w:color="auto"/>
            <w:left w:val="none" w:sz="0" w:space="0" w:color="auto"/>
            <w:bottom w:val="none" w:sz="0" w:space="0" w:color="auto"/>
            <w:right w:val="none" w:sz="0" w:space="0" w:color="auto"/>
          </w:divBdr>
        </w:div>
        <w:div w:id="1943763785">
          <w:marLeft w:val="480"/>
          <w:marRight w:val="0"/>
          <w:marTop w:val="0"/>
          <w:marBottom w:val="0"/>
          <w:divBdr>
            <w:top w:val="none" w:sz="0" w:space="0" w:color="auto"/>
            <w:left w:val="none" w:sz="0" w:space="0" w:color="auto"/>
            <w:bottom w:val="none" w:sz="0" w:space="0" w:color="auto"/>
            <w:right w:val="none" w:sz="0" w:space="0" w:color="auto"/>
          </w:divBdr>
        </w:div>
        <w:div w:id="1336568169">
          <w:marLeft w:val="480"/>
          <w:marRight w:val="0"/>
          <w:marTop w:val="0"/>
          <w:marBottom w:val="0"/>
          <w:divBdr>
            <w:top w:val="none" w:sz="0" w:space="0" w:color="auto"/>
            <w:left w:val="none" w:sz="0" w:space="0" w:color="auto"/>
            <w:bottom w:val="none" w:sz="0" w:space="0" w:color="auto"/>
            <w:right w:val="none" w:sz="0" w:space="0" w:color="auto"/>
          </w:divBdr>
        </w:div>
        <w:div w:id="403799993">
          <w:marLeft w:val="480"/>
          <w:marRight w:val="0"/>
          <w:marTop w:val="0"/>
          <w:marBottom w:val="0"/>
          <w:divBdr>
            <w:top w:val="none" w:sz="0" w:space="0" w:color="auto"/>
            <w:left w:val="none" w:sz="0" w:space="0" w:color="auto"/>
            <w:bottom w:val="none" w:sz="0" w:space="0" w:color="auto"/>
            <w:right w:val="none" w:sz="0" w:space="0" w:color="auto"/>
          </w:divBdr>
        </w:div>
        <w:div w:id="45883317">
          <w:marLeft w:val="480"/>
          <w:marRight w:val="0"/>
          <w:marTop w:val="0"/>
          <w:marBottom w:val="0"/>
          <w:divBdr>
            <w:top w:val="none" w:sz="0" w:space="0" w:color="auto"/>
            <w:left w:val="none" w:sz="0" w:space="0" w:color="auto"/>
            <w:bottom w:val="none" w:sz="0" w:space="0" w:color="auto"/>
            <w:right w:val="none" w:sz="0" w:space="0" w:color="auto"/>
          </w:divBdr>
        </w:div>
        <w:div w:id="58216711">
          <w:marLeft w:val="480"/>
          <w:marRight w:val="0"/>
          <w:marTop w:val="0"/>
          <w:marBottom w:val="0"/>
          <w:divBdr>
            <w:top w:val="none" w:sz="0" w:space="0" w:color="auto"/>
            <w:left w:val="none" w:sz="0" w:space="0" w:color="auto"/>
            <w:bottom w:val="none" w:sz="0" w:space="0" w:color="auto"/>
            <w:right w:val="none" w:sz="0" w:space="0" w:color="auto"/>
          </w:divBdr>
        </w:div>
        <w:div w:id="372927150">
          <w:marLeft w:val="480"/>
          <w:marRight w:val="0"/>
          <w:marTop w:val="0"/>
          <w:marBottom w:val="0"/>
          <w:divBdr>
            <w:top w:val="none" w:sz="0" w:space="0" w:color="auto"/>
            <w:left w:val="none" w:sz="0" w:space="0" w:color="auto"/>
            <w:bottom w:val="none" w:sz="0" w:space="0" w:color="auto"/>
            <w:right w:val="none" w:sz="0" w:space="0" w:color="auto"/>
          </w:divBdr>
        </w:div>
        <w:div w:id="926771782">
          <w:marLeft w:val="480"/>
          <w:marRight w:val="0"/>
          <w:marTop w:val="0"/>
          <w:marBottom w:val="0"/>
          <w:divBdr>
            <w:top w:val="none" w:sz="0" w:space="0" w:color="auto"/>
            <w:left w:val="none" w:sz="0" w:space="0" w:color="auto"/>
            <w:bottom w:val="none" w:sz="0" w:space="0" w:color="auto"/>
            <w:right w:val="none" w:sz="0" w:space="0" w:color="auto"/>
          </w:divBdr>
        </w:div>
        <w:div w:id="491142384">
          <w:marLeft w:val="480"/>
          <w:marRight w:val="0"/>
          <w:marTop w:val="0"/>
          <w:marBottom w:val="0"/>
          <w:divBdr>
            <w:top w:val="none" w:sz="0" w:space="0" w:color="auto"/>
            <w:left w:val="none" w:sz="0" w:space="0" w:color="auto"/>
            <w:bottom w:val="none" w:sz="0" w:space="0" w:color="auto"/>
            <w:right w:val="none" w:sz="0" w:space="0" w:color="auto"/>
          </w:divBdr>
        </w:div>
        <w:div w:id="1768193577">
          <w:marLeft w:val="480"/>
          <w:marRight w:val="0"/>
          <w:marTop w:val="0"/>
          <w:marBottom w:val="0"/>
          <w:divBdr>
            <w:top w:val="none" w:sz="0" w:space="0" w:color="auto"/>
            <w:left w:val="none" w:sz="0" w:space="0" w:color="auto"/>
            <w:bottom w:val="none" w:sz="0" w:space="0" w:color="auto"/>
            <w:right w:val="none" w:sz="0" w:space="0" w:color="auto"/>
          </w:divBdr>
        </w:div>
        <w:div w:id="541601068">
          <w:marLeft w:val="480"/>
          <w:marRight w:val="0"/>
          <w:marTop w:val="0"/>
          <w:marBottom w:val="0"/>
          <w:divBdr>
            <w:top w:val="none" w:sz="0" w:space="0" w:color="auto"/>
            <w:left w:val="none" w:sz="0" w:space="0" w:color="auto"/>
            <w:bottom w:val="none" w:sz="0" w:space="0" w:color="auto"/>
            <w:right w:val="none" w:sz="0" w:space="0" w:color="auto"/>
          </w:divBdr>
        </w:div>
        <w:div w:id="2127117199">
          <w:marLeft w:val="480"/>
          <w:marRight w:val="0"/>
          <w:marTop w:val="0"/>
          <w:marBottom w:val="0"/>
          <w:divBdr>
            <w:top w:val="none" w:sz="0" w:space="0" w:color="auto"/>
            <w:left w:val="none" w:sz="0" w:space="0" w:color="auto"/>
            <w:bottom w:val="none" w:sz="0" w:space="0" w:color="auto"/>
            <w:right w:val="none" w:sz="0" w:space="0" w:color="auto"/>
          </w:divBdr>
        </w:div>
        <w:div w:id="2101683625">
          <w:marLeft w:val="480"/>
          <w:marRight w:val="0"/>
          <w:marTop w:val="0"/>
          <w:marBottom w:val="0"/>
          <w:divBdr>
            <w:top w:val="none" w:sz="0" w:space="0" w:color="auto"/>
            <w:left w:val="none" w:sz="0" w:space="0" w:color="auto"/>
            <w:bottom w:val="none" w:sz="0" w:space="0" w:color="auto"/>
            <w:right w:val="none" w:sz="0" w:space="0" w:color="auto"/>
          </w:divBdr>
        </w:div>
        <w:div w:id="1692294386">
          <w:marLeft w:val="480"/>
          <w:marRight w:val="0"/>
          <w:marTop w:val="0"/>
          <w:marBottom w:val="0"/>
          <w:divBdr>
            <w:top w:val="none" w:sz="0" w:space="0" w:color="auto"/>
            <w:left w:val="none" w:sz="0" w:space="0" w:color="auto"/>
            <w:bottom w:val="none" w:sz="0" w:space="0" w:color="auto"/>
            <w:right w:val="none" w:sz="0" w:space="0" w:color="auto"/>
          </w:divBdr>
        </w:div>
        <w:div w:id="1306354964">
          <w:marLeft w:val="480"/>
          <w:marRight w:val="0"/>
          <w:marTop w:val="0"/>
          <w:marBottom w:val="0"/>
          <w:divBdr>
            <w:top w:val="none" w:sz="0" w:space="0" w:color="auto"/>
            <w:left w:val="none" w:sz="0" w:space="0" w:color="auto"/>
            <w:bottom w:val="none" w:sz="0" w:space="0" w:color="auto"/>
            <w:right w:val="none" w:sz="0" w:space="0" w:color="auto"/>
          </w:divBdr>
        </w:div>
        <w:div w:id="1515420636">
          <w:marLeft w:val="480"/>
          <w:marRight w:val="0"/>
          <w:marTop w:val="0"/>
          <w:marBottom w:val="0"/>
          <w:divBdr>
            <w:top w:val="none" w:sz="0" w:space="0" w:color="auto"/>
            <w:left w:val="none" w:sz="0" w:space="0" w:color="auto"/>
            <w:bottom w:val="none" w:sz="0" w:space="0" w:color="auto"/>
            <w:right w:val="none" w:sz="0" w:space="0" w:color="auto"/>
          </w:divBdr>
        </w:div>
        <w:div w:id="1119641007">
          <w:marLeft w:val="480"/>
          <w:marRight w:val="0"/>
          <w:marTop w:val="0"/>
          <w:marBottom w:val="0"/>
          <w:divBdr>
            <w:top w:val="none" w:sz="0" w:space="0" w:color="auto"/>
            <w:left w:val="none" w:sz="0" w:space="0" w:color="auto"/>
            <w:bottom w:val="none" w:sz="0" w:space="0" w:color="auto"/>
            <w:right w:val="none" w:sz="0" w:space="0" w:color="auto"/>
          </w:divBdr>
        </w:div>
        <w:div w:id="509374281">
          <w:marLeft w:val="480"/>
          <w:marRight w:val="0"/>
          <w:marTop w:val="0"/>
          <w:marBottom w:val="0"/>
          <w:divBdr>
            <w:top w:val="none" w:sz="0" w:space="0" w:color="auto"/>
            <w:left w:val="none" w:sz="0" w:space="0" w:color="auto"/>
            <w:bottom w:val="none" w:sz="0" w:space="0" w:color="auto"/>
            <w:right w:val="none" w:sz="0" w:space="0" w:color="auto"/>
          </w:divBdr>
        </w:div>
        <w:div w:id="2130010114">
          <w:marLeft w:val="480"/>
          <w:marRight w:val="0"/>
          <w:marTop w:val="0"/>
          <w:marBottom w:val="0"/>
          <w:divBdr>
            <w:top w:val="none" w:sz="0" w:space="0" w:color="auto"/>
            <w:left w:val="none" w:sz="0" w:space="0" w:color="auto"/>
            <w:bottom w:val="none" w:sz="0" w:space="0" w:color="auto"/>
            <w:right w:val="none" w:sz="0" w:space="0" w:color="auto"/>
          </w:divBdr>
        </w:div>
        <w:div w:id="1380517809">
          <w:marLeft w:val="480"/>
          <w:marRight w:val="0"/>
          <w:marTop w:val="0"/>
          <w:marBottom w:val="0"/>
          <w:divBdr>
            <w:top w:val="none" w:sz="0" w:space="0" w:color="auto"/>
            <w:left w:val="none" w:sz="0" w:space="0" w:color="auto"/>
            <w:bottom w:val="none" w:sz="0" w:space="0" w:color="auto"/>
            <w:right w:val="none" w:sz="0" w:space="0" w:color="auto"/>
          </w:divBdr>
        </w:div>
        <w:div w:id="699355418">
          <w:marLeft w:val="480"/>
          <w:marRight w:val="0"/>
          <w:marTop w:val="0"/>
          <w:marBottom w:val="0"/>
          <w:divBdr>
            <w:top w:val="none" w:sz="0" w:space="0" w:color="auto"/>
            <w:left w:val="none" w:sz="0" w:space="0" w:color="auto"/>
            <w:bottom w:val="none" w:sz="0" w:space="0" w:color="auto"/>
            <w:right w:val="none" w:sz="0" w:space="0" w:color="auto"/>
          </w:divBdr>
        </w:div>
        <w:div w:id="1619138179">
          <w:marLeft w:val="480"/>
          <w:marRight w:val="0"/>
          <w:marTop w:val="0"/>
          <w:marBottom w:val="0"/>
          <w:divBdr>
            <w:top w:val="none" w:sz="0" w:space="0" w:color="auto"/>
            <w:left w:val="none" w:sz="0" w:space="0" w:color="auto"/>
            <w:bottom w:val="none" w:sz="0" w:space="0" w:color="auto"/>
            <w:right w:val="none" w:sz="0" w:space="0" w:color="auto"/>
          </w:divBdr>
        </w:div>
        <w:div w:id="1046222557">
          <w:marLeft w:val="480"/>
          <w:marRight w:val="0"/>
          <w:marTop w:val="0"/>
          <w:marBottom w:val="0"/>
          <w:divBdr>
            <w:top w:val="none" w:sz="0" w:space="0" w:color="auto"/>
            <w:left w:val="none" w:sz="0" w:space="0" w:color="auto"/>
            <w:bottom w:val="none" w:sz="0" w:space="0" w:color="auto"/>
            <w:right w:val="none" w:sz="0" w:space="0" w:color="auto"/>
          </w:divBdr>
        </w:div>
        <w:div w:id="425200443">
          <w:marLeft w:val="480"/>
          <w:marRight w:val="0"/>
          <w:marTop w:val="0"/>
          <w:marBottom w:val="0"/>
          <w:divBdr>
            <w:top w:val="none" w:sz="0" w:space="0" w:color="auto"/>
            <w:left w:val="none" w:sz="0" w:space="0" w:color="auto"/>
            <w:bottom w:val="none" w:sz="0" w:space="0" w:color="auto"/>
            <w:right w:val="none" w:sz="0" w:space="0" w:color="auto"/>
          </w:divBdr>
        </w:div>
        <w:div w:id="1492596881">
          <w:marLeft w:val="480"/>
          <w:marRight w:val="0"/>
          <w:marTop w:val="0"/>
          <w:marBottom w:val="0"/>
          <w:divBdr>
            <w:top w:val="none" w:sz="0" w:space="0" w:color="auto"/>
            <w:left w:val="none" w:sz="0" w:space="0" w:color="auto"/>
            <w:bottom w:val="none" w:sz="0" w:space="0" w:color="auto"/>
            <w:right w:val="none" w:sz="0" w:space="0" w:color="auto"/>
          </w:divBdr>
        </w:div>
        <w:div w:id="1034498022">
          <w:marLeft w:val="480"/>
          <w:marRight w:val="0"/>
          <w:marTop w:val="0"/>
          <w:marBottom w:val="0"/>
          <w:divBdr>
            <w:top w:val="none" w:sz="0" w:space="0" w:color="auto"/>
            <w:left w:val="none" w:sz="0" w:space="0" w:color="auto"/>
            <w:bottom w:val="none" w:sz="0" w:space="0" w:color="auto"/>
            <w:right w:val="none" w:sz="0" w:space="0" w:color="auto"/>
          </w:divBdr>
        </w:div>
        <w:div w:id="745305173">
          <w:marLeft w:val="480"/>
          <w:marRight w:val="0"/>
          <w:marTop w:val="0"/>
          <w:marBottom w:val="0"/>
          <w:divBdr>
            <w:top w:val="none" w:sz="0" w:space="0" w:color="auto"/>
            <w:left w:val="none" w:sz="0" w:space="0" w:color="auto"/>
            <w:bottom w:val="none" w:sz="0" w:space="0" w:color="auto"/>
            <w:right w:val="none" w:sz="0" w:space="0" w:color="auto"/>
          </w:divBdr>
        </w:div>
        <w:div w:id="208029778">
          <w:marLeft w:val="480"/>
          <w:marRight w:val="0"/>
          <w:marTop w:val="0"/>
          <w:marBottom w:val="0"/>
          <w:divBdr>
            <w:top w:val="none" w:sz="0" w:space="0" w:color="auto"/>
            <w:left w:val="none" w:sz="0" w:space="0" w:color="auto"/>
            <w:bottom w:val="none" w:sz="0" w:space="0" w:color="auto"/>
            <w:right w:val="none" w:sz="0" w:space="0" w:color="auto"/>
          </w:divBdr>
        </w:div>
        <w:div w:id="181482207">
          <w:marLeft w:val="480"/>
          <w:marRight w:val="0"/>
          <w:marTop w:val="0"/>
          <w:marBottom w:val="0"/>
          <w:divBdr>
            <w:top w:val="none" w:sz="0" w:space="0" w:color="auto"/>
            <w:left w:val="none" w:sz="0" w:space="0" w:color="auto"/>
            <w:bottom w:val="none" w:sz="0" w:space="0" w:color="auto"/>
            <w:right w:val="none" w:sz="0" w:space="0" w:color="auto"/>
          </w:divBdr>
        </w:div>
        <w:div w:id="605889426">
          <w:marLeft w:val="480"/>
          <w:marRight w:val="0"/>
          <w:marTop w:val="0"/>
          <w:marBottom w:val="0"/>
          <w:divBdr>
            <w:top w:val="none" w:sz="0" w:space="0" w:color="auto"/>
            <w:left w:val="none" w:sz="0" w:space="0" w:color="auto"/>
            <w:bottom w:val="none" w:sz="0" w:space="0" w:color="auto"/>
            <w:right w:val="none" w:sz="0" w:space="0" w:color="auto"/>
          </w:divBdr>
        </w:div>
        <w:div w:id="566574763">
          <w:marLeft w:val="480"/>
          <w:marRight w:val="0"/>
          <w:marTop w:val="0"/>
          <w:marBottom w:val="0"/>
          <w:divBdr>
            <w:top w:val="none" w:sz="0" w:space="0" w:color="auto"/>
            <w:left w:val="none" w:sz="0" w:space="0" w:color="auto"/>
            <w:bottom w:val="none" w:sz="0" w:space="0" w:color="auto"/>
            <w:right w:val="none" w:sz="0" w:space="0" w:color="auto"/>
          </w:divBdr>
        </w:div>
        <w:div w:id="1295520325">
          <w:marLeft w:val="480"/>
          <w:marRight w:val="0"/>
          <w:marTop w:val="0"/>
          <w:marBottom w:val="0"/>
          <w:divBdr>
            <w:top w:val="none" w:sz="0" w:space="0" w:color="auto"/>
            <w:left w:val="none" w:sz="0" w:space="0" w:color="auto"/>
            <w:bottom w:val="none" w:sz="0" w:space="0" w:color="auto"/>
            <w:right w:val="none" w:sz="0" w:space="0" w:color="auto"/>
          </w:divBdr>
        </w:div>
        <w:div w:id="1666670129">
          <w:marLeft w:val="480"/>
          <w:marRight w:val="0"/>
          <w:marTop w:val="0"/>
          <w:marBottom w:val="0"/>
          <w:divBdr>
            <w:top w:val="none" w:sz="0" w:space="0" w:color="auto"/>
            <w:left w:val="none" w:sz="0" w:space="0" w:color="auto"/>
            <w:bottom w:val="none" w:sz="0" w:space="0" w:color="auto"/>
            <w:right w:val="none" w:sz="0" w:space="0" w:color="auto"/>
          </w:divBdr>
        </w:div>
        <w:div w:id="566652296">
          <w:marLeft w:val="480"/>
          <w:marRight w:val="0"/>
          <w:marTop w:val="0"/>
          <w:marBottom w:val="0"/>
          <w:divBdr>
            <w:top w:val="none" w:sz="0" w:space="0" w:color="auto"/>
            <w:left w:val="none" w:sz="0" w:space="0" w:color="auto"/>
            <w:bottom w:val="none" w:sz="0" w:space="0" w:color="auto"/>
            <w:right w:val="none" w:sz="0" w:space="0" w:color="auto"/>
          </w:divBdr>
        </w:div>
        <w:div w:id="324672834">
          <w:marLeft w:val="480"/>
          <w:marRight w:val="0"/>
          <w:marTop w:val="0"/>
          <w:marBottom w:val="0"/>
          <w:divBdr>
            <w:top w:val="none" w:sz="0" w:space="0" w:color="auto"/>
            <w:left w:val="none" w:sz="0" w:space="0" w:color="auto"/>
            <w:bottom w:val="none" w:sz="0" w:space="0" w:color="auto"/>
            <w:right w:val="none" w:sz="0" w:space="0" w:color="auto"/>
          </w:divBdr>
        </w:div>
        <w:div w:id="2074350624">
          <w:marLeft w:val="480"/>
          <w:marRight w:val="0"/>
          <w:marTop w:val="0"/>
          <w:marBottom w:val="0"/>
          <w:divBdr>
            <w:top w:val="none" w:sz="0" w:space="0" w:color="auto"/>
            <w:left w:val="none" w:sz="0" w:space="0" w:color="auto"/>
            <w:bottom w:val="none" w:sz="0" w:space="0" w:color="auto"/>
            <w:right w:val="none" w:sz="0" w:space="0" w:color="auto"/>
          </w:divBdr>
        </w:div>
        <w:div w:id="662665760">
          <w:marLeft w:val="480"/>
          <w:marRight w:val="0"/>
          <w:marTop w:val="0"/>
          <w:marBottom w:val="0"/>
          <w:divBdr>
            <w:top w:val="none" w:sz="0" w:space="0" w:color="auto"/>
            <w:left w:val="none" w:sz="0" w:space="0" w:color="auto"/>
            <w:bottom w:val="none" w:sz="0" w:space="0" w:color="auto"/>
            <w:right w:val="none" w:sz="0" w:space="0" w:color="auto"/>
          </w:divBdr>
        </w:div>
        <w:div w:id="1495412736">
          <w:marLeft w:val="480"/>
          <w:marRight w:val="0"/>
          <w:marTop w:val="0"/>
          <w:marBottom w:val="0"/>
          <w:divBdr>
            <w:top w:val="none" w:sz="0" w:space="0" w:color="auto"/>
            <w:left w:val="none" w:sz="0" w:space="0" w:color="auto"/>
            <w:bottom w:val="none" w:sz="0" w:space="0" w:color="auto"/>
            <w:right w:val="none" w:sz="0" w:space="0" w:color="auto"/>
          </w:divBdr>
        </w:div>
        <w:div w:id="2034573463">
          <w:marLeft w:val="480"/>
          <w:marRight w:val="0"/>
          <w:marTop w:val="0"/>
          <w:marBottom w:val="0"/>
          <w:divBdr>
            <w:top w:val="none" w:sz="0" w:space="0" w:color="auto"/>
            <w:left w:val="none" w:sz="0" w:space="0" w:color="auto"/>
            <w:bottom w:val="none" w:sz="0" w:space="0" w:color="auto"/>
            <w:right w:val="none" w:sz="0" w:space="0" w:color="auto"/>
          </w:divBdr>
        </w:div>
        <w:div w:id="1466434877">
          <w:marLeft w:val="480"/>
          <w:marRight w:val="0"/>
          <w:marTop w:val="0"/>
          <w:marBottom w:val="0"/>
          <w:divBdr>
            <w:top w:val="none" w:sz="0" w:space="0" w:color="auto"/>
            <w:left w:val="none" w:sz="0" w:space="0" w:color="auto"/>
            <w:bottom w:val="none" w:sz="0" w:space="0" w:color="auto"/>
            <w:right w:val="none" w:sz="0" w:space="0" w:color="auto"/>
          </w:divBdr>
        </w:div>
        <w:div w:id="1857423309">
          <w:marLeft w:val="480"/>
          <w:marRight w:val="0"/>
          <w:marTop w:val="0"/>
          <w:marBottom w:val="0"/>
          <w:divBdr>
            <w:top w:val="none" w:sz="0" w:space="0" w:color="auto"/>
            <w:left w:val="none" w:sz="0" w:space="0" w:color="auto"/>
            <w:bottom w:val="none" w:sz="0" w:space="0" w:color="auto"/>
            <w:right w:val="none" w:sz="0" w:space="0" w:color="auto"/>
          </w:divBdr>
        </w:div>
        <w:div w:id="1624843761">
          <w:marLeft w:val="480"/>
          <w:marRight w:val="0"/>
          <w:marTop w:val="0"/>
          <w:marBottom w:val="0"/>
          <w:divBdr>
            <w:top w:val="none" w:sz="0" w:space="0" w:color="auto"/>
            <w:left w:val="none" w:sz="0" w:space="0" w:color="auto"/>
            <w:bottom w:val="none" w:sz="0" w:space="0" w:color="auto"/>
            <w:right w:val="none" w:sz="0" w:space="0" w:color="auto"/>
          </w:divBdr>
        </w:div>
        <w:div w:id="655036842">
          <w:marLeft w:val="480"/>
          <w:marRight w:val="0"/>
          <w:marTop w:val="0"/>
          <w:marBottom w:val="0"/>
          <w:divBdr>
            <w:top w:val="none" w:sz="0" w:space="0" w:color="auto"/>
            <w:left w:val="none" w:sz="0" w:space="0" w:color="auto"/>
            <w:bottom w:val="none" w:sz="0" w:space="0" w:color="auto"/>
            <w:right w:val="none" w:sz="0" w:space="0" w:color="auto"/>
          </w:divBdr>
        </w:div>
        <w:div w:id="587545009">
          <w:marLeft w:val="480"/>
          <w:marRight w:val="0"/>
          <w:marTop w:val="0"/>
          <w:marBottom w:val="0"/>
          <w:divBdr>
            <w:top w:val="none" w:sz="0" w:space="0" w:color="auto"/>
            <w:left w:val="none" w:sz="0" w:space="0" w:color="auto"/>
            <w:bottom w:val="none" w:sz="0" w:space="0" w:color="auto"/>
            <w:right w:val="none" w:sz="0" w:space="0" w:color="auto"/>
          </w:divBdr>
        </w:div>
        <w:div w:id="1201743928">
          <w:marLeft w:val="480"/>
          <w:marRight w:val="0"/>
          <w:marTop w:val="0"/>
          <w:marBottom w:val="0"/>
          <w:divBdr>
            <w:top w:val="none" w:sz="0" w:space="0" w:color="auto"/>
            <w:left w:val="none" w:sz="0" w:space="0" w:color="auto"/>
            <w:bottom w:val="none" w:sz="0" w:space="0" w:color="auto"/>
            <w:right w:val="none" w:sz="0" w:space="0" w:color="auto"/>
          </w:divBdr>
        </w:div>
        <w:div w:id="2029483100">
          <w:marLeft w:val="480"/>
          <w:marRight w:val="0"/>
          <w:marTop w:val="0"/>
          <w:marBottom w:val="0"/>
          <w:divBdr>
            <w:top w:val="none" w:sz="0" w:space="0" w:color="auto"/>
            <w:left w:val="none" w:sz="0" w:space="0" w:color="auto"/>
            <w:bottom w:val="none" w:sz="0" w:space="0" w:color="auto"/>
            <w:right w:val="none" w:sz="0" w:space="0" w:color="auto"/>
          </w:divBdr>
        </w:div>
        <w:div w:id="572737203">
          <w:marLeft w:val="480"/>
          <w:marRight w:val="0"/>
          <w:marTop w:val="0"/>
          <w:marBottom w:val="0"/>
          <w:divBdr>
            <w:top w:val="none" w:sz="0" w:space="0" w:color="auto"/>
            <w:left w:val="none" w:sz="0" w:space="0" w:color="auto"/>
            <w:bottom w:val="none" w:sz="0" w:space="0" w:color="auto"/>
            <w:right w:val="none" w:sz="0" w:space="0" w:color="auto"/>
          </w:divBdr>
        </w:div>
        <w:div w:id="1848589980">
          <w:marLeft w:val="480"/>
          <w:marRight w:val="0"/>
          <w:marTop w:val="0"/>
          <w:marBottom w:val="0"/>
          <w:divBdr>
            <w:top w:val="none" w:sz="0" w:space="0" w:color="auto"/>
            <w:left w:val="none" w:sz="0" w:space="0" w:color="auto"/>
            <w:bottom w:val="none" w:sz="0" w:space="0" w:color="auto"/>
            <w:right w:val="none" w:sz="0" w:space="0" w:color="auto"/>
          </w:divBdr>
        </w:div>
        <w:div w:id="1982037177">
          <w:marLeft w:val="480"/>
          <w:marRight w:val="0"/>
          <w:marTop w:val="0"/>
          <w:marBottom w:val="0"/>
          <w:divBdr>
            <w:top w:val="none" w:sz="0" w:space="0" w:color="auto"/>
            <w:left w:val="none" w:sz="0" w:space="0" w:color="auto"/>
            <w:bottom w:val="none" w:sz="0" w:space="0" w:color="auto"/>
            <w:right w:val="none" w:sz="0" w:space="0" w:color="auto"/>
          </w:divBdr>
        </w:div>
        <w:div w:id="1655140566">
          <w:marLeft w:val="480"/>
          <w:marRight w:val="0"/>
          <w:marTop w:val="0"/>
          <w:marBottom w:val="0"/>
          <w:divBdr>
            <w:top w:val="none" w:sz="0" w:space="0" w:color="auto"/>
            <w:left w:val="none" w:sz="0" w:space="0" w:color="auto"/>
            <w:bottom w:val="none" w:sz="0" w:space="0" w:color="auto"/>
            <w:right w:val="none" w:sz="0" w:space="0" w:color="auto"/>
          </w:divBdr>
        </w:div>
        <w:div w:id="1677884706">
          <w:marLeft w:val="480"/>
          <w:marRight w:val="0"/>
          <w:marTop w:val="0"/>
          <w:marBottom w:val="0"/>
          <w:divBdr>
            <w:top w:val="none" w:sz="0" w:space="0" w:color="auto"/>
            <w:left w:val="none" w:sz="0" w:space="0" w:color="auto"/>
            <w:bottom w:val="none" w:sz="0" w:space="0" w:color="auto"/>
            <w:right w:val="none" w:sz="0" w:space="0" w:color="auto"/>
          </w:divBdr>
        </w:div>
        <w:div w:id="1045763554">
          <w:marLeft w:val="480"/>
          <w:marRight w:val="0"/>
          <w:marTop w:val="0"/>
          <w:marBottom w:val="0"/>
          <w:divBdr>
            <w:top w:val="none" w:sz="0" w:space="0" w:color="auto"/>
            <w:left w:val="none" w:sz="0" w:space="0" w:color="auto"/>
            <w:bottom w:val="none" w:sz="0" w:space="0" w:color="auto"/>
            <w:right w:val="none" w:sz="0" w:space="0" w:color="auto"/>
          </w:divBdr>
        </w:div>
        <w:div w:id="262301022">
          <w:marLeft w:val="480"/>
          <w:marRight w:val="0"/>
          <w:marTop w:val="0"/>
          <w:marBottom w:val="0"/>
          <w:divBdr>
            <w:top w:val="none" w:sz="0" w:space="0" w:color="auto"/>
            <w:left w:val="none" w:sz="0" w:space="0" w:color="auto"/>
            <w:bottom w:val="none" w:sz="0" w:space="0" w:color="auto"/>
            <w:right w:val="none" w:sz="0" w:space="0" w:color="auto"/>
          </w:divBdr>
        </w:div>
        <w:div w:id="1713386153">
          <w:marLeft w:val="480"/>
          <w:marRight w:val="0"/>
          <w:marTop w:val="0"/>
          <w:marBottom w:val="0"/>
          <w:divBdr>
            <w:top w:val="none" w:sz="0" w:space="0" w:color="auto"/>
            <w:left w:val="none" w:sz="0" w:space="0" w:color="auto"/>
            <w:bottom w:val="none" w:sz="0" w:space="0" w:color="auto"/>
            <w:right w:val="none" w:sz="0" w:space="0" w:color="auto"/>
          </w:divBdr>
        </w:div>
        <w:div w:id="457645279">
          <w:marLeft w:val="480"/>
          <w:marRight w:val="0"/>
          <w:marTop w:val="0"/>
          <w:marBottom w:val="0"/>
          <w:divBdr>
            <w:top w:val="none" w:sz="0" w:space="0" w:color="auto"/>
            <w:left w:val="none" w:sz="0" w:space="0" w:color="auto"/>
            <w:bottom w:val="none" w:sz="0" w:space="0" w:color="auto"/>
            <w:right w:val="none" w:sz="0" w:space="0" w:color="auto"/>
          </w:divBdr>
        </w:div>
        <w:div w:id="978342870">
          <w:marLeft w:val="480"/>
          <w:marRight w:val="0"/>
          <w:marTop w:val="0"/>
          <w:marBottom w:val="0"/>
          <w:divBdr>
            <w:top w:val="none" w:sz="0" w:space="0" w:color="auto"/>
            <w:left w:val="none" w:sz="0" w:space="0" w:color="auto"/>
            <w:bottom w:val="none" w:sz="0" w:space="0" w:color="auto"/>
            <w:right w:val="none" w:sz="0" w:space="0" w:color="auto"/>
          </w:divBdr>
        </w:div>
        <w:div w:id="1282612361">
          <w:marLeft w:val="480"/>
          <w:marRight w:val="0"/>
          <w:marTop w:val="0"/>
          <w:marBottom w:val="0"/>
          <w:divBdr>
            <w:top w:val="none" w:sz="0" w:space="0" w:color="auto"/>
            <w:left w:val="none" w:sz="0" w:space="0" w:color="auto"/>
            <w:bottom w:val="none" w:sz="0" w:space="0" w:color="auto"/>
            <w:right w:val="none" w:sz="0" w:space="0" w:color="auto"/>
          </w:divBdr>
        </w:div>
      </w:divsChild>
    </w:div>
    <w:div w:id="1153521111">
      <w:bodyDiv w:val="1"/>
      <w:marLeft w:val="0"/>
      <w:marRight w:val="0"/>
      <w:marTop w:val="0"/>
      <w:marBottom w:val="0"/>
      <w:divBdr>
        <w:top w:val="none" w:sz="0" w:space="0" w:color="auto"/>
        <w:left w:val="none" w:sz="0" w:space="0" w:color="auto"/>
        <w:bottom w:val="none" w:sz="0" w:space="0" w:color="auto"/>
        <w:right w:val="none" w:sz="0" w:space="0" w:color="auto"/>
      </w:divBdr>
    </w:div>
    <w:div w:id="1153788448">
      <w:bodyDiv w:val="1"/>
      <w:marLeft w:val="0"/>
      <w:marRight w:val="0"/>
      <w:marTop w:val="0"/>
      <w:marBottom w:val="0"/>
      <w:divBdr>
        <w:top w:val="none" w:sz="0" w:space="0" w:color="auto"/>
        <w:left w:val="none" w:sz="0" w:space="0" w:color="auto"/>
        <w:bottom w:val="none" w:sz="0" w:space="0" w:color="auto"/>
        <w:right w:val="none" w:sz="0" w:space="0" w:color="auto"/>
      </w:divBdr>
    </w:div>
    <w:div w:id="1158303720">
      <w:bodyDiv w:val="1"/>
      <w:marLeft w:val="0"/>
      <w:marRight w:val="0"/>
      <w:marTop w:val="0"/>
      <w:marBottom w:val="0"/>
      <w:divBdr>
        <w:top w:val="none" w:sz="0" w:space="0" w:color="auto"/>
        <w:left w:val="none" w:sz="0" w:space="0" w:color="auto"/>
        <w:bottom w:val="none" w:sz="0" w:space="0" w:color="auto"/>
        <w:right w:val="none" w:sz="0" w:space="0" w:color="auto"/>
      </w:divBdr>
    </w:div>
    <w:div w:id="1161846451">
      <w:bodyDiv w:val="1"/>
      <w:marLeft w:val="0"/>
      <w:marRight w:val="0"/>
      <w:marTop w:val="0"/>
      <w:marBottom w:val="0"/>
      <w:divBdr>
        <w:top w:val="none" w:sz="0" w:space="0" w:color="auto"/>
        <w:left w:val="none" w:sz="0" w:space="0" w:color="auto"/>
        <w:bottom w:val="none" w:sz="0" w:space="0" w:color="auto"/>
        <w:right w:val="none" w:sz="0" w:space="0" w:color="auto"/>
      </w:divBdr>
    </w:div>
    <w:div w:id="1162548099">
      <w:bodyDiv w:val="1"/>
      <w:marLeft w:val="0"/>
      <w:marRight w:val="0"/>
      <w:marTop w:val="0"/>
      <w:marBottom w:val="0"/>
      <w:divBdr>
        <w:top w:val="none" w:sz="0" w:space="0" w:color="auto"/>
        <w:left w:val="none" w:sz="0" w:space="0" w:color="auto"/>
        <w:bottom w:val="none" w:sz="0" w:space="0" w:color="auto"/>
        <w:right w:val="none" w:sz="0" w:space="0" w:color="auto"/>
      </w:divBdr>
    </w:div>
    <w:div w:id="1162891479">
      <w:bodyDiv w:val="1"/>
      <w:marLeft w:val="0"/>
      <w:marRight w:val="0"/>
      <w:marTop w:val="0"/>
      <w:marBottom w:val="0"/>
      <w:divBdr>
        <w:top w:val="none" w:sz="0" w:space="0" w:color="auto"/>
        <w:left w:val="none" w:sz="0" w:space="0" w:color="auto"/>
        <w:bottom w:val="none" w:sz="0" w:space="0" w:color="auto"/>
        <w:right w:val="none" w:sz="0" w:space="0" w:color="auto"/>
      </w:divBdr>
    </w:div>
    <w:div w:id="1166674850">
      <w:bodyDiv w:val="1"/>
      <w:marLeft w:val="0"/>
      <w:marRight w:val="0"/>
      <w:marTop w:val="0"/>
      <w:marBottom w:val="0"/>
      <w:divBdr>
        <w:top w:val="none" w:sz="0" w:space="0" w:color="auto"/>
        <w:left w:val="none" w:sz="0" w:space="0" w:color="auto"/>
        <w:bottom w:val="none" w:sz="0" w:space="0" w:color="auto"/>
        <w:right w:val="none" w:sz="0" w:space="0" w:color="auto"/>
      </w:divBdr>
    </w:div>
    <w:div w:id="1178230187">
      <w:bodyDiv w:val="1"/>
      <w:marLeft w:val="0"/>
      <w:marRight w:val="0"/>
      <w:marTop w:val="0"/>
      <w:marBottom w:val="0"/>
      <w:divBdr>
        <w:top w:val="none" w:sz="0" w:space="0" w:color="auto"/>
        <w:left w:val="none" w:sz="0" w:space="0" w:color="auto"/>
        <w:bottom w:val="none" w:sz="0" w:space="0" w:color="auto"/>
        <w:right w:val="none" w:sz="0" w:space="0" w:color="auto"/>
      </w:divBdr>
    </w:div>
    <w:div w:id="1179343904">
      <w:bodyDiv w:val="1"/>
      <w:marLeft w:val="0"/>
      <w:marRight w:val="0"/>
      <w:marTop w:val="0"/>
      <w:marBottom w:val="0"/>
      <w:divBdr>
        <w:top w:val="none" w:sz="0" w:space="0" w:color="auto"/>
        <w:left w:val="none" w:sz="0" w:space="0" w:color="auto"/>
        <w:bottom w:val="none" w:sz="0" w:space="0" w:color="auto"/>
        <w:right w:val="none" w:sz="0" w:space="0" w:color="auto"/>
      </w:divBdr>
    </w:div>
    <w:div w:id="1179540212">
      <w:bodyDiv w:val="1"/>
      <w:marLeft w:val="0"/>
      <w:marRight w:val="0"/>
      <w:marTop w:val="0"/>
      <w:marBottom w:val="0"/>
      <w:divBdr>
        <w:top w:val="none" w:sz="0" w:space="0" w:color="auto"/>
        <w:left w:val="none" w:sz="0" w:space="0" w:color="auto"/>
        <w:bottom w:val="none" w:sz="0" w:space="0" w:color="auto"/>
        <w:right w:val="none" w:sz="0" w:space="0" w:color="auto"/>
      </w:divBdr>
    </w:div>
    <w:div w:id="1186408042">
      <w:bodyDiv w:val="1"/>
      <w:marLeft w:val="0"/>
      <w:marRight w:val="0"/>
      <w:marTop w:val="0"/>
      <w:marBottom w:val="0"/>
      <w:divBdr>
        <w:top w:val="none" w:sz="0" w:space="0" w:color="auto"/>
        <w:left w:val="none" w:sz="0" w:space="0" w:color="auto"/>
        <w:bottom w:val="none" w:sz="0" w:space="0" w:color="auto"/>
        <w:right w:val="none" w:sz="0" w:space="0" w:color="auto"/>
      </w:divBdr>
    </w:div>
    <w:div w:id="1192303766">
      <w:bodyDiv w:val="1"/>
      <w:marLeft w:val="0"/>
      <w:marRight w:val="0"/>
      <w:marTop w:val="0"/>
      <w:marBottom w:val="0"/>
      <w:divBdr>
        <w:top w:val="none" w:sz="0" w:space="0" w:color="auto"/>
        <w:left w:val="none" w:sz="0" w:space="0" w:color="auto"/>
        <w:bottom w:val="none" w:sz="0" w:space="0" w:color="auto"/>
        <w:right w:val="none" w:sz="0" w:space="0" w:color="auto"/>
      </w:divBdr>
    </w:div>
    <w:div w:id="1194344793">
      <w:bodyDiv w:val="1"/>
      <w:marLeft w:val="0"/>
      <w:marRight w:val="0"/>
      <w:marTop w:val="0"/>
      <w:marBottom w:val="0"/>
      <w:divBdr>
        <w:top w:val="none" w:sz="0" w:space="0" w:color="auto"/>
        <w:left w:val="none" w:sz="0" w:space="0" w:color="auto"/>
        <w:bottom w:val="none" w:sz="0" w:space="0" w:color="auto"/>
        <w:right w:val="none" w:sz="0" w:space="0" w:color="auto"/>
      </w:divBdr>
    </w:div>
    <w:div w:id="1196430784">
      <w:bodyDiv w:val="1"/>
      <w:marLeft w:val="0"/>
      <w:marRight w:val="0"/>
      <w:marTop w:val="0"/>
      <w:marBottom w:val="0"/>
      <w:divBdr>
        <w:top w:val="none" w:sz="0" w:space="0" w:color="auto"/>
        <w:left w:val="none" w:sz="0" w:space="0" w:color="auto"/>
        <w:bottom w:val="none" w:sz="0" w:space="0" w:color="auto"/>
        <w:right w:val="none" w:sz="0" w:space="0" w:color="auto"/>
      </w:divBdr>
    </w:div>
    <w:div w:id="1199050670">
      <w:bodyDiv w:val="1"/>
      <w:marLeft w:val="0"/>
      <w:marRight w:val="0"/>
      <w:marTop w:val="0"/>
      <w:marBottom w:val="0"/>
      <w:divBdr>
        <w:top w:val="none" w:sz="0" w:space="0" w:color="auto"/>
        <w:left w:val="none" w:sz="0" w:space="0" w:color="auto"/>
        <w:bottom w:val="none" w:sz="0" w:space="0" w:color="auto"/>
        <w:right w:val="none" w:sz="0" w:space="0" w:color="auto"/>
      </w:divBdr>
    </w:div>
    <w:div w:id="1199733647">
      <w:bodyDiv w:val="1"/>
      <w:marLeft w:val="0"/>
      <w:marRight w:val="0"/>
      <w:marTop w:val="0"/>
      <w:marBottom w:val="0"/>
      <w:divBdr>
        <w:top w:val="none" w:sz="0" w:space="0" w:color="auto"/>
        <w:left w:val="none" w:sz="0" w:space="0" w:color="auto"/>
        <w:bottom w:val="none" w:sz="0" w:space="0" w:color="auto"/>
        <w:right w:val="none" w:sz="0" w:space="0" w:color="auto"/>
      </w:divBdr>
    </w:div>
    <w:div w:id="1201481947">
      <w:bodyDiv w:val="1"/>
      <w:marLeft w:val="0"/>
      <w:marRight w:val="0"/>
      <w:marTop w:val="0"/>
      <w:marBottom w:val="0"/>
      <w:divBdr>
        <w:top w:val="none" w:sz="0" w:space="0" w:color="auto"/>
        <w:left w:val="none" w:sz="0" w:space="0" w:color="auto"/>
        <w:bottom w:val="none" w:sz="0" w:space="0" w:color="auto"/>
        <w:right w:val="none" w:sz="0" w:space="0" w:color="auto"/>
      </w:divBdr>
    </w:div>
    <w:div w:id="1202596956">
      <w:bodyDiv w:val="1"/>
      <w:marLeft w:val="0"/>
      <w:marRight w:val="0"/>
      <w:marTop w:val="0"/>
      <w:marBottom w:val="0"/>
      <w:divBdr>
        <w:top w:val="none" w:sz="0" w:space="0" w:color="auto"/>
        <w:left w:val="none" w:sz="0" w:space="0" w:color="auto"/>
        <w:bottom w:val="none" w:sz="0" w:space="0" w:color="auto"/>
        <w:right w:val="none" w:sz="0" w:space="0" w:color="auto"/>
      </w:divBdr>
    </w:div>
    <w:div w:id="1204757645">
      <w:bodyDiv w:val="1"/>
      <w:marLeft w:val="0"/>
      <w:marRight w:val="0"/>
      <w:marTop w:val="0"/>
      <w:marBottom w:val="0"/>
      <w:divBdr>
        <w:top w:val="none" w:sz="0" w:space="0" w:color="auto"/>
        <w:left w:val="none" w:sz="0" w:space="0" w:color="auto"/>
        <w:bottom w:val="none" w:sz="0" w:space="0" w:color="auto"/>
        <w:right w:val="none" w:sz="0" w:space="0" w:color="auto"/>
      </w:divBdr>
    </w:div>
    <w:div w:id="1204829996">
      <w:bodyDiv w:val="1"/>
      <w:marLeft w:val="0"/>
      <w:marRight w:val="0"/>
      <w:marTop w:val="0"/>
      <w:marBottom w:val="0"/>
      <w:divBdr>
        <w:top w:val="none" w:sz="0" w:space="0" w:color="auto"/>
        <w:left w:val="none" w:sz="0" w:space="0" w:color="auto"/>
        <w:bottom w:val="none" w:sz="0" w:space="0" w:color="auto"/>
        <w:right w:val="none" w:sz="0" w:space="0" w:color="auto"/>
      </w:divBdr>
    </w:div>
    <w:div w:id="1205555467">
      <w:bodyDiv w:val="1"/>
      <w:marLeft w:val="0"/>
      <w:marRight w:val="0"/>
      <w:marTop w:val="0"/>
      <w:marBottom w:val="0"/>
      <w:divBdr>
        <w:top w:val="none" w:sz="0" w:space="0" w:color="auto"/>
        <w:left w:val="none" w:sz="0" w:space="0" w:color="auto"/>
        <w:bottom w:val="none" w:sz="0" w:space="0" w:color="auto"/>
        <w:right w:val="none" w:sz="0" w:space="0" w:color="auto"/>
      </w:divBdr>
    </w:div>
    <w:div w:id="1206798040">
      <w:bodyDiv w:val="1"/>
      <w:marLeft w:val="0"/>
      <w:marRight w:val="0"/>
      <w:marTop w:val="0"/>
      <w:marBottom w:val="0"/>
      <w:divBdr>
        <w:top w:val="none" w:sz="0" w:space="0" w:color="auto"/>
        <w:left w:val="none" w:sz="0" w:space="0" w:color="auto"/>
        <w:bottom w:val="none" w:sz="0" w:space="0" w:color="auto"/>
        <w:right w:val="none" w:sz="0" w:space="0" w:color="auto"/>
      </w:divBdr>
    </w:div>
    <w:div w:id="1207907700">
      <w:bodyDiv w:val="1"/>
      <w:marLeft w:val="0"/>
      <w:marRight w:val="0"/>
      <w:marTop w:val="0"/>
      <w:marBottom w:val="0"/>
      <w:divBdr>
        <w:top w:val="none" w:sz="0" w:space="0" w:color="auto"/>
        <w:left w:val="none" w:sz="0" w:space="0" w:color="auto"/>
        <w:bottom w:val="none" w:sz="0" w:space="0" w:color="auto"/>
        <w:right w:val="none" w:sz="0" w:space="0" w:color="auto"/>
      </w:divBdr>
      <w:divsChild>
        <w:div w:id="387148800">
          <w:marLeft w:val="0"/>
          <w:marRight w:val="0"/>
          <w:marTop w:val="0"/>
          <w:marBottom w:val="0"/>
          <w:divBdr>
            <w:top w:val="none" w:sz="0" w:space="0" w:color="auto"/>
            <w:left w:val="none" w:sz="0" w:space="0" w:color="auto"/>
            <w:bottom w:val="none" w:sz="0" w:space="0" w:color="auto"/>
            <w:right w:val="none" w:sz="0" w:space="0" w:color="auto"/>
          </w:divBdr>
          <w:divsChild>
            <w:div w:id="1600603221">
              <w:marLeft w:val="0"/>
              <w:marRight w:val="0"/>
              <w:marTop w:val="0"/>
              <w:marBottom w:val="0"/>
              <w:divBdr>
                <w:top w:val="none" w:sz="0" w:space="0" w:color="auto"/>
                <w:left w:val="none" w:sz="0" w:space="0" w:color="auto"/>
                <w:bottom w:val="none" w:sz="0" w:space="0" w:color="auto"/>
                <w:right w:val="none" w:sz="0" w:space="0" w:color="auto"/>
              </w:divBdr>
            </w:div>
          </w:divsChild>
        </w:div>
        <w:div w:id="1293903704">
          <w:marLeft w:val="0"/>
          <w:marRight w:val="0"/>
          <w:marTop w:val="0"/>
          <w:marBottom w:val="0"/>
          <w:divBdr>
            <w:top w:val="none" w:sz="0" w:space="0" w:color="auto"/>
            <w:left w:val="none" w:sz="0" w:space="0" w:color="auto"/>
            <w:bottom w:val="none" w:sz="0" w:space="0" w:color="auto"/>
            <w:right w:val="none" w:sz="0" w:space="0" w:color="auto"/>
          </w:divBdr>
          <w:divsChild>
            <w:div w:id="755705957">
              <w:marLeft w:val="0"/>
              <w:marRight w:val="0"/>
              <w:marTop w:val="0"/>
              <w:marBottom w:val="0"/>
              <w:divBdr>
                <w:top w:val="none" w:sz="0" w:space="0" w:color="auto"/>
                <w:left w:val="none" w:sz="0" w:space="0" w:color="auto"/>
                <w:bottom w:val="none" w:sz="0" w:space="0" w:color="auto"/>
                <w:right w:val="none" w:sz="0" w:space="0" w:color="auto"/>
              </w:divBdr>
            </w:div>
          </w:divsChild>
        </w:div>
        <w:div w:id="1810585122">
          <w:marLeft w:val="0"/>
          <w:marRight w:val="0"/>
          <w:marTop w:val="0"/>
          <w:marBottom w:val="0"/>
          <w:divBdr>
            <w:top w:val="none" w:sz="0" w:space="0" w:color="auto"/>
            <w:left w:val="none" w:sz="0" w:space="0" w:color="auto"/>
            <w:bottom w:val="none" w:sz="0" w:space="0" w:color="auto"/>
            <w:right w:val="none" w:sz="0" w:space="0" w:color="auto"/>
          </w:divBdr>
          <w:divsChild>
            <w:div w:id="561214735">
              <w:marLeft w:val="0"/>
              <w:marRight w:val="0"/>
              <w:marTop w:val="0"/>
              <w:marBottom w:val="0"/>
              <w:divBdr>
                <w:top w:val="none" w:sz="0" w:space="0" w:color="auto"/>
                <w:left w:val="none" w:sz="0" w:space="0" w:color="auto"/>
                <w:bottom w:val="none" w:sz="0" w:space="0" w:color="auto"/>
                <w:right w:val="none" w:sz="0" w:space="0" w:color="auto"/>
              </w:divBdr>
            </w:div>
          </w:divsChild>
        </w:div>
        <w:div w:id="1101142745">
          <w:marLeft w:val="0"/>
          <w:marRight w:val="0"/>
          <w:marTop w:val="0"/>
          <w:marBottom w:val="0"/>
          <w:divBdr>
            <w:top w:val="none" w:sz="0" w:space="0" w:color="auto"/>
            <w:left w:val="none" w:sz="0" w:space="0" w:color="auto"/>
            <w:bottom w:val="none" w:sz="0" w:space="0" w:color="auto"/>
            <w:right w:val="none" w:sz="0" w:space="0" w:color="auto"/>
          </w:divBdr>
          <w:divsChild>
            <w:div w:id="19755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2621">
      <w:bodyDiv w:val="1"/>
      <w:marLeft w:val="0"/>
      <w:marRight w:val="0"/>
      <w:marTop w:val="0"/>
      <w:marBottom w:val="0"/>
      <w:divBdr>
        <w:top w:val="none" w:sz="0" w:space="0" w:color="auto"/>
        <w:left w:val="none" w:sz="0" w:space="0" w:color="auto"/>
        <w:bottom w:val="none" w:sz="0" w:space="0" w:color="auto"/>
        <w:right w:val="none" w:sz="0" w:space="0" w:color="auto"/>
      </w:divBdr>
    </w:div>
    <w:div w:id="1211959088">
      <w:bodyDiv w:val="1"/>
      <w:marLeft w:val="0"/>
      <w:marRight w:val="0"/>
      <w:marTop w:val="0"/>
      <w:marBottom w:val="0"/>
      <w:divBdr>
        <w:top w:val="none" w:sz="0" w:space="0" w:color="auto"/>
        <w:left w:val="none" w:sz="0" w:space="0" w:color="auto"/>
        <w:bottom w:val="none" w:sz="0" w:space="0" w:color="auto"/>
        <w:right w:val="none" w:sz="0" w:space="0" w:color="auto"/>
      </w:divBdr>
    </w:div>
    <w:div w:id="1213469665">
      <w:bodyDiv w:val="1"/>
      <w:marLeft w:val="0"/>
      <w:marRight w:val="0"/>
      <w:marTop w:val="0"/>
      <w:marBottom w:val="0"/>
      <w:divBdr>
        <w:top w:val="none" w:sz="0" w:space="0" w:color="auto"/>
        <w:left w:val="none" w:sz="0" w:space="0" w:color="auto"/>
        <w:bottom w:val="none" w:sz="0" w:space="0" w:color="auto"/>
        <w:right w:val="none" w:sz="0" w:space="0" w:color="auto"/>
      </w:divBdr>
    </w:div>
    <w:div w:id="1225028611">
      <w:bodyDiv w:val="1"/>
      <w:marLeft w:val="0"/>
      <w:marRight w:val="0"/>
      <w:marTop w:val="0"/>
      <w:marBottom w:val="0"/>
      <w:divBdr>
        <w:top w:val="none" w:sz="0" w:space="0" w:color="auto"/>
        <w:left w:val="none" w:sz="0" w:space="0" w:color="auto"/>
        <w:bottom w:val="none" w:sz="0" w:space="0" w:color="auto"/>
        <w:right w:val="none" w:sz="0" w:space="0" w:color="auto"/>
      </w:divBdr>
    </w:div>
    <w:div w:id="1226183003">
      <w:bodyDiv w:val="1"/>
      <w:marLeft w:val="0"/>
      <w:marRight w:val="0"/>
      <w:marTop w:val="0"/>
      <w:marBottom w:val="0"/>
      <w:divBdr>
        <w:top w:val="none" w:sz="0" w:space="0" w:color="auto"/>
        <w:left w:val="none" w:sz="0" w:space="0" w:color="auto"/>
        <w:bottom w:val="none" w:sz="0" w:space="0" w:color="auto"/>
        <w:right w:val="none" w:sz="0" w:space="0" w:color="auto"/>
      </w:divBdr>
    </w:div>
    <w:div w:id="1227766513">
      <w:bodyDiv w:val="1"/>
      <w:marLeft w:val="0"/>
      <w:marRight w:val="0"/>
      <w:marTop w:val="0"/>
      <w:marBottom w:val="0"/>
      <w:divBdr>
        <w:top w:val="none" w:sz="0" w:space="0" w:color="auto"/>
        <w:left w:val="none" w:sz="0" w:space="0" w:color="auto"/>
        <w:bottom w:val="none" w:sz="0" w:space="0" w:color="auto"/>
        <w:right w:val="none" w:sz="0" w:space="0" w:color="auto"/>
      </w:divBdr>
    </w:div>
    <w:div w:id="1228301278">
      <w:bodyDiv w:val="1"/>
      <w:marLeft w:val="0"/>
      <w:marRight w:val="0"/>
      <w:marTop w:val="0"/>
      <w:marBottom w:val="0"/>
      <w:divBdr>
        <w:top w:val="none" w:sz="0" w:space="0" w:color="auto"/>
        <w:left w:val="none" w:sz="0" w:space="0" w:color="auto"/>
        <w:bottom w:val="none" w:sz="0" w:space="0" w:color="auto"/>
        <w:right w:val="none" w:sz="0" w:space="0" w:color="auto"/>
      </w:divBdr>
    </w:div>
    <w:div w:id="1230579693">
      <w:bodyDiv w:val="1"/>
      <w:marLeft w:val="0"/>
      <w:marRight w:val="0"/>
      <w:marTop w:val="0"/>
      <w:marBottom w:val="0"/>
      <w:divBdr>
        <w:top w:val="none" w:sz="0" w:space="0" w:color="auto"/>
        <w:left w:val="none" w:sz="0" w:space="0" w:color="auto"/>
        <w:bottom w:val="none" w:sz="0" w:space="0" w:color="auto"/>
        <w:right w:val="none" w:sz="0" w:space="0" w:color="auto"/>
      </w:divBdr>
    </w:div>
    <w:div w:id="1230775312">
      <w:bodyDiv w:val="1"/>
      <w:marLeft w:val="0"/>
      <w:marRight w:val="0"/>
      <w:marTop w:val="0"/>
      <w:marBottom w:val="0"/>
      <w:divBdr>
        <w:top w:val="none" w:sz="0" w:space="0" w:color="auto"/>
        <w:left w:val="none" w:sz="0" w:space="0" w:color="auto"/>
        <w:bottom w:val="none" w:sz="0" w:space="0" w:color="auto"/>
        <w:right w:val="none" w:sz="0" w:space="0" w:color="auto"/>
      </w:divBdr>
    </w:div>
    <w:div w:id="1234193011">
      <w:bodyDiv w:val="1"/>
      <w:marLeft w:val="0"/>
      <w:marRight w:val="0"/>
      <w:marTop w:val="0"/>
      <w:marBottom w:val="0"/>
      <w:divBdr>
        <w:top w:val="none" w:sz="0" w:space="0" w:color="auto"/>
        <w:left w:val="none" w:sz="0" w:space="0" w:color="auto"/>
        <w:bottom w:val="none" w:sz="0" w:space="0" w:color="auto"/>
        <w:right w:val="none" w:sz="0" w:space="0" w:color="auto"/>
      </w:divBdr>
    </w:div>
    <w:div w:id="1235161011">
      <w:bodyDiv w:val="1"/>
      <w:marLeft w:val="0"/>
      <w:marRight w:val="0"/>
      <w:marTop w:val="0"/>
      <w:marBottom w:val="0"/>
      <w:divBdr>
        <w:top w:val="none" w:sz="0" w:space="0" w:color="auto"/>
        <w:left w:val="none" w:sz="0" w:space="0" w:color="auto"/>
        <w:bottom w:val="none" w:sz="0" w:space="0" w:color="auto"/>
        <w:right w:val="none" w:sz="0" w:space="0" w:color="auto"/>
      </w:divBdr>
    </w:div>
    <w:div w:id="1238325788">
      <w:bodyDiv w:val="1"/>
      <w:marLeft w:val="0"/>
      <w:marRight w:val="0"/>
      <w:marTop w:val="0"/>
      <w:marBottom w:val="0"/>
      <w:divBdr>
        <w:top w:val="none" w:sz="0" w:space="0" w:color="auto"/>
        <w:left w:val="none" w:sz="0" w:space="0" w:color="auto"/>
        <w:bottom w:val="none" w:sz="0" w:space="0" w:color="auto"/>
        <w:right w:val="none" w:sz="0" w:space="0" w:color="auto"/>
      </w:divBdr>
    </w:div>
    <w:div w:id="1239513278">
      <w:bodyDiv w:val="1"/>
      <w:marLeft w:val="0"/>
      <w:marRight w:val="0"/>
      <w:marTop w:val="0"/>
      <w:marBottom w:val="0"/>
      <w:divBdr>
        <w:top w:val="none" w:sz="0" w:space="0" w:color="auto"/>
        <w:left w:val="none" w:sz="0" w:space="0" w:color="auto"/>
        <w:bottom w:val="none" w:sz="0" w:space="0" w:color="auto"/>
        <w:right w:val="none" w:sz="0" w:space="0" w:color="auto"/>
      </w:divBdr>
    </w:div>
    <w:div w:id="1240479638">
      <w:bodyDiv w:val="1"/>
      <w:marLeft w:val="0"/>
      <w:marRight w:val="0"/>
      <w:marTop w:val="0"/>
      <w:marBottom w:val="0"/>
      <w:divBdr>
        <w:top w:val="none" w:sz="0" w:space="0" w:color="auto"/>
        <w:left w:val="none" w:sz="0" w:space="0" w:color="auto"/>
        <w:bottom w:val="none" w:sz="0" w:space="0" w:color="auto"/>
        <w:right w:val="none" w:sz="0" w:space="0" w:color="auto"/>
      </w:divBdr>
    </w:div>
    <w:div w:id="1242058797">
      <w:bodyDiv w:val="1"/>
      <w:marLeft w:val="0"/>
      <w:marRight w:val="0"/>
      <w:marTop w:val="0"/>
      <w:marBottom w:val="0"/>
      <w:divBdr>
        <w:top w:val="none" w:sz="0" w:space="0" w:color="auto"/>
        <w:left w:val="none" w:sz="0" w:space="0" w:color="auto"/>
        <w:bottom w:val="none" w:sz="0" w:space="0" w:color="auto"/>
        <w:right w:val="none" w:sz="0" w:space="0" w:color="auto"/>
      </w:divBdr>
    </w:div>
    <w:div w:id="1244292478">
      <w:bodyDiv w:val="1"/>
      <w:marLeft w:val="0"/>
      <w:marRight w:val="0"/>
      <w:marTop w:val="0"/>
      <w:marBottom w:val="0"/>
      <w:divBdr>
        <w:top w:val="none" w:sz="0" w:space="0" w:color="auto"/>
        <w:left w:val="none" w:sz="0" w:space="0" w:color="auto"/>
        <w:bottom w:val="none" w:sz="0" w:space="0" w:color="auto"/>
        <w:right w:val="none" w:sz="0" w:space="0" w:color="auto"/>
      </w:divBdr>
    </w:div>
    <w:div w:id="1248231204">
      <w:bodyDiv w:val="1"/>
      <w:marLeft w:val="0"/>
      <w:marRight w:val="0"/>
      <w:marTop w:val="0"/>
      <w:marBottom w:val="0"/>
      <w:divBdr>
        <w:top w:val="none" w:sz="0" w:space="0" w:color="auto"/>
        <w:left w:val="none" w:sz="0" w:space="0" w:color="auto"/>
        <w:bottom w:val="none" w:sz="0" w:space="0" w:color="auto"/>
        <w:right w:val="none" w:sz="0" w:space="0" w:color="auto"/>
      </w:divBdr>
    </w:div>
    <w:div w:id="1251507138">
      <w:bodyDiv w:val="1"/>
      <w:marLeft w:val="0"/>
      <w:marRight w:val="0"/>
      <w:marTop w:val="0"/>
      <w:marBottom w:val="0"/>
      <w:divBdr>
        <w:top w:val="none" w:sz="0" w:space="0" w:color="auto"/>
        <w:left w:val="none" w:sz="0" w:space="0" w:color="auto"/>
        <w:bottom w:val="none" w:sz="0" w:space="0" w:color="auto"/>
        <w:right w:val="none" w:sz="0" w:space="0" w:color="auto"/>
      </w:divBdr>
    </w:div>
    <w:div w:id="1253314256">
      <w:bodyDiv w:val="1"/>
      <w:marLeft w:val="0"/>
      <w:marRight w:val="0"/>
      <w:marTop w:val="0"/>
      <w:marBottom w:val="0"/>
      <w:divBdr>
        <w:top w:val="none" w:sz="0" w:space="0" w:color="auto"/>
        <w:left w:val="none" w:sz="0" w:space="0" w:color="auto"/>
        <w:bottom w:val="none" w:sz="0" w:space="0" w:color="auto"/>
        <w:right w:val="none" w:sz="0" w:space="0" w:color="auto"/>
      </w:divBdr>
    </w:div>
    <w:div w:id="1255701096">
      <w:bodyDiv w:val="1"/>
      <w:marLeft w:val="0"/>
      <w:marRight w:val="0"/>
      <w:marTop w:val="0"/>
      <w:marBottom w:val="0"/>
      <w:divBdr>
        <w:top w:val="none" w:sz="0" w:space="0" w:color="auto"/>
        <w:left w:val="none" w:sz="0" w:space="0" w:color="auto"/>
        <w:bottom w:val="none" w:sz="0" w:space="0" w:color="auto"/>
        <w:right w:val="none" w:sz="0" w:space="0" w:color="auto"/>
      </w:divBdr>
    </w:div>
    <w:div w:id="1259019127">
      <w:bodyDiv w:val="1"/>
      <w:marLeft w:val="0"/>
      <w:marRight w:val="0"/>
      <w:marTop w:val="0"/>
      <w:marBottom w:val="0"/>
      <w:divBdr>
        <w:top w:val="none" w:sz="0" w:space="0" w:color="auto"/>
        <w:left w:val="none" w:sz="0" w:space="0" w:color="auto"/>
        <w:bottom w:val="none" w:sz="0" w:space="0" w:color="auto"/>
        <w:right w:val="none" w:sz="0" w:space="0" w:color="auto"/>
      </w:divBdr>
    </w:div>
    <w:div w:id="1262764732">
      <w:bodyDiv w:val="1"/>
      <w:marLeft w:val="0"/>
      <w:marRight w:val="0"/>
      <w:marTop w:val="0"/>
      <w:marBottom w:val="0"/>
      <w:divBdr>
        <w:top w:val="none" w:sz="0" w:space="0" w:color="auto"/>
        <w:left w:val="none" w:sz="0" w:space="0" w:color="auto"/>
        <w:bottom w:val="none" w:sz="0" w:space="0" w:color="auto"/>
        <w:right w:val="none" w:sz="0" w:space="0" w:color="auto"/>
      </w:divBdr>
    </w:div>
    <w:div w:id="1271815289">
      <w:bodyDiv w:val="1"/>
      <w:marLeft w:val="0"/>
      <w:marRight w:val="0"/>
      <w:marTop w:val="0"/>
      <w:marBottom w:val="0"/>
      <w:divBdr>
        <w:top w:val="none" w:sz="0" w:space="0" w:color="auto"/>
        <w:left w:val="none" w:sz="0" w:space="0" w:color="auto"/>
        <w:bottom w:val="none" w:sz="0" w:space="0" w:color="auto"/>
        <w:right w:val="none" w:sz="0" w:space="0" w:color="auto"/>
      </w:divBdr>
    </w:div>
    <w:div w:id="1272322716">
      <w:bodyDiv w:val="1"/>
      <w:marLeft w:val="0"/>
      <w:marRight w:val="0"/>
      <w:marTop w:val="0"/>
      <w:marBottom w:val="0"/>
      <w:divBdr>
        <w:top w:val="none" w:sz="0" w:space="0" w:color="auto"/>
        <w:left w:val="none" w:sz="0" w:space="0" w:color="auto"/>
        <w:bottom w:val="none" w:sz="0" w:space="0" w:color="auto"/>
        <w:right w:val="none" w:sz="0" w:space="0" w:color="auto"/>
      </w:divBdr>
    </w:div>
    <w:div w:id="1273169540">
      <w:bodyDiv w:val="1"/>
      <w:marLeft w:val="0"/>
      <w:marRight w:val="0"/>
      <w:marTop w:val="0"/>
      <w:marBottom w:val="0"/>
      <w:divBdr>
        <w:top w:val="none" w:sz="0" w:space="0" w:color="auto"/>
        <w:left w:val="none" w:sz="0" w:space="0" w:color="auto"/>
        <w:bottom w:val="none" w:sz="0" w:space="0" w:color="auto"/>
        <w:right w:val="none" w:sz="0" w:space="0" w:color="auto"/>
      </w:divBdr>
    </w:div>
    <w:div w:id="1275744744">
      <w:bodyDiv w:val="1"/>
      <w:marLeft w:val="0"/>
      <w:marRight w:val="0"/>
      <w:marTop w:val="0"/>
      <w:marBottom w:val="0"/>
      <w:divBdr>
        <w:top w:val="none" w:sz="0" w:space="0" w:color="auto"/>
        <w:left w:val="none" w:sz="0" w:space="0" w:color="auto"/>
        <w:bottom w:val="none" w:sz="0" w:space="0" w:color="auto"/>
        <w:right w:val="none" w:sz="0" w:space="0" w:color="auto"/>
      </w:divBdr>
    </w:div>
    <w:div w:id="1276055173">
      <w:bodyDiv w:val="1"/>
      <w:marLeft w:val="0"/>
      <w:marRight w:val="0"/>
      <w:marTop w:val="0"/>
      <w:marBottom w:val="0"/>
      <w:divBdr>
        <w:top w:val="none" w:sz="0" w:space="0" w:color="auto"/>
        <w:left w:val="none" w:sz="0" w:space="0" w:color="auto"/>
        <w:bottom w:val="none" w:sz="0" w:space="0" w:color="auto"/>
        <w:right w:val="none" w:sz="0" w:space="0" w:color="auto"/>
      </w:divBdr>
    </w:div>
    <w:div w:id="1277827526">
      <w:bodyDiv w:val="1"/>
      <w:marLeft w:val="0"/>
      <w:marRight w:val="0"/>
      <w:marTop w:val="0"/>
      <w:marBottom w:val="0"/>
      <w:divBdr>
        <w:top w:val="none" w:sz="0" w:space="0" w:color="auto"/>
        <w:left w:val="none" w:sz="0" w:space="0" w:color="auto"/>
        <w:bottom w:val="none" w:sz="0" w:space="0" w:color="auto"/>
        <w:right w:val="none" w:sz="0" w:space="0" w:color="auto"/>
      </w:divBdr>
    </w:div>
    <w:div w:id="1278490944">
      <w:bodyDiv w:val="1"/>
      <w:marLeft w:val="0"/>
      <w:marRight w:val="0"/>
      <w:marTop w:val="0"/>
      <w:marBottom w:val="0"/>
      <w:divBdr>
        <w:top w:val="none" w:sz="0" w:space="0" w:color="auto"/>
        <w:left w:val="none" w:sz="0" w:space="0" w:color="auto"/>
        <w:bottom w:val="none" w:sz="0" w:space="0" w:color="auto"/>
        <w:right w:val="none" w:sz="0" w:space="0" w:color="auto"/>
      </w:divBdr>
    </w:div>
    <w:div w:id="1278558668">
      <w:bodyDiv w:val="1"/>
      <w:marLeft w:val="0"/>
      <w:marRight w:val="0"/>
      <w:marTop w:val="0"/>
      <w:marBottom w:val="0"/>
      <w:divBdr>
        <w:top w:val="none" w:sz="0" w:space="0" w:color="auto"/>
        <w:left w:val="none" w:sz="0" w:space="0" w:color="auto"/>
        <w:bottom w:val="none" w:sz="0" w:space="0" w:color="auto"/>
        <w:right w:val="none" w:sz="0" w:space="0" w:color="auto"/>
      </w:divBdr>
    </w:div>
    <w:div w:id="1280915598">
      <w:bodyDiv w:val="1"/>
      <w:marLeft w:val="0"/>
      <w:marRight w:val="0"/>
      <w:marTop w:val="0"/>
      <w:marBottom w:val="0"/>
      <w:divBdr>
        <w:top w:val="none" w:sz="0" w:space="0" w:color="auto"/>
        <w:left w:val="none" w:sz="0" w:space="0" w:color="auto"/>
        <w:bottom w:val="none" w:sz="0" w:space="0" w:color="auto"/>
        <w:right w:val="none" w:sz="0" w:space="0" w:color="auto"/>
      </w:divBdr>
    </w:div>
    <w:div w:id="1281643562">
      <w:bodyDiv w:val="1"/>
      <w:marLeft w:val="0"/>
      <w:marRight w:val="0"/>
      <w:marTop w:val="0"/>
      <w:marBottom w:val="0"/>
      <w:divBdr>
        <w:top w:val="none" w:sz="0" w:space="0" w:color="auto"/>
        <w:left w:val="none" w:sz="0" w:space="0" w:color="auto"/>
        <w:bottom w:val="none" w:sz="0" w:space="0" w:color="auto"/>
        <w:right w:val="none" w:sz="0" w:space="0" w:color="auto"/>
      </w:divBdr>
    </w:div>
    <w:div w:id="1281884411">
      <w:bodyDiv w:val="1"/>
      <w:marLeft w:val="0"/>
      <w:marRight w:val="0"/>
      <w:marTop w:val="0"/>
      <w:marBottom w:val="0"/>
      <w:divBdr>
        <w:top w:val="none" w:sz="0" w:space="0" w:color="auto"/>
        <w:left w:val="none" w:sz="0" w:space="0" w:color="auto"/>
        <w:bottom w:val="none" w:sz="0" w:space="0" w:color="auto"/>
        <w:right w:val="none" w:sz="0" w:space="0" w:color="auto"/>
      </w:divBdr>
    </w:div>
    <w:div w:id="1282033735">
      <w:bodyDiv w:val="1"/>
      <w:marLeft w:val="0"/>
      <w:marRight w:val="0"/>
      <w:marTop w:val="0"/>
      <w:marBottom w:val="0"/>
      <w:divBdr>
        <w:top w:val="none" w:sz="0" w:space="0" w:color="auto"/>
        <w:left w:val="none" w:sz="0" w:space="0" w:color="auto"/>
        <w:bottom w:val="none" w:sz="0" w:space="0" w:color="auto"/>
        <w:right w:val="none" w:sz="0" w:space="0" w:color="auto"/>
      </w:divBdr>
    </w:div>
    <w:div w:id="1282298599">
      <w:bodyDiv w:val="1"/>
      <w:marLeft w:val="0"/>
      <w:marRight w:val="0"/>
      <w:marTop w:val="0"/>
      <w:marBottom w:val="0"/>
      <w:divBdr>
        <w:top w:val="none" w:sz="0" w:space="0" w:color="auto"/>
        <w:left w:val="none" w:sz="0" w:space="0" w:color="auto"/>
        <w:bottom w:val="none" w:sz="0" w:space="0" w:color="auto"/>
        <w:right w:val="none" w:sz="0" w:space="0" w:color="auto"/>
      </w:divBdr>
    </w:div>
    <w:div w:id="1284187728">
      <w:bodyDiv w:val="1"/>
      <w:marLeft w:val="0"/>
      <w:marRight w:val="0"/>
      <w:marTop w:val="0"/>
      <w:marBottom w:val="0"/>
      <w:divBdr>
        <w:top w:val="none" w:sz="0" w:space="0" w:color="auto"/>
        <w:left w:val="none" w:sz="0" w:space="0" w:color="auto"/>
        <w:bottom w:val="none" w:sz="0" w:space="0" w:color="auto"/>
        <w:right w:val="none" w:sz="0" w:space="0" w:color="auto"/>
      </w:divBdr>
    </w:div>
    <w:div w:id="1285572917">
      <w:bodyDiv w:val="1"/>
      <w:marLeft w:val="0"/>
      <w:marRight w:val="0"/>
      <w:marTop w:val="0"/>
      <w:marBottom w:val="0"/>
      <w:divBdr>
        <w:top w:val="none" w:sz="0" w:space="0" w:color="auto"/>
        <w:left w:val="none" w:sz="0" w:space="0" w:color="auto"/>
        <w:bottom w:val="none" w:sz="0" w:space="0" w:color="auto"/>
        <w:right w:val="none" w:sz="0" w:space="0" w:color="auto"/>
      </w:divBdr>
    </w:div>
    <w:div w:id="1289897872">
      <w:bodyDiv w:val="1"/>
      <w:marLeft w:val="0"/>
      <w:marRight w:val="0"/>
      <w:marTop w:val="0"/>
      <w:marBottom w:val="0"/>
      <w:divBdr>
        <w:top w:val="none" w:sz="0" w:space="0" w:color="auto"/>
        <w:left w:val="none" w:sz="0" w:space="0" w:color="auto"/>
        <w:bottom w:val="none" w:sz="0" w:space="0" w:color="auto"/>
        <w:right w:val="none" w:sz="0" w:space="0" w:color="auto"/>
      </w:divBdr>
    </w:div>
    <w:div w:id="1293514228">
      <w:bodyDiv w:val="1"/>
      <w:marLeft w:val="0"/>
      <w:marRight w:val="0"/>
      <w:marTop w:val="0"/>
      <w:marBottom w:val="0"/>
      <w:divBdr>
        <w:top w:val="none" w:sz="0" w:space="0" w:color="auto"/>
        <w:left w:val="none" w:sz="0" w:space="0" w:color="auto"/>
        <w:bottom w:val="none" w:sz="0" w:space="0" w:color="auto"/>
        <w:right w:val="none" w:sz="0" w:space="0" w:color="auto"/>
      </w:divBdr>
    </w:div>
    <w:div w:id="1295063853">
      <w:bodyDiv w:val="1"/>
      <w:marLeft w:val="0"/>
      <w:marRight w:val="0"/>
      <w:marTop w:val="0"/>
      <w:marBottom w:val="0"/>
      <w:divBdr>
        <w:top w:val="none" w:sz="0" w:space="0" w:color="auto"/>
        <w:left w:val="none" w:sz="0" w:space="0" w:color="auto"/>
        <w:bottom w:val="none" w:sz="0" w:space="0" w:color="auto"/>
        <w:right w:val="none" w:sz="0" w:space="0" w:color="auto"/>
      </w:divBdr>
    </w:div>
    <w:div w:id="1296761373">
      <w:bodyDiv w:val="1"/>
      <w:marLeft w:val="0"/>
      <w:marRight w:val="0"/>
      <w:marTop w:val="0"/>
      <w:marBottom w:val="0"/>
      <w:divBdr>
        <w:top w:val="none" w:sz="0" w:space="0" w:color="auto"/>
        <w:left w:val="none" w:sz="0" w:space="0" w:color="auto"/>
        <w:bottom w:val="none" w:sz="0" w:space="0" w:color="auto"/>
        <w:right w:val="none" w:sz="0" w:space="0" w:color="auto"/>
      </w:divBdr>
      <w:divsChild>
        <w:div w:id="773863417">
          <w:marLeft w:val="480"/>
          <w:marRight w:val="0"/>
          <w:marTop w:val="0"/>
          <w:marBottom w:val="0"/>
          <w:divBdr>
            <w:top w:val="none" w:sz="0" w:space="0" w:color="auto"/>
            <w:left w:val="none" w:sz="0" w:space="0" w:color="auto"/>
            <w:bottom w:val="none" w:sz="0" w:space="0" w:color="auto"/>
            <w:right w:val="none" w:sz="0" w:space="0" w:color="auto"/>
          </w:divBdr>
        </w:div>
        <w:div w:id="1455103189">
          <w:marLeft w:val="480"/>
          <w:marRight w:val="0"/>
          <w:marTop w:val="0"/>
          <w:marBottom w:val="0"/>
          <w:divBdr>
            <w:top w:val="none" w:sz="0" w:space="0" w:color="auto"/>
            <w:left w:val="none" w:sz="0" w:space="0" w:color="auto"/>
            <w:bottom w:val="none" w:sz="0" w:space="0" w:color="auto"/>
            <w:right w:val="none" w:sz="0" w:space="0" w:color="auto"/>
          </w:divBdr>
        </w:div>
        <w:div w:id="564681347">
          <w:marLeft w:val="480"/>
          <w:marRight w:val="0"/>
          <w:marTop w:val="0"/>
          <w:marBottom w:val="0"/>
          <w:divBdr>
            <w:top w:val="none" w:sz="0" w:space="0" w:color="auto"/>
            <w:left w:val="none" w:sz="0" w:space="0" w:color="auto"/>
            <w:bottom w:val="none" w:sz="0" w:space="0" w:color="auto"/>
            <w:right w:val="none" w:sz="0" w:space="0" w:color="auto"/>
          </w:divBdr>
        </w:div>
        <w:div w:id="1902905663">
          <w:marLeft w:val="480"/>
          <w:marRight w:val="0"/>
          <w:marTop w:val="0"/>
          <w:marBottom w:val="0"/>
          <w:divBdr>
            <w:top w:val="none" w:sz="0" w:space="0" w:color="auto"/>
            <w:left w:val="none" w:sz="0" w:space="0" w:color="auto"/>
            <w:bottom w:val="none" w:sz="0" w:space="0" w:color="auto"/>
            <w:right w:val="none" w:sz="0" w:space="0" w:color="auto"/>
          </w:divBdr>
        </w:div>
        <w:div w:id="847212247">
          <w:marLeft w:val="480"/>
          <w:marRight w:val="0"/>
          <w:marTop w:val="0"/>
          <w:marBottom w:val="0"/>
          <w:divBdr>
            <w:top w:val="none" w:sz="0" w:space="0" w:color="auto"/>
            <w:left w:val="none" w:sz="0" w:space="0" w:color="auto"/>
            <w:bottom w:val="none" w:sz="0" w:space="0" w:color="auto"/>
            <w:right w:val="none" w:sz="0" w:space="0" w:color="auto"/>
          </w:divBdr>
        </w:div>
        <w:div w:id="1407722802">
          <w:marLeft w:val="480"/>
          <w:marRight w:val="0"/>
          <w:marTop w:val="0"/>
          <w:marBottom w:val="0"/>
          <w:divBdr>
            <w:top w:val="none" w:sz="0" w:space="0" w:color="auto"/>
            <w:left w:val="none" w:sz="0" w:space="0" w:color="auto"/>
            <w:bottom w:val="none" w:sz="0" w:space="0" w:color="auto"/>
            <w:right w:val="none" w:sz="0" w:space="0" w:color="auto"/>
          </w:divBdr>
        </w:div>
        <w:div w:id="2019917568">
          <w:marLeft w:val="480"/>
          <w:marRight w:val="0"/>
          <w:marTop w:val="0"/>
          <w:marBottom w:val="0"/>
          <w:divBdr>
            <w:top w:val="none" w:sz="0" w:space="0" w:color="auto"/>
            <w:left w:val="none" w:sz="0" w:space="0" w:color="auto"/>
            <w:bottom w:val="none" w:sz="0" w:space="0" w:color="auto"/>
            <w:right w:val="none" w:sz="0" w:space="0" w:color="auto"/>
          </w:divBdr>
        </w:div>
        <w:div w:id="1119685570">
          <w:marLeft w:val="480"/>
          <w:marRight w:val="0"/>
          <w:marTop w:val="0"/>
          <w:marBottom w:val="0"/>
          <w:divBdr>
            <w:top w:val="none" w:sz="0" w:space="0" w:color="auto"/>
            <w:left w:val="none" w:sz="0" w:space="0" w:color="auto"/>
            <w:bottom w:val="none" w:sz="0" w:space="0" w:color="auto"/>
            <w:right w:val="none" w:sz="0" w:space="0" w:color="auto"/>
          </w:divBdr>
        </w:div>
        <w:div w:id="616376127">
          <w:marLeft w:val="480"/>
          <w:marRight w:val="0"/>
          <w:marTop w:val="0"/>
          <w:marBottom w:val="0"/>
          <w:divBdr>
            <w:top w:val="none" w:sz="0" w:space="0" w:color="auto"/>
            <w:left w:val="none" w:sz="0" w:space="0" w:color="auto"/>
            <w:bottom w:val="none" w:sz="0" w:space="0" w:color="auto"/>
            <w:right w:val="none" w:sz="0" w:space="0" w:color="auto"/>
          </w:divBdr>
        </w:div>
        <w:div w:id="718171778">
          <w:marLeft w:val="480"/>
          <w:marRight w:val="0"/>
          <w:marTop w:val="0"/>
          <w:marBottom w:val="0"/>
          <w:divBdr>
            <w:top w:val="none" w:sz="0" w:space="0" w:color="auto"/>
            <w:left w:val="none" w:sz="0" w:space="0" w:color="auto"/>
            <w:bottom w:val="none" w:sz="0" w:space="0" w:color="auto"/>
            <w:right w:val="none" w:sz="0" w:space="0" w:color="auto"/>
          </w:divBdr>
        </w:div>
        <w:div w:id="303698255">
          <w:marLeft w:val="480"/>
          <w:marRight w:val="0"/>
          <w:marTop w:val="0"/>
          <w:marBottom w:val="0"/>
          <w:divBdr>
            <w:top w:val="none" w:sz="0" w:space="0" w:color="auto"/>
            <w:left w:val="none" w:sz="0" w:space="0" w:color="auto"/>
            <w:bottom w:val="none" w:sz="0" w:space="0" w:color="auto"/>
            <w:right w:val="none" w:sz="0" w:space="0" w:color="auto"/>
          </w:divBdr>
        </w:div>
        <w:div w:id="176701560">
          <w:marLeft w:val="480"/>
          <w:marRight w:val="0"/>
          <w:marTop w:val="0"/>
          <w:marBottom w:val="0"/>
          <w:divBdr>
            <w:top w:val="none" w:sz="0" w:space="0" w:color="auto"/>
            <w:left w:val="none" w:sz="0" w:space="0" w:color="auto"/>
            <w:bottom w:val="none" w:sz="0" w:space="0" w:color="auto"/>
            <w:right w:val="none" w:sz="0" w:space="0" w:color="auto"/>
          </w:divBdr>
        </w:div>
        <w:div w:id="1427530388">
          <w:marLeft w:val="480"/>
          <w:marRight w:val="0"/>
          <w:marTop w:val="0"/>
          <w:marBottom w:val="0"/>
          <w:divBdr>
            <w:top w:val="none" w:sz="0" w:space="0" w:color="auto"/>
            <w:left w:val="none" w:sz="0" w:space="0" w:color="auto"/>
            <w:bottom w:val="none" w:sz="0" w:space="0" w:color="auto"/>
            <w:right w:val="none" w:sz="0" w:space="0" w:color="auto"/>
          </w:divBdr>
        </w:div>
        <w:div w:id="1636058571">
          <w:marLeft w:val="480"/>
          <w:marRight w:val="0"/>
          <w:marTop w:val="0"/>
          <w:marBottom w:val="0"/>
          <w:divBdr>
            <w:top w:val="none" w:sz="0" w:space="0" w:color="auto"/>
            <w:left w:val="none" w:sz="0" w:space="0" w:color="auto"/>
            <w:bottom w:val="none" w:sz="0" w:space="0" w:color="auto"/>
            <w:right w:val="none" w:sz="0" w:space="0" w:color="auto"/>
          </w:divBdr>
        </w:div>
        <w:div w:id="588539759">
          <w:marLeft w:val="480"/>
          <w:marRight w:val="0"/>
          <w:marTop w:val="0"/>
          <w:marBottom w:val="0"/>
          <w:divBdr>
            <w:top w:val="none" w:sz="0" w:space="0" w:color="auto"/>
            <w:left w:val="none" w:sz="0" w:space="0" w:color="auto"/>
            <w:bottom w:val="none" w:sz="0" w:space="0" w:color="auto"/>
            <w:right w:val="none" w:sz="0" w:space="0" w:color="auto"/>
          </w:divBdr>
        </w:div>
        <w:div w:id="882210995">
          <w:marLeft w:val="480"/>
          <w:marRight w:val="0"/>
          <w:marTop w:val="0"/>
          <w:marBottom w:val="0"/>
          <w:divBdr>
            <w:top w:val="none" w:sz="0" w:space="0" w:color="auto"/>
            <w:left w:val="none" w:sz="0" w:space="0" w:color="auto"/>
            <w:bottom w:val="none" w:sz="0" w:space="0" w:color="auto"/>
            <w:right w:val="none" w:sz="0" w:space="0" w:color="auto"/>
          </w:divBdr>
        </w:div>
        <w:div w:id="304287569">
          <w:marLeft w:val="480"/>
          <w:marRight w:val="0"/>
          <w:marTop w:val="0"/>
          <w:marBottom w:val="0"/>
          <w:divBdr>
            <w:top w:val="none" w:sz="0" w:space="0" w:color="auto"/>
            <w:left w:val="none" w:sz="0" w:space="0" w:color="auto"/>
            <w:bottom w:val="none" w:sz="0" w:space="0" w:color="auto"/>
            <w:right w:val="none" w:sz="0" w:space="0" w:color="auto"/>
          </w:divBdr>
        </w:div>
        <w:div w:id="431704946">
          <w:marLeft w:val="480"/>
          <w:marRight w:val="0"/>
          <w:marTop w:val="0"/>
          <w:marBottom w:val="0"/>
          <w:divBdr>
            <w:top w:val="none" w:sz="0" w:space="0" w:color="auto"/>
            <w:left w:val="none" w:sz="0" w:space="0" w:color="auto"/>
            <w:bottom w:val="none" w:sz="0" w:space="0" w:color="auto"/>
            <w:right w:val="none" w:sz="0" w:space="0" w:color="auto"/>
          </w:divBdr>
        </w:div>
        <w:div w:id="1611205507">
          <w:marLeft w:val="480"/>
          <w:marRight w:val="0"/>
          <w:marTop w:val="0"/>
          <w:marBottom w:val="0"/>
          <w:divBdr>
            <w:top w:val="none" w:sz="0" w:space="0" w:color="auto"/>
            <w:left w:val="none" w:sz="0" w:space="0" w:color="auto"/>
            <w:bottom w:val="none" w:sz="0" w:space="0" w:color="auto"/>
            <w:right w:val="none" w:sz="0" w:space="0" w:color="auto"/>
          </w:divBdr>
        </w:div>
        <w:div w:id="476921933">
          <w:marLeft w:val="480"/>
          <w:marRight w:val="0"/>
          <w:marTop w:val="0"/>
          <w:marBottom w:val="0"/>
          <w:divBdr>
            <w:top w:val="none" w:sz="0" w:space="0" w:color="auto"/>
            <w:left w:val="none" w:sz="0" w:space="0" w:color="auto"/>
            <w:bottom w:val="none" w:sz="0" w:space="0" w:color="auto"/>
            <w:right w:val="none" w:sz="0" w:space="0" w:color="auto"/>
          </w:divBdr>
        </w:div>
        <w:div w:id="1413240015">
          <w:marLeft w:val="480"/>
          <w:marRight w:val="0"/>
          <w:marTop w:val="0"/>
          <w:marBottom w:val="0"/>
          <w:divBdr>
            <w:top w:val="none" w:sz="0" w:space="0" w:color="auto"/>
            <w:left w:val="none" w:sz="0" w:space="0" w:color="auto"/>
            <w:bottom w:val="none" w:sz="0" w:space="0" w:color="auto"/>
            <w:right w:val="none" w:sz="0" w:space="0" w:color="auto"/>
          </w:divBdr>
        </w:div>
        <w:div w:id="799953932">
          <w:marLeft w:val="480"/>
          <w:marRight w:val="0"/>
          <w:marTop w:val="0"/>
          <w:marBottom w:val="0"/>
          <w:divBdr>
            <w:top w:val="none" w:sz="0" w:space="0" w:color="auto"/>
            <w:left w:val="none" w:sz="0" w:space="0" w:color="auto"/>
            <w:bottom w:val="none" w:sz="0" w:space="0" w:color="auto"/>
            <w:right w:val="none" w:sz="0" w:space="0" w:color="auto"/>
          </w:divBdr>
        </w:div>
        <w:div w:id="1885873893">
          <w:marLeft w:val="480"/>
          <w:marRight w:val="0"/>
          <w:marTop w:val="0"/>
          <w:marBottom w:val="0"/>
          <w:divBdr>
            <w:top w:val="none" w:sz="0" w:space="0" w:color="auto"/>
            <w:left w:val="none" w:sz="0" w:space="0" w:color="auto"/>
            <w:bottom w:val="none" w:sz="0" w:space="0" w:color="auto"/>
            <w:right w:val="none" w:sz="0" w:space="0" w:color="auto"/>
          </w:divBdr>
        </w:div>
        <w:div w:id="1162237481">
          <w:marLeft w:val="480"/>
          <w:marRight w:val="0"/>
          <w:marTop w:val="0"/>
          <w:marBottom w:val="0"/>
          <w:divBdr>
            <w:top w:val="none" w:sz="0" w:space="0" w:color="auto"/>
            <w:left w:val="none" w:sz="0" w:space="0" w:color="auto"/>
            <w:bottom w:val="none" w:sz="0" w:space="0" w:color="auto"/>
            <w:right w:val="none" w:sz="0" w:space="0" w:color="auto"/>
          </w:divBdr>
        </w:div>
        <w:div w:id="217712110">
          <w:marLeft w:val="480"/>
          <w:marRight w:val="0"/>
          <w:marTop w:val="0"/>
          <w:marBottom w:val="0"/>
          <w:divBdr>
            <w:top w:val="none" w:sz="0" w:space="0" w:color="auto"/>
            <w:left w:val="none" w:sz="0" w:space="0" w:color="auto"/>
            <w:bottom w:val="none" w:sz="0" w:space="0" w:color="auto"/>
            <w:right w:val="none" w:sz="0" w:space="0" w:color="auto"/>
          </w:divBdr>
        </w:div>
        <w:div w:id="152793853">
          <w:marLeft w:val="480"/>
          <w:marRight w:val="0"/>
          <w:marTop w:val="0"/>
          <w:marBottom w:val="0"/>
          <w:divBdr>
            <w:top w:val="none" w:sz="0" w:space="0" w:color="auto"/>
            <w:left w:val="none" w:sz="0" w:space="0" w:color="auto"/>
            <w:bottom w:val="none" w:sz="0" w:space="0" w:color="auto"/>
            <w:right w:val="none" w:sz="0" w:space="0" w:color="auto"/>
          </w:divBdr>
        </w:div>
        <w:div w:id="2124180383">
          <w:marLeft w:val="480"/>
          <w:marRight w:val="0"/>
          <w:marTop w:val="0"/>
          <w:marBottom w:val="0"/>
          <w:divBdr>
            <w:top w:val="none" w:sz="0" w:space="0" w:color="auto"/>
            <w:left w:val="none" w:sz="0" w:space="0" w:color="auto"/>
            <w:bottom w:val="none" w:sz="0" w:space="0" w:color="auto"/>
            <w:right w:val="none" w:sz="0" w:space="0" w:color="auto"/>
          </w:divBdr>
        </w:div>
        <w:div w:id="1717851295">
          <w:marLeft w:val="480"/>
          <w:marRight w:val="0"/>
          <w:marTop w:val="0"/>
          <w:marBottom w:val="0"/>
          <w:divBdr>
            <w:top w:val="none" w:sz="0" w:space="0" w:color="auto"/>
            <w:left w:val="none" w:sz="0" w:space="0" w:color="auto"/>
            <w:bottom w:val="none" w:sz="0" w:space="0" w:color="auto"/>
            <w:right w:val="none" w:sz="0" w:space="0" w:color="auto"/>
          </w:divBdr>
        </w:div>
        <w:div w:id="1781490715">
          <w:marLeft w:val="480"/>
          <w:marRight w:val="0"/>
          <w:marTop w:val="0"/>
          <w:marBottom w:val="0"/>
          <w:divBdr>
            <w:top w:val="none" w:sz="0" w:space="0" w:color="auto"/>
            <w:left w:val="none" w:sz="0" w:space="0" w:color="auto"/>
            <w:bottom w:val="none" w:sz="0" w:space="0" w:color="auto"/>
            <w:right w:val="none" w:sz="0" w:space="0" w:color="auto"/>
          </w:divBdr>
        </w:div>
        <w:div w:id="2069527986">
          <w:marLeft w:val="480"/>
          <w:marRight w:val="0"/>
          <w:marTop w:val="0"/>
          <w:marBottom w:val="0"/>
          <w:divBdr>
            <w:top w:val="none" w:sz="0" w:space="0" w:color="auto"/>
            <w:left w:val="none" w:sz="0" w:space="0" w:color="auto"/>
            <w:bottom w:val="none" w:sz="0" w:space="0" w:color="auto"/>
            <w:right w:val="none" w:sz="0" w:space="0" w:color="auto"/>
          </w:divBdr>
        </w:div>
        <w:div w:id="1325815719">
          <w:marLeft w:val="480"/>
          <w:marRight w:val="0"/>
          <w:marTop w:val="0"/>
          <w:marBottom w:val="0"/>
          <w:divBdr>
            <w:top w:val="none" w:sz="0" w:space="0" w:color="auto"/>
            <w:left w:val="none" w:sz="0" w:space="0" w:color="auto"/>
            <w:bottom w:val="none" w:sz="0" w:space="0" w:color="auto"/>
            <w:right w:val="none" w:sz="0" w:space="0" w:color="auto"/>
          </w:divBdr>
        </w:div>
        <w:div w:id="871844224">
          <w:marLeft w:val="480"/>
          <w:marRight w:val="0"/>
          <w:marTop w:val="0"/>
          <w:marBottom w:val="0"/>
          <w:divBdr>
            <w:top w:val="none" w:sz="0" w:space="0" w:color="auto"/>
            <w:left w:val="none" w:sz="0" w:space="0" w:color="auto"/>
            <w:bottom w:val="none" w:sz="0" w:space="0" w:color="auto"/>
            <w:right w:val="none" w:sz="0" w:space="0" w:color="auto"/>
          </w:divBdr>
        </w:div>
        <w:div w:id="1212501913">
          <w:marLeft w:val="480"/>
          <w:marRight w:val="0"/>
          <w:marTop w:val="0"/>
          <w:marBottom w:val="0"/>
          <w:divBdr>
            <w:top w:val="none" w:sz="0" w:space="0" w:color="auto"/>
            <w:left w:val="none" w:sz="0" w:space="0" w:color="auto"/>
            <w:bottom w:val="none" w:sz="0" w:space="0" w:color="auto"/>
            <w:right w:val="none" w:sz="0" w:space="0" w:color="auto"/>
          </w:divBdr>
        </w:div>
        <w:div w:id="1149831938">
          <w:marLeft w:val="480"/>
          <w:marRight w:val="0"/>
          <w:marTop w:val="0"/>
          <w:marBottom w:val="0"/>
          <w:divBdr>
            <w:top w:val="none" w:sz="0" w:space="0" w:color="auto"/>
            <w:left w:val="none" w:sz="0" w:space="0" w:color="auto"/>
            <w:bottom w:val="none" w:sz="0" w:space="0" w:color="auto"/>
            <w:right w:val="none" w:sz="0" w:space="0" w:color="auto"/>
          </w:divBdr>
        </w:div>
        <w:div w:id="1142892811">
          <w:marLeft w:val="480"/>
          <w:marRight w:val="0"/>
          <w:marTop w:val="0"/>
          <w:marBottom w:val="0"/>
          <w:divBdr>
            <w:top w:val="none" w:sz="0" w:space="0" w:color="auto"/>
            <w:left w:val="none" w:sz="0" w:space="0" w:color="auto"/>
            <w:bottom w:val="none" w:sz="0" w:space="0" w:color="auto"/>
            <w:right w:val="none" w:sz="0" w:space="0" w:color="auto"/>
          </w:divBdr>
        </w:div>
        <w:div w:id="249584914">
          <w:marLeft w:val="480"/>
          <w:marRight w:val="0"/>
          <w:marTop w:val="0"/>
          <w:marBottom w:val="0"/>
          <w:divBdr>
            <w:top w:val="none" w:sz="0" w:space="0" w:color="auto"/>
            <w:left w:val="none" w:sz="0" w:space="0" w:color="auto"/>
            <w:bottom w:val="none" w:sz="0" w:space="0" w:color="auto"/>
            <w:right w:val="none" w:sz="0" w:space="0" w:color="auto"/>
          </w:divBdr>
        </w:div>
        <w:div w:id="310332217">
          <w:marLeft w:val="480"/>
          <w:marRight w:val="0"/>
          <w:marTop w:val="0"/>
          <w:marBottom w:val="0"/>
          <w:divBdr>
            <w:top w:val="none" w:sz="0" w:space="0" w:color="auto"/>
            <w:left w:val="none" w:sz="0" w:space="0" w:color="auto"/>
            <w:bottom w:val="none" w:sz="0" w:space="0" w:color="auto"/>
            <w:right w:val="none" w:sz="0" w:space="0" w:color="auto"/>
          </w:divBdr>
        </w:div>
        <w:div w:id="1516387329">
          <w:marLeft w:val="480"/>
          <w:marRight w:val="0"/>
          <w:marTop w:val="0"/>
          <w:marBottom w:val="0"/>
          <w:divBdr>
            <w:top w:val="none" w:sz="0" w:space="0" w:color="auto"/>
            <w:left w:val="none" w:sz="0" w:space="0" w:color="auto"/>
            <w:bottom w:val="none" w:sz="0" w:space="0" w:color="auto"/>
            <w:right w:val="none" w:sz="0" w:space="0" w:color="auto"/>
          </w:divBdr>
        </w:div>
        <w:div w:id="470362729">
          <w:marLeft w:val="480"/>
          <w:marRight w:val="0"/>
          <w:marTop w:val="0"/>
          <w:marBottom w:val="0"/>
          <w:divBdr>
            <w:top w:val="none" w:sz="0" w:space="0" w:color="auto"/>
            <w:left w:val="none" w:sz="0" w:space="0" w:color="auto"/>
            <w:bottom w:val="none" w:sz="0" w:space="0" w:color="auto"/>
            <w:right w:val="none" w:sz="0" w:space="0" w:color="auto"/>
          </w:divBdr>
        </w:div>
        <w:div w:id="347682724">
          <w:marLeft w:val="480"/>
          <w:marRight w:val="0"/>
          <w:marTop w:val="0"/>
          <w:marBottom w:val="0"/>
          <w:divBdr>
            <w:top w:val="none" w:sz="0" w:space="0" w:color="auto"/>
            <w:left w:val="none" w:sz="0" w:space="0" w:color="auto"/>
            <w:bottom w:val="none" w:sz="0" w:space="0" w:color="auto"/>
            <w:right w:val="none" w:sz="0" w:space="0" w:color="auto"/>
          </w:divBdr>
        </w:div>
        <w:div w:id="917523938">
          <w:marLeft w:val="480"/>
          <w:marRight w:val="0"/>
          <w:marTop w:val="0"/>
          <w:marBottom w:val="0"/>
          <w:divBdr>
            <w:top w:val="none" w:sz="0" w:space="0" w:color="auto"/>
            <w:left w:val="none" w:sz="0" w:space="0" w:color="auto"/>
            <w:bottom w:val="none" w:sz="0" w:space="0" w:color="auto"/>
            <w:right w:val="none" w:sz="0" w:space="0" w:color="auto"/>
          </w:divBdr>
        </w:div>
        <w:div w:id="1822304084">
          <w:marLeft w:val="480"/>
          <w:marRight w:val="0"/>
          <w:marTop w:val="0"/>
          <w:marBottom w:val="0"/>
          <w:divBdr>
            <w:top w:val="none" w:sz="0" w:space="0" w:color="auto"/>
            <w:left w:val="none" w:sz="0" w:space="0" w:color="auto"/>
            <w:bottom w:val="none" w:sz="0" w:space="0" w:color="auto"/>
            <w:right w:val="none" w:sz="0" w:space="0" w:color="auto"/>
          </w:divBdr>
        </w:div>
        <w:div w:id="1652058036">
          <w:marLeft w:val="480"/>
          <w:marRight w:val="0"/>
          <w:marTop w:val="0"/>
          <w:marBottom w:val="0"/>
          <w:divBdr>
            <w:top w:val="none" w:sz="0" w:space="0" w:color="auto"/>
            <w:left w:val="none" w:sz="0" w:space="0" w:color="auto"/>
            <w:bottom w:val="none" w:sz="0" w:space="0" w:color="auto"/>
            <w:right w:val="none" w:sz="0" w:space="0" w:color="auto"/>
          </w:divBdr>
        </w:div>
        <w:div w:id="91584251">
          <w:marLeft w:val="480"/>
          <w:marRight w:val="0"/>
          <w:marTop w:val="0"/>
          <w:marBottom w:val="0"/>
          <w:divBdr>
            <w:top w:val="none" w:sz="0" w:space="0" w:color="auto"/>
            <w:left w:val="none" w:sz="0" w:space="0" w:color="auto"/>
            <w:bottom w:val="none" w:sz="0" w:space="0" w:color="auto"/>
            <w:right w:val="none" w:sz="0" w:space="0" w:color="auto"/>
          </w:divBdr>
        </w:div>
        <w:div w:id="515194392">
          <w:marLeft w:val="480"/>
          <w:marRight w:val="0"/>
          <w:marTop w:val="0"/>
          <w:marBottom w:val="0"/>
          <w:divBdr>
            <w:top w:val="none" w:sz="0" w:space="0" w:color="auto"/>
            <w:left w:val="none" w:sz="0" w:space="0" w:color="auto"/>
            <w:bottom w:val="none" w:sz="0" w:space="0" w:color="auto"/>
            <w:right w:val="none" w:sz="0" w:space="0" w:color="auto"/>
          </w:divBdr>
        </w:div>
        <w:div w:id="1040977977">
          <w:marLeft w:val="480"/>
          <w:marRight w:val="0"/>
          <w:marTop w:val="0"/>
          <w:marBottom w:val="0"/>
          <w:divBdr>
            <w:top w:val="none" w:sz="0" w:space="0" w:color="auto"/>
            <w:left w:val="none" w:sz="0" w:space="0" w:color="auto"/>
            <w:bottom w:val="none" w:sz="0" w:space="0" w:color="auto"/>
            <w:right w:val="none" w:sz="0" w:space="0" w:color="auto"/>
          </w:divBdr>
        </w:div>
        <w:div w:id="1786853099">
          <w:marLeft w:val="480"/>
          <w:marRight w:val="0"/>
          <w:marTop w:val="0"/>
          <w:marBottom w:val="0"/>
          <w:divBdr>
            <w:top w:val="none" w:sz="0" w:space="0" w:color="auto"/>
            <w:left w:val="none" w:sz="0" w:space="0" w:color="auto"/>
            <w:bottom w:val="none" w:sz="0" w:space="0" w:color="auto"/>
            <w:right w:val="none" w:sz="0" w:space="0" w:color="auto"/>
          </w:divBdr>
        </w:div>
        <w:div w:id="1548760672">
          <w:marLeft w:val="480"/>
          <w:marRight w:val="0"/>
          <w:marTop w:val="0"/>
          <w:marBottom w:val="0"/>
          <w:divBdr>
            <w:top w:val="none" w:sz="0" w:space="0" w:color="auto"/>
            <w:left w:val="none" w:sz="0" w:space="0" w:color="auto"/>
            <w:bottom w:val="none" w:sz="0" w:space="0" w:color="auto"/>
            <w:right w:val="none" w:sz="0" w:space="0" w:color="auto"/>
          </w:divBdr>
        </w:div>
        <w:div w:id="404453352">
          <w:marLeft w:val="480"/>
          <w:marRight w:val="0"/>
          <w:marTop w:val="0"/>
          <w:marBottom w:val="0"/>
          <w:divBdr>
            <w:top w:val="none" w:sz="0" w:space="0" w:color="auto"/>
            <w:left w:val="none" w:sz="0" w:space="0" w:color="auto"/>
            <w:bottom w:val="none" w:sz="0" w:space="0" w:color="auto"/>
            <w:right w:val="none" w:sz="0" w:space="0" w:color="auto"/>
          </w:divBdr>
        </w:div>
        <w:div w:id="689142331">
          <w:marLeft w:val="480"/>
          <w:marRight w:val="0"/>
          <w:marTop w:val="0"/>
          <w:marBottom w:val="0"/>
          <w:divBdr>
            <w:top w:val="none" w:sz="0" w:space="0" w:color="auto"/>
            <w:left w:val="none" w:sz="0" w:space="0" w:color="auto"/>
            <w:bottom w:val="none" w:sz="0" w:space="0" w:color="auto"/>
            <w:right w:val="none" w:sz="0" w:space="0" w:color="auto"/>
          </w:divBdr>
        </w:div>
        <w:div w:id="1686244734">
          <w:marLeft w:val="480"/>
          <w:marRight w:val="0"/>
          <w:marTop w:val="0"/>
          <w:marBottom w:val="0"/>
          <w:divBdr>
            <w:top w:val="none" w:sz="0" w:space="0" w:color="auto"/>
            <w:left w:val="none" w:sz="0" w:space="0" w:color="auto"/>
            <w:bottom w:val="none" w:sz="0" w:space="0" w:color="auto"/>
            <w:right w:val="none" w:sz="0" w:space="0" w:color="auto"/>
          </w:divBdr>
        </w:div>
        <w:div w:id="545529541">
          <w:marLeft w:val="480"/>
          <w:marRight w:val="0"/>
          <w:marTop w:val="0"/>
          <w:marBottom w:val="0"/>
          <w:divBdr>
            <w:top w:val="none" w:sz="0" w:space="0" w:color="auto"/>
            <w:left w:val="none" w:sz="0" w:space="0" w:color="auto"/>
            <w:bottom w:val="none" w:sz="0" w:space="0" w:color="auto"/>
            <w:right w:val="none" w:sz="0" w:space="0" w:color="auto"/>
          </w:divBdr>
        </w:div>
        <w:div w:id="1803572965">
          <w:marLeft w:val="480"/>
          <w:marRight w:val="0"/>
          <w:marTop w:val="0"/>
          <w:marBottom w:val="0"/>
          <w:divBdr>
            <w:top w:val="none" w:sz="0" w:space="0" w:color="auto"/>
            <w:left w:val="none" w:sz="0" w:space="0" w:color="auto"/>
            <w:bottom w:val="none" w:sz="0" w:space="0" w:color="auto"/>
            <w:right w:val="none" w:sz="0" w:space="0" w:color="auto"/>
          </w:divBdr>
        </w:div>
        <w:div w:id="555773889">
          <w:marLeft w:val="480"/>
          <w:marRight w:val="0"/>
          <w:marTop w:val="0"/>
          <w:marBottom w:val="0"/>
          <w:divBdr>
            <w:top w:val="none" w:sz="0" w:space="0" w:color="auto"/>
            <w:left w:val="none" w:sz="0" w:space="0" w:color="auto"/>
            <w:bottom w:val="none" w:sz="0" w:space="0" w:color="auto"/>
            <w:right w:val="none" w:sz="0" w:space="0" w:color="auto"/>
          </w:divBdr>
        </w:div>
        <w:div w:id="1861776797">
          <w:marLeft w:val="480"/>
          <w:marRight w:val="0"/>
          <w:marTop w:val="0"/>
          <w:marBottom w:val="0"/>
          <w:divBdr>
            <w:top w:val="none" w:sz="0" w:space="0" w:color="auto"/>
            <w:left w:val="none" w:sz="0" w:space="0" w:color="auto"/>
            <w:bottom w:val="none" w:sz="0" w:space="0" w:color="auto"/>
            <w:right w:val="none" w:sz="0" w:space="0" w:color="auto"/>
          </w:divBdr>
        </w:div>
        <w:div w:id="641083385">
          <w:marLeft w:val="480"/>
          <w:marRight w:val="0"/>
          <w:marTop w:val="0"/>
          <w:marBottom w:val="0"/>
          <w:divBdr>
            <w:top w:val="none" w:sz="0" w:space="0" w:color="auto"/>
            <w:left w:val="none" w:sz="0" w:space="0" w:color="auto"/>
            <w:bottom w:val="none" w:sz="0" w:space="0" w:color="auto"/>
            <w:right w:val="none" w:sz="0" w:space="0" w:color="auto"/>
          </w:divBdr>
        </w:div>
        <w:div w:id="248001313">
          <w:marLeft w:val="480"/>
          <w:marRight w:val="0"/>
          <w:marTop w:val="0"/>
          <w:marBottom w:val="0"/>
          <w:divBdr>
            <w:top w:val="none" w:sz="0" w:space="0" w:color="auto"/>
            <w:left w:val="none" w:sz="0" w:space="0" w:color="auto"/>
            <w:bottom w:val="none" w:sz="0" w:space="0" w:color="auto"/>
            <w:right w:val="none" w:sz="0" w:space="0" w:color="auto"/>
          </w:divBdr>
        </w:div>
        <w:div w:id="389422039">
          <w:marLeft w:val="480"/>
          <w:marRight w:val="0"/>
          <w:marTop w:val="0"/>
          <w:marBottom w:val="0"/>
          <w:divBdr>
            <w:top w:val="none" w:sz="0" w:space="0" w:color="auto"/>
            <w:left w:val="none" w:sz="0" w:space="0" w:color="auto"/>
            <w:bottom w:val="none" w:sz="0" w:space="0" w:color="auto"/>
            <w:right w:val="none" w:sz="0" w:space="0" w:color="auto"/>
          </w:divBdr>
        </w:div>
        <w:div w:id="632256314">
          <w:marLeft w:val="480"/>
          <w:marRight w:val="0"/>
          <w:marTop w:val="0"/>
          <w:marBottom w:val="0"/>
          <w:divBdr>
            <w:top w:val="none" w:sz="0" w:space="0" w:color="auto"/>
            <w:left w:val="none" w:sz="0" w:space="0" w:color="auto"/>
            <w:bottom w:val="none" w:sz="0" w:space="0" w:color="auto"/>
            <w:right w:val="none" w:sz="0" w:space="0" w:color="auto"/>
          </w:divBdr>
        </w:div>
        <w:div w:id="236870274">
          <w:marLeft w:val="480"/>
          <w:marRight w:val="0"/>
          <w:marTop w:val="0"/>
          <w:marBottom w:val="0"/>
          <w:divBdr>
            <w:top w:val="none" w:sz="0" w:space="0" w:color="auto"/>
            <w:left w:val="none" w:sz="0" w:space="0" w:color="auto"/>
            <w:bottom w:val="none" w:sz="0" w:space="0" w:color="auto"/>
            <w:right w:val="none" w:sz="0" w:space="0" w:color="auto"/>
          </w:divBdr>
        </w:div>
        <w:div w:id="1576890659">
          <w:marLeft w:val="480"/>
          <w:marRight w:val="0"/>
          <w:marTop w:val="0"/>
          <w:marBottom w:val="0"/>
          <w:divBdr>
            <w:top w:val="none" w:sz="0" w:space="0" w:color="auto"/>
            <w:left w:val="none" w:sz="0" w:space="0" w:color="auto"/>
            <w:bottom w:val="none" w:sz="0" w:space="0" w:color="auto"/>
            <w:right w:val="none" w:sz="0" w:space="0" w:color="auto"/>
          </w:divBdr>
        </w:div>
        <w:div w:id="2092970318">
          <w:marLeft w:val="480"/>
          <w:marRight w:val="0"/>
          <w:marTop w:val="0"/>
          <w:marBottom w:val="0"/>
          <w:divBdr>
            <w:top w:val="none" w:sz="0" w:space="0" w:color="auto"/>
            <w:left w:val="none" w:sz="0" w:space="0" w:color="auto"/>
            <w:bottom w:val="none" w:sz="0" w:space="0" w:color="auto"/>
            <w:right w:val="none" w:sz="0" w:space="0" w:color="auto"/>
          </w:divBdr>
        </w:div>
        <w:div w:id="411851371">
          <w:marLeft w:val="480"/>
          <w:marRight w:val="0"/>
          <w:marTop w:val="0"/>
          <w:marBottom w:val="0"/>
          <w:divBdr>
            <w:top w:val="none" w:sz="0" w:space="0" w:color="auto"/>
            <w:left w:val="none" w:sz="0" w:space="0" w:color="auto"/>
            <w:bottom w:val="none" w:sz="0" w:space="0" w:color="auto"/>
            <w:right w:val="none" w:sz="0" w:space="0" w:color="auto"/>
          </w:divBdr>
        </w:div>
        <w:div w:id="1624458315">
          <w:marLeft w:val="480"/>
          <w:marRight w:val="0"/>
          <w:marTop w:val="0"/>
          <w:marBottom w:val="0"/>
          <w:divBdr>
            <w:top w:val="none" w:sz="0" w:space="0" w:color="auto"/>
            <w:left w:val="none" w:sz="0" w:space="0" w:color="auto"/>
            <w:bottom w:val="none" w:sz="0" w:space="0" w:color="auto"/>
            <w:right w:val="none" w:sz="0" w:space="0" w:color="auto"/>
          </w:divBdr>
        </w:div>
        <w:div w:id="330960087">
          <w:marLeft w:val="480"/>
          <w:marRight w:val="0"/>
          <w:marTop w:val="0"/>
          <w:marBottom w:val="0"/>
          <w:divBdr>
            <w:top w:val="none" w:sz="0" w:space="0" w:color="auto"/>
            <w:left w:val="none" w:sz="0" w:space="0" w:color="auto"/>
            <w:bottom w:val="none" w:sz="0" w:space="0" w:color="auto"/>
            <w:right w:val="none" w:sz="0" w:space="0" w:color="auto"/>
          </w:divBdr>
        </w:div>
        <w:div w:id="357003939">
          <w:marLeft w:val="480"/>
          <w:marRight w:val="0"/>
          <w:marTop w:val="0"/>
          <w:marBottom w:val="0"/>
          <w:divBdr>
            <w:top w:val="none" w:sz="0" w:space="0" w:color="auto"/>
            <w:left w:val="none" w:sz="0" w:space="0" w:color="auto"/>
            <w:bottom w:val="none" w:sz="0" w:space="0" w:color="auto"/>
            <w:right w:val="none" w:sz="0" w:space="0" w:color="auto"/>
          </w:divBdr>
        </w:div>
        <w:div w:id="243416495">
          <w:marLeft w:val="480"/>
          <w:marRight w:val="0"/>
          <w:marTop w:val="0"/>
          <w:marBottom w:val="0"/>
          <w:divBdr>
            <w:top w:val="none" w:sz="0" w:space="0" w:color="auto"/>
            <w:left w:val="none" w:sz="0" w:space="0" w:color="auto"/>
            <w:bottom w:val="none" w:sz="0" w:space="0" w:color="auto"/>
            <w:right w:val="none" w:sz="0" w:space="0" w:color="auto"/>
          </w:divBdr>
        </w:div>
        <w:div w:id="2032874164">
          <w:marLeft w:val="480"/>
          <w:marRight w:val="0"/>
          <w:marTop w:val="0"/>
          <w:marBottom w:val="0"/>
          <w:divBdr>
            <w:top w:val="none" w:sz="0" w:space="0" w:color="auto"/>
            <w:left w:val="none" w:sz="0" w:space="0" w:color="auto"/>
            <w:bottom w:val="none" w:sz="0" w:space="0" w:color="auto"/>
            <w:right w:val="none" w:sz="0" w:space="0" w:color="auto"/>
          </w:divBdr>
        </w:div>
        <w:div w:id="978388089">
          <w:marLeft w:val="480"/>
          <w:marRight w:val="0"/>
          <w:marTop w:val="0"/>
          <w:marBottom w:val="0"/>
          <w:divBdr>
            <w:top w:val="none" w:sz="0" w:space="0" w:color="auto"/>
            <w:left w:val="none" w:sz="0" w:space="0" w:color="auto"/>
            <w:bottom w:val="none" w:sz="0" w:space="0" w:color="auto"/>
            <w:right w:val="none" w:sz="0" w:space="0" w:color="auto"/>
          </w:divBdr>
        </w:div>
        <w:div w:id="612787049">
          <w:marLeft w:val="480"/>
          <w:marRight w:val="0"/>
          <w:marTop w:val="0"/>
          <w:marBottom w:val="0"/>
          <w:divBdr>
            <w:top w:val="none" w:sz="0" w:space="0" w:color="auto"/>
            <w:left w:val="none" w:sz="0" w:space="0" w:color="auto"/>
            <w:bottom w:val="none" w:sz="0" w:space="0" w:color="auto"/>
            <w:right w:val="none" w:sz="0" w:space="0" w:color="auto"/>
          </w:divBdr>
        </w:div>
        <w:div w:id="1291666988">
          <w:marLeft w:val="480"/>
          <w:marRight w:val="0"/>
          <w:marTop w:val="0"/>
          <w:marBottom w:val="0"/>
          <w:divBdr>
            <w:top w:val="none" w:sz="0" w:space="0" w:color="auto"/>
            <w:left w:val="none" w:sz="0" w:space="0" w:color="auto"/>
            <w:bottom w:val="none" w:sz="0" w:space="0" w:color="auto"/>
            <w:right w:val="none" w:sz="0" w:space="0" w:color="auto"/>
          </w:divBdr>
        </w:div>
        <w:div w:id="889652642">
          <w:marLeft w:val="480"/>
          <w:marRight w:val="0"/>
          <w:marTop w:val="0"/>
          <w:marBottom w:val="0"/>
          <w:divBdr>
            <w:top w:val="none" w:sz="0" w:space="0" w:color="auto"/>
            <w:left w:val="none" w:sz="0" w:space="0" w:color="auto"/>
            <w:bottom w:val="none" w:sz="0" w:space="0" w:color="auto"/>
            <w:right w:val="none" w:sz="0" w:space="0" w:color="auto"/>
          </w:divBdr>
        </w:div>
        <w:div w:id="636687340">
          <w:marLeft w:val="480"/>
          <w:marRight w:val="0"/>
          <w:marTop w:val="0"/>
          <w:marBottom w:val="0"/>
          <w:divBdr>
            <w:top w:val="none" w:sz="0" w:space="0" w:color="auto"/>
            <w:left w:val="none" w:sz="0" w:space="0" w:color="auto"/>
            <w:bottom w:val="none" w:sz="0" w:space="0" w:color="auto"/>
            <w:right w:val="none" w:sz="0" w:space="0" w:color="auto"/>
          </w:divBdr>
        </w:div>
        <w:div w:id="1241403412">
          <w:marLeft w:val="480"/>
          <w:marRight w:val="0"/>
          <w:marTop w:val="0"/>
          <w:marBottom w:val="0"/>
          <w:divBdr>
            <w:top w:val="none" w:sz="0" w:space="0" w:color="auto"/>
            <w:left w:val="none" w:sz="0" w:space="0" w:color="auto"/>
            <w:bottom w:val="none" w:sz="0" w:space="0" w:color="auto"/>
            <w:right w:val="none" w:sz="0" w:space="0" w:color="auto"/>
          </w:divBdr>
        </w:div>
        <w:div w:id="717707669">
          <w:marLeft w:val="480"/>
          <w:marRight w:val="0"/>
          <w:marTop w:val="0"/>
          <w:marBottom w:val="0"/>
          <w:divBdr>
            <w:top w:val="none" w:sz="0" w:space="0" w:color="auto"/>
            <w:left w:val="none" w:sz="0" w:space="0" w:color="auto"/>
            <w:bottom w:val="none" w:sz="0" w:space="0" w:color="auto"/>
            <w:right w:val="none" w:sz="0" w:space="0" w:color="auto"/>
          </w:divBdr>
        </w:div>
        <w:div w:id="1333752971">
          <w:marLeft w:val="480"/>
          <w:marRight w:val="0"/>
          <w:marTop w:val="0"/>
          <w:marBottom w:val="0"/>
          <w:divBdr>
            <w:top w:val="none" w:sz="0" w:space="0" w:color="auto"/>
            <w:left w:val="none" w:sz="0" w:space="0" w:color="auto"/>
            <w:bottom w:val="none" w:sz="0" w:space="0" w:color="auto"/>
            <w:right w:val="none" w:sz="0" w:space="0" w:color="auto"/>
          </w:divBdr>
        </w:div>
        <w:div w:id="352845993">
          <w:marLeft w:val="480"/>
          <w:marRight w:val="0"/>
          <w:marTop w:val="0"/>
          <w:marBottom w:val="0"/>
          <w:divBdr>
            <w:top w:val="none" w:sz="0" w:space="0" w:color="auto"/>
            <w:left w:val="none" w:sz="0" w:space="0" w:color="auto"/>
            <w:bottom w:val="none" w:sz="0" w:space="0" w:color="auto"/>
            <w:right w:val="none" w:sz="0" w:space="0" w:color="auto"/>
          </w:divBdr>
        </w:div>
        <w:div w:id="1652442231">
          <w:marLeft w:val="480"/>
          <w:marRight w:val="0"/>
          <w:marTop w:val="0"/>
          <w:marBottom w:val="0"/>
          <w:divBdr>
            <w:top w:val="none" w:sz="0" w:space="0" w:color="auto"/>
            <w:left w:val="none" w:sz="0" w:space="0" w:color="auto"/>
            <w:bottom w:val="none" w:sz="0" w:space="0" w:color="auto"/>
            <w:right w:val="none" w:sz="0" w:space="0" w:color="auto"/>
          </w:divBdr>
        </w:div>
        <w:div w:id="595871387">
          <w:marLeft w:val="480"/>
          <w:marRight w:val="0"/>
          <w:marTop w:val="0"/>
          <w:marBottom w:val="0"/>
          <w:divBdr>
            <w:top w:val="none" w:sz="0" w:space="0" w:color="auto"/>
            <w:left w:val="none" w:sz="0" w:space="0" w:color="auto"/>
            <w:bottom w:val="none" w:sz="0" w:space="0" w:color="auto"/>
            <w:right w:val="none" w:sz="0" w:space="0" w:color="auto"/>
          </w:divBdr>
        </w:div>
        <w:div w:id="1388266240">
          <w:marLeft w:val="480"/>
          <w:marRight w:val="0"/>
          <w:marTop w:val="0"/>
          <w:marBottom w:val="0"/>
          <w:divBdr>
            <w:top w:val="none" w:sz="0" w:space="0" w:color="auto"/>
            <w:left w:val="none" w:sz="0" w:space="0" w:color="auto"/>
            <w:bottom w:val="none" w:sz="0" w:space="0" w:color="auto"/>
            <w:right w:val="none" w:sz="0" w:space="0" w:color="auto"/>
          </w:divBdr>
        </w:div>
        <w:div w:id="2140295791">
          <w:marLeft w:val="480"/>
          <w:marRight w:val="0"/>
          <w:marTop w:val="0"/>
          <w:marBottom w:val="0"/>
          <w:divBdr>
            <w:top w:val="none" w:sz="0" w:space="0" w:color="auto"/>
            <w:left w:val="none" w:sz="0" w:space="0" w:color="auto"/>
            <w:bottom w:val="none" w:sz="0" w:space="0" w:color="auto"/>
            <w:right w:val="none" w:sz="0" w:space="0" w:color="auto"/>
          </w:divBdr>
        </w:div>
        <w:div w:id="531113097">
          <w:marLeft w:val="480"/>
          <w:marRight w:val="0"/>
          <w:marTop w:val="0"/>
          <w:marBottom w:val="0"/>
          <w:divBdr>
            <w:top w:val="none" w:sz="0" w:space="0" w:color="auto"/>
            <w:left w:val="none" w:sz="0" w:space="0" w:color="auto"/>
            <w:bottom w:val="none" w:sz="0" w:space="0" w:color="auto"/>
            <w:right w:val="none" w:sz="0" w:space="0" w:color="auto"/>
          </w:divBdr>
        </w:div>
        <w:div w:id="1036079207">
          <w:marLeft w:val="480"/>
          <w:marRight w:val="0"/>
          <w:marTop w:val="0"/>
          <w:marBottom w:val="0"/>
          <w:divBdr>
            <w:top w:val="none" w:sz="0" w:space="0" w:color="auto"/>
            <w:left w:val="none" w:sz="0" w:space="0" w:color="auto"/>
            <w:bottom w:val="none" w:sz="0" w:space="0" w:color="auto"/>
            <w:right w:val="none" w:sz="0" w:space="0" w:color="auto"/>
          </w:divBdr>
        </w:div>
        <w:div w:id="296566339">
          <w:marLeft w:val="480"/>
          <w:marRight w:val="0"/>
          <w:marTop w:val="0"/>
          <w:marBottom w:val="0"/>
          <w:divBdr>
            <w:top w:val="none" w:sz="0" w:space="0" w:color="auto"/>
            <w:left w:val="none" w:sz="0" w:space="0" w:color="auto"/>
            <w:bottom w:val="none" w:sz="0" w:space="0" w:color="auto"/>
            <w:right w:val="none" w:sz="0" w:space="0" w:color="auto"/>
          </w:divBdr>
        </w:div>
        <w:div w:id="989871326">
          <w:marLeft w:val="480"/>
          <w:marRight w:val="0"/>
          <w:marTop w:val="0"/>
          <w:marBottom w:val="0"/>
          <w:divBdr>
            <w:top w:val="none" w:sz="0" w:space="0" w:color="auto"/>
            <w:left w:val="none" w:sz="0" w:space="0" w:color="auto"/>
            <w:bottom w:val="none" w:sz="0" w:space="0" w:color="auto"/>
            <w:right w:val="none" w:sz="0" w:space="0" w:color="auto"/>
          </w:divBdr>
        </w:div>
        <w:div w:id="732697685">
          <w:marLeft w:val="480"/>
          <w:marRight w:val="0"/>
          <w:marTop w:val="0"/>
          <w:marBottom w:val="0"/>
          <w:divBdr>
            <w:top w:val="none" w:sz="0" w:space="0" w:color="auto"/>
            <w:left w:val="none" w:sz="0" w:space="0" w:color="auto"/>
            <w:bottom w:val="none" w:sz="0" w:space="0" w:color="auto"/>
            <w:right w:val="none" w:sz="0" w:space="0" w:color="auto"/>
          </w:divBdr>
        </w:div>
        <w:div w:id="20787972">
          <w:marLeft w:val="480"/>
          <w:marRight w:val="0"/>
          <w:marTop w:val="0"/>
          <w:marBottom w:val="0"/>
          <w:divBdr>
            <w:top w:val="none" w:sz="0" w:space="0" w:color="auto"/>
            <w:left w:val="none" w:sz="0" w:space="0" w:color="auto"/>
            <w:bottom w:val="none" w:sz="0" w:space="0" w:color="auto"/>
            <w:right w:val="none" w:sz="0" w:space="0" w:color="auto"/>
          </w:divBdr>
        </w:div>
        <w:div w:id="716974891">
          <w:marLeft w:val="480"/>
          <w:marRight w:val="0"/>
          <w:marTop w:val="0"/>
          <w:marBottom w:val="0"/>
          <w:divBdr>
            <w:top w:val="none" w:sz="0" w:space="0" w:color="auto"/>
            <w:left w:val="none" w:sz="0" w:space="0" w:color="auto"/>
            <w:bottom w:val="none" w:sz="0" w:space="0" w:color="auto"/>
            <w:right w:val="none" w:sz="0" w:space="0" w:color="auto"/>
          </w:divBdr>
        </w:div>
        <w:div w:id="625895741">
          <w:marLeft w:val="480"/>
          <w:marRight w:val="0"/>
          <w:marTop w:val="0"/>
          <w:marBottom w:val="0"/>
          <w:divBdr>
            <w:top w:val="none" w:sz="0" w:space="0" w:color="auto"/>
            <w:left w:val="none" w:sz="0" w:space="0" w:color="auto"/>
            <w:bottom w:val="none" w:sz="0" w:space="0" w:color="auto"/>
            <w:right w:val="none" w:sz="0" w:space="0" w:color="auto"/>
          </w:divBdr>
        </w:div>
        <w:div w:id="35590253">
          <w:marLeft w:val="480"/>
          <w:marRight w:val="0"/>
          <w:marTop w:val="0"/>
          <w:marBottom w:val="0"/>
          <w:divBdr>
            <w:top w:val="none" w:sz="0" w:space="0" w:color="auto"/>
            <w:left w:val="none" w:sz="0" w:space="0" w:color="auto"/>
            <w:bottom w:val="none" w:sz="0" w:space="0" w:color="auto"/>
            <w:right w:val="none" w:sz="0" w:space="0" w:color="auto"/>
          </w:divBdr>
        </w:div>
        <w:div w:id="913707419">
          <w:marLeft w:val="480"/>
          <w:marRight w:val="0"/>
          <w:marTop w:val="0"/>
          <w:marBottom w:val="0"/>
          <w:divBdr>
            <w:top w:val="none" w:sz="0" w:space="0" w:color="auto"/>
            <w:left w:val="none" w:sz="0" w:space="0" w:color="auto"/>
            <w:bottom w:val="none" w:sz="0" w:space="0" w:color="auto"/>
            <w:right w:val="none" w:sz="0" w:space="0" w:color="auto"/>
          </w:divBdr>
        </w:div>
        <w:div w:id="1686979912">
          <w:marLeft w:val="480"/>
          <w:marRight w:val="0"/>
          <w:marTop w:val="0"/>
          <w:marBottom w:val="0"/>
          <w:divBdr>
            <w:top w:val="none" w:sz="0" w:space="0" w:color="auto"/>
            <w:left w:val="none" w:sz="0" w:space="0" w:color="auto"/>
            <w:bottom w:val="none" w:sz="0" w:space="0" w:color="auto"/>
            <w:right w:val="none" w:sz="0" w:space="0" w:color="auto"/>
          </w:divBdr>
        </w:div>
        <w:div w:id="2094622625">
          <w:marLeft w:val="480"/>
          <w:marRight w:val="0"/>
          <w:marTop w:val="0"/>
          <w:marBottom w:val="0"/>
          <w:divBdr>
            <w:top w:val="none" w:sz="0" w:space="0" w:color="auto"/>
            <w:left w:val="none" w:sz="0" w:space="0" w:color="auto"/>
            <w:bottom w:val="none" w:sz="0" w:space="0" w:color="auto"/>
            <w:right w:val="none" w:sz="0" w:space="0" w:color="auto"/>
          </w:divBdr>
        </w:div>
        <w:div w:id="876814906">
          <w:marLeft w:val="480"/>
          <w:marRight w:val="0"/>
          <w:marTop w:val="0"/>
          <w:marBottom w:val="0"/>
          <w:divBdr>
            <w:top w:val="none" w:sz="0" w:space="0" w:color="auto"/>
            <w:left w:val="none" w:sz="0" w:space="0" w:color="auto"/>
            <w:bottom w:val="none" w:sz="0" w:space="0" w:color="auto"/>
            <w:right w:val="none" w:sz="0" w:space="0" w:color="auto"/>
          </w:divBdr>
        </w:div>
        <w:div w:id="204490309">
          <w:marLeft w:val="480"/>
          <w:marRight w:val="0"/>
          <w:marTop w:val="0"/>
          <w:marBottom w:val="0"/>
          <w:divBdr>
            <w:top w:val="none" w:sz="0" w:space="0" w:color="auto"/>
            <w:left w:val="none" w:sz="0" w:space="0" w:color="auto"/>
            <w:bottom w:val="none" w:sz="0" w:space="0" w:color="auto"/>
            <w:right w:val="none" w:sz="0" w:space="0" w:color="auto"/>
          </w:divBdr>
        </w:div>
        <w:div w:id="1712875363">
          <w:marLeft w:val="480"/>
          <w:marRight w:val="0"/>
          <w:marTop w:val="0"/>
          <w:marBottom w:val="0"/>
          <w:divBdr>
            <w:top w:val="none" w:sz="0" w:space="0" w:color="auto"/>
            <w:left w:val="none" w:sz="0" w:space="0" w:color="auto"/>
            <w:bottom w:val="none" w:sz="0" w:space="0" w:color="auto"/>
            <w:right w:val="none" w:sz="0" w:space="0" w:color="auto"/>
          </w:divBdr>
        </w:div>
        <w:div w:id="1477869279">
          <w:marLeft w:val="480"/>
          <w:marRight w:val="0"/>
          <w:marTop w:val="0"/>
          <w:marBottom w:val="0"/>
          <w:divBdr>
            <w:top w:val="none" w:sz="0" w:space="0" w:color="auto"/>
            <w:left w:val="none" w:sz="0" w:space="0" w:color="auto"/>
            <w:bottom w:val="none" w:sz="0" w:space="0" w:color="auto"/>
            <w:right w:val="none" w:sz="0" w:space="0" w:color="auto"/>
          </w:divBdr>
        </w:div>
      </w:divsChild>
    </w:div>
    <w:div w:id="1305352985">
      <w:bodyDiv w:val="1"/>
      <w:marLeft w:val="0"/>
      <w:marRight w:val="0"/>
      <w:marTop w:val="0"/>
      <w:marBottom w:val="0"/>
      <w:divBdr>
        <w:top w:val="none" w:sz="0" w:space="0" w:color="auto"/>
        <w:left w:val="none" w:sz="0" w:space="0" w:color="auto"/>
        <w:bottom w:val="none" w:sz="0" w:space="0" w:color="auto"/>
        <w:right w:val="none" w:sz="0" w:space="0" w:color="auto"/>
      </w:divBdr>
    </w:div>
    <w:div w:id="1305426081">
      <w:bodyDiv w:val="1"/>
      <w:marLeft w:val="0"/>
      <w:marRight w:val="0"/>
      <w:marTop w:val="0"/>
      <w:marBottom w:val="0"/>
      <w:divBdr>
        <w:top w:val="none" w:sz="0" w:space="0" w:color="auto"/>
        <w:left w:val="none" w:sz="0" w:space="0" w:color="auto"/>
        <w:bottom w:val="none" w:sz="0" w:space="0" w:color="auto"/>
        <w:right w:val="none" w:sz="0" w:space="0" w:color="auto"/>
      </w:divBdr>
    </w:div>
    <w:div w:id="1305965697">
      <w:bodyDiv w:val="1"/>
      <w:marLeft w:val="0"/>
      <w:marRight w:val="0"/>
      <w:marTop w:val="0"/>
      <w:marBottom w:val="0"/>
      <w:divBdr>
        <w:top w:val="none" w:sz="0" w:space="0" w:color="auto"/>
        <w:left w:val="none" w:sz="0" w:space="0" w:color="auto"/>
        <w:bottom w:val="none" w:sz="0" w:space="0" w:color="auto"/>
        <w:right w:val="none" w:sz="0" w:space="0" w:color="auto"/>
      </w:divBdr>
    </w:div>
    <w:div w:id="1307398211">
      <w:bodyDiv w:val="1"/>
      <w:marLeft w:val="0"/>
      <w:marRight w:val="0"/>
      <w:marTop w:val="0"/>
      <w:marBottom w:val="0"/>
      <w:divBdr>
        <w:top w:val="none" w:sz="0" w:space="0" w:color="auto"/>
        <w:left w:val="none" w:sz="0" w:space="0" w:color="auto"/>
        <w:bottom w:val="none" w:sz="0" w:space="0" w:color="auto"/>
        <w:right w:val="none" w:sz="0" w:space="0" w:color="auto"/>
      </w:divBdr>
    </w:div>
    <w:div w:id="1310282904">
      <w:bodyDiv w:val="1"/>
      <w:marLeft w:val="0"/>
      <w:marRight w:val="0"/>
      <w:marTop w:val="0"/>
      <w:marBottom w:val="0"/>
      <w:divBdr>
        <w:top w:val="none" w:sz="0" w:space="0" w:color="auto"/>
        <w:left w:val="none" w:sz="0" w:space="0" w:color="auto"/>
        <w:bottom w:val="none" w:sz="0" w:space="0" w:color="auto"/>
        <w:right w:val="none" w:sz="0" w:space="0" w:color="auto"/>
      </w:divBdr>
    </w:div>
    <w:div w:id="1310598025">
      <w:bodyDiv w:val="1"/>
      <w:marLeft w:val="0"/>
      <w:marRight w:val="0"/>
      <w:marTop w:val="0"/>
      <w:marBottom w:val="0"/>
      <w:divBdr>
        <w:top w:val="none" w:sz="0" w:space="0" w:color="auto"/>
        <w:left w:val="none" w:sz="0" w:space="0" w:color="auto"/>
        <w:bottom w:val="none" w:sz="0" w:space="0" w:color="auto"/>
        <w:right w:val="none" w:sz="0" w:space="0" w:color="auto"/>
      </w:divBdr>
    </w:div>
    <w:div w:id="1311254991">
      <w:bodyDiv w:val="1"/>
      <w:marLeft w:val="0"/>
      <w:marRight w:val="0"/>
      <w:marTop w:val="0"/>
      <w:marBottom w:val="0"/>
      <w:divBdr>
        <w:top w:val="none" w:sz="0" w:space="0" w:color="auto"/>
        <w:left w:val="none" w:sz="0" w:space="0" w:color="auto"/>
        <w:bottom w:val="none" w:sz="0" w:space="0" w:color="auto"/>
        <w:right w:val="none" w:sz="0" w:space="0" w:color="auto"/>
      </w:divBdr>
    </w:div>
    <w:div w:id="1314679616">
      <w:bodyDiv w:val="1"/>
      <w:marLeft w:val="0"/>
      <w:marRight w:val="0"/>
      <w:marTop w:val="0"/>
      <w:marBottom w:val="0"/>
      <w:divBdr>
        <w:top w:val="none" w:sz="0" w:space="0" w:color="auto"/>
        <w:left w:val="none" w:sz="0" w:space="0" w:color="auto"/>
        <w:bottom w:val="none" w:sz="0" w:space="0" w:color="auto"/>
        <w:right w:val="none" w:sz="0" w:space="0" w:color="auto"/>
      </w:divBdr>
    </w:div>
    <w:div w:id="1315187252">
      <w:bodyDiv w:val="1"/>
      <w:marLeft w:val="0"/>
      <w:marRight w:val="0"/>
      <w:marTop w:val="0"/>
      <w:marBottom w:val="0"/>
      <w:divBdr>
        <w:top w:val="none" w:sz="0" w:space="0" w:color="auto"/>
        <w:left w:val="none" w:sz="0" w:space="0" w:color="auto"/>
        <w:bottom w:val="none" w:sz="0" w:space="0" w:color="auto"/>
        <w:right w:val="none" w:sz="0" w:space="0" w:color="auto"/>
      </w:divBdr>
    </w:div>
    <w:div w:id="1315643480">
      <w:bodyDiv w:val="1"/>
      <w:marLeft w:val="0"/>
      <w:marRight w:val="0"/>
      <w:marTop w:val="0"/>
      <w:marBottom w:val="0"/>
      <w:divBdr>
        <w:top w:val="none" w:sz="0" w:space="0" w:color="auto"/>
        <w:left w:val="none" w:sz="0" w:space="0" w:color="auto"/>
        <w:bottom w:val="none" w:sz="0" w:space="0" w:color="auto"/>
        <w:right w:val="none" w:sz="0" w:space="0" w:color="auto"/>
      </w:divBdr>
    </w:div>
    <w:div w:id="1318191324">
      <w:bodyDiv w:val="1"/>
      <w:marLeft w:val="0"/>
      <w:marRight w:val="0"/>
      <w:marTop w:val="0"/>
      <w:marBottom w:val="0"/>
      <w:divBdr>
        <w:top w:val="none" w:sz="0" w:space="0" w:color="auto"/>
        <w:left w:val="none" w:sz="0" w:space="0" w:color="auto"/>
        <w:bottom w:val="none" w:sz="0" w:space="0" w:color="auto"/>
        <w:right w:val="none" w:sz="0" w:space="0" w:color="auto"/>
      </w:divBdr>
    </w:div>
    <w:div w:id="1320768926">
      <w:bodyDiv w:val="1"/>
      <w:marLeft w:val="0"/>
      <w:marRight w:val="0"/>
      <w:marTop w:val="0"/>
      <w:marBottom w:val="0"/>
      <w:divBdr>
        <w:top w:val="none" w:sz="0" w:space="0" w:color="auto"/>
        <w:left w:val="none" w:sz="0" w:space="0" w:color="auto"/>
        <w:bottom w:val="none" w:sz="0" w:space="0" w:color="auto"/>
        <w:right w:val="none" w:sz="0" w:space="0" w:color="auto"/>
      </w:divBdr>
    </w:div>
    <w:div w:id="1323436162">
      <w:bodyDiv w:val="1"/>
      <w:marLeft w:val="0"/>
      <w:marRight w:val="0"/>
      <w:marTop w:val="0"/>
      <w:marBottom w:val="0"/>
      <w:divBdr>
        <w:top w:val="none" w:sz="0" w:space="0" w:color="auto"/>
        <w:left w:val="none" w:sz="0" w:space="0" w:color="auto"/>
        <w:bottom w:val="none" w:sz="0" w:space="0" w:color="auto"/>
        <w:right w:val="none" w:sz="0" w:space="0" w:color="auto"/>
      </w:divBdr>
    </w:div>
    <w:div w:id="1324505385">
      <w:bodyDiv w:val="1"/>
      <w:marLeft w:val="0"/>
      <w:marRight w:val="0"/>
      <w:marTop w:val="0"/>
      <w:marBottom w:val="0"/>
      <w:divBdr>
        <w:top w:val="none" w:sz="0" w:space="0" w:color="auto"/>
        <w:left w:val="none" w:sz="0" w:space="0" w:color="auto"/>
        <w:bottom w:val="none" w:sz="0" w:space="0" w:color="auto"/>
        <w:right w:val="none" w:sz="0" w:space="0" w:color="auto"/>
      </w:divBdr>
    </w:div>
    <w:div w:id="1324814504">
      <w:bodyDiv w:val="1"/>
      <w:marLeft w:val="0"/>
      <w:marRight w:val="0"/>
      <w:marTop w:val="0"/>
      <w:marBottom w:val="0"/>
      <w:divBdr>
        <w:top w:val="none" w:sz="0" w:space="0" w:color="auto"/>
        <w:left w:val="none" w:sz="0" w:space="0" w:color="auto"/>
        <w:bottom w:val="none" w:sz="0" w:space="0" w:color="auto"/>
        <w:right w:val="none" w:sz="0" w:space="0" w:color="auto"/>
      </w:divBdr>
    </w:div>
    <w:div w:id="1326081461">
      <w:bodyDiv w:val="1"/>
      <w:marLeft w:val="0"/>
      <w:marRight w:val="0"/>
      <w:marTop w:val="0"/>
      <w:marBottom w:val="0"/>
      <w:divBdr>
        <w:top w:val="none" w:sz="0" w:space="0" w:color="auto"/>
        <w:left w:val="none" w:sz="0" w:space="0" w:color="auto"/>
        <w:bottom w:val="none" w:sz="0" w:space="0" w:color="auto"/>
        <w:right w:val="none" w:sz="0" w:space="0" w:color="auto"/>
      </w:divBdr>
    </w:div>
    <w:div w:id="1327436847">
      <w:bodyDiv w:val="1"/>
      <w:marLeft w:val="0"/>
      <w:marRight w:val="0"/>
      <w:marTop w:val="0"/>
      <w:marBottom w:val="0"/>
      <w:divBdr>
        <w:top w:val="none" w:sz="0" w:space="0" w:color="auto"/>
        <w:left w:val="none" w:sz="0" w:space="0" w:color="auto"/>
        <w:bottom w:val="none" w:sz="0" w:space="0" w:color="auto"/>
        <w:right w:val="none" w:sz="0" w:space="0" w:color="auto"/>
      </w:divBdr>
    </w:div>
    <w:div w:id="1327709533">
      <w:bodyDiv w:val="1"/>
      <w:marLeft w:val="0"/>
      <w:marRight w:val="0"/>
      <w:marTop w:val="0"/>
      <w:marBottom w:val="0"/>
      <w:divBdr>
        <w:top w:val="none" w:sz="0" w:space="0" w:color="auto"/>
        <w:left w:val="none" w:sz="0" w:space="0" w:color="auto"/>
        <w:bottom w:val="none" w:sz="0" w:space="0" w:color="auto"/>
        <w:right w:val="none" w:sz="0" w:space="0" w:color="auto"/>
      </w:divBdr>
    </w:div>
    <w:div w:id="1335835264">
      <w:bodyDiv w:val="1"/>
      <w:marLeft w:val="0"/>
      <w:marRight w:val="0"/>
      <w:marTop w:val="0"/>
      <w:marBottom w:val="0"/>
      <w:divBdr>
        <w:top w:val="none" w:sz="0" w:space="0" w:color="auto"/>
        <w:left w:val="none" w:sz="0" w:space="0" w:color="auto"/>
        <w:bottom w:val="none" w:sz="0" w:space="0" w:color="auto"/>
        <w:right w:val="none" w:sz="0" w:space="0" w:color="auto"/>
      </w:divBdr>
    </w:div>
    <w:div w:id="1337421850">
      <w:bodyDiv w:val="1"/>
      <w:marLeft w:val="0"/>
      <w:marRight w:val="0"/>
      <w:marTop w:val="0"/>
      <w:marBottom w:val="0"/>
      <w:divBdr>
        <w:top w:val="none" w:sz="0" w:space="0" w:color="auto"/>
        <w:left w:val="none" w:sz="0" w:space="0" w:color="auto"/>
        <w:bottom w:val="none" w:sz="0" w:space="0" w:color="auto"/>
        <w:right w:val="none" w:sz="0" w:space="0" w:color="auto"/>
      </w:divBdr>
    </w:div>
    <w:div w:id="1338922848">
      <w:bodyDiv w:val="1"/>
      <w:marLeft w:val="0"/>
      <w:marRight w:val="0"/>
      <w:marTop w:val="0"/>
      <w:marBottom w:val="0"/>
      <w:divBdr>
        <w:top w:val="none" w:sz="0" w:space="0" w:color="auto"/>
        <w:left w:val="none" w:sz="0" w:space="0" w:color="auto"/>
        <w:bottom w:val="none" w:sz="0" w:space="0" w:color="auto"/>
        <w:right w:val="none" w:sz="0" w:space="0" w:color="auto"/>
      </w:divBdr>
    </w:div>
    <w:div w:id="1340236365">
      <w:bodyDiv w:val="1"/>
      <w:marLeft w:val="0"/>
      <w:marRight w:val="0"/>
      <w:marTop w:val="0"/>
      <w:marBottom w:val="0"/>
      <w:divBdr>
        <w:top w:val="none" w:sz="0" w:space="0" w:color="auto"/>
        <w:left w:val="none" w:sz="0" w:space="0" w:color="auto"/>
        <w:bottom w:val="none" w:sz="0" w:space="0" w:color="auto"/>
        <w:right w:val="none" w:sz="0" w:space="0" w:color="auto"/>
      </w:divBdr>
    </w:div>
    <w:div w:id="1342585605">
      <w:bodyDiv w:val="1"/>
      <w:marLeft w:val="0"/>
      <w:marRight w:val="0"/>
      <w:marTop w:val="0"/>
      <w:marBottom w:val="0"/>
      <w:divBdr>
        <w:top w:val="none" w:sz="0" w:space="0" w:color="auto"/>
        <w:left w:val="none" w:sz="0" w:space="0" w:color="auto"/>
        <w:bottom w:val="none" w:sz="0" w:space="0" w:color="auto"/>
        <w:right w:val="none" w:sz="0" w:space="0" w:color="auto"/>
      </w:divBdr>
    </w:div>
    <w:div w:id="1348364909">
      <w:bodyDiv w:val="1"/>
      <w:marLeft w:val="0"/>
      <w:marRight w:val="0"/>
      <w:marTop w:val="0"/>
      <w:marBottom w:val="0"/>
      <w:divBdr>
        <w:top w:val="none" w:sz="0" w:space="0" w:color="auto"/>
        <w:left w:val="none" w:sz="0" w:space="0" w:color="auto"/>
        <w:bottom w:val="none" w:sz="0" w:space="0" w:color="auto"/>
        <w:right w:val="none" w:sz="0" w:space="0" w:color="auto"/>
      </w:divBdr>
    </w:div>
    <w:div w:id="1348411943">
      <w:bodyDiv w:val="1"/>
      <w:marLeft w:val="0"/>
      <w:marRight w:val="0"/>
      <w:marTop w:val="0"/>
      <w:marBottom w:val="0"/>
      <w:divBdr>
        <w:top w:val="none" w:sz="0" w:space="0" w:color="auto"/>
        <w:left w:val="none" w:sz="0" w:space="0" w:color="auto"/>
        <w:bottom w:val="none" w:sz="0" w:space="0" w:color="auto"/>
        <w:right w:val="none" w:sz="0" w:space="0" w:color="auto"/>
      </w:divBdr>
    </w:div>
    <w:div w:id="1352611083">
      <w:bodyDiv w:val="1"/>
      <w:marLeft w:val="0"/>
      <w:marRight w:val="0"/>
      <w:marTop w:val="0"/>
      <w:marBottom w:val="0"/>
      <w:divBdr>
        <w:top w:val="none" w:sz="0" w:space="0" w:color="auto"/>
        <w:left w:val="none" w:sz="0" w:space="0" w:color="auto"/>
        <w:bottom w:val="none" w:sz="0" w:space="0" w:color="auto"/>
        <w:right w:val="none" w:sz="0" w:space="0" w:color="auto"/>
      </w:divBdr>
    </w:div>
    <w:div w:id="1356006862">
      <w:bodyDiv w:val="1"/>
      <w:marLeft w:val="0"/>
      <w:marRight w:val="0"/>
      <w:marTop w:val="0"/>
      <w:marBottom w:val="0"/>
      <w:divBdr>
        <w:top w:val="none" w:sz="0" w:space="0" w:color="auto"/>
        <w:left w:val="none" w:sz="0" w:space="0" w:color="auto"/>
        <w:bottom w:val="none" w:sz="0" w:space="0" w:color="auto"/>
        <w:right w:val="none" w:sz="0" w:space="0" w:color="auto"/>
      </w:divBdr>
    </w:div>
    <w:div w:id="1363165570">
      <w:bodyDiv w:val="1"/>
      <w:marLeft w:val="0"/>
      <w:marRight w:val="0"/>
      <w:marTop w:val="0"/>
      <w:marBottom w:val="0"/>
      <w:divBdr>
        <w:top w:val="none" w:sz="0" w:space="0" w:color="auto"/>
        <w:left w:val="none" w:sz="0" w:space="0" w:color="auto"/>
        <w:bottom w:val="none" w:sz="0" w:space="0" w:color="auto"/>
        <w:right w:val="none" w:sz="0" w:space="0" w:color="auto"/>
      </w:divBdr>
    </w:div>
    <w:div w:id="1363172698">
      <w:bodyDiv w:val="1"/>
      <w:marLeft w:val="0"/>
      <w:marRight w:val="0"/>
      <w:marTop w:val="0"/>
      <w:marBottom w:val="0"/>
      <w:divBdr>
        <w:top w:val="none" w:sz="0" w:space="0" w:color="auto"/>
        <w:left w:val="none" w:sz="0" w:space="0" w:color="auto"/>
        <w:bottom w:val="none" w:sz="0" w:space="0" w:color="auto"/>
        <w:right w:val="none" w:sz="0" w:space="0" w:color="auto"/>
      </w:divBdr>
    </w:div>
    <w:div w:id="1367565702">
      <w:bodyDiv w:val="1"/>
      <w:marLeft w:val="0"/>
      <w:marRight w:val="0"/>
      <w:marTop w:val="0"/>
      <w:marBottom w:val="0"/>
      <w:divBdr>
        <w:top w:val="none" w:sz="0" w:space="0" w:color="auto"/>
        <w:left w:val="none" w:sz="0" w:space="0" w:color="auto"/>
        <w:bottom w:val="none" w:sz="0" w:space="0" w:color="auto"/>
        <w:right w:val="none" w:sz="0" w:space="0" w:color="auto"/>
      </w:divBdr>
    </w:div>
    <w:div w:id="1368945669">
      <w:bodyDiv w:val="1"/>
      <w:marLeft w:val="0"/>
      <w:marRight w:val="0"/>
      <w:marTop w:val="0"/>
      <w:marBottom w:val="0"/>
      <w:divBdr>
        <w:top w:val="none" w:sz="0" w:space="0" w:color="auto"/>
        <w:left w:val="none" w:sz="0" w:space="0" w:color="auto"/>
        <w:bottom w:val="none" w:sz="0" w:space="0" w:color="auto"/>
        <w:right w:val="none" w:sz="0" w:space="0" w:color="auto"/>
      </w:divBdr>
    </w:div>
    <w:div w:id="1370763226">
      <w:bodyDiv w:val="1"/>
      <w:marLeft w:val="0"/>
      <w:marRight w:val="0"/>
      <w:marTop w:val="0"/>
      <w:marBottom w:val="0"/>
      <w:divBdr>
        <w:top w:val="none" w:sz="0" w:space="0" w:color="auto"/>
        <w:left w:val="none" w:sz="0" w:space="0" w:color="auto"/>
        <w:bottom w:val="none" w:sz="0" w:space="0" w:color="auto"/>
        <w:right w:val="none" w:sz="0" w:space="0" w:color="auto"/>
      </w:divBdr>
    </w:div>
    <w:div w:id="1372263039">
      <w:bodyDiv w:val="1"/>
      <w:marLeft w:val="0"/>
      <w:marRight w:val="0"/>
      <w:marTop w:val="0"/>
      <w:marBottom w:val="0"/>
      <w:divBdr>
        <w:top w:val="none" w:sz="0" w:space="0" w:color="auto"/>
        <w:left w:val="none" w:sz="0" w:space="0" w:color="auto"/>
        <w:bottom w:val="none" w:sz="0" w:space="0" w:color="auto"/>
        <w:right w:val="none" w:sz="0" w:space="0" w:color="auto"/>
      </w:divBdr>
    </w:div>
    <w:div w:id="1372919235">
      <w:bodyDiv w:val="1"/>
      <w:marLeft w:val="0"/>
      <w:marRight w:val="0"/>
      <w:marTop w:val="0"/>
      <w:marBottom w:val="0"/>
      <w:divBdr>
        <w:top w:val="none" w:sz="0" w:space="0" w:color="auto"/>
        <w:left w:val="none" w:sz="0" w:space="0" w:color="auto"/>
        <w:bottom w:val="none" w:sz="0" w:space="0" w:color="auto"/>
        <w:right w:val="none" w:sz="0" w:space="0" w:color="auto"/>
      </w:divBdr>
      <w:divsChild>
        <w:div w:id="840585457">
          <w:marLeft w:val="0"/>
          <w:marRight w:val="0"/>
          <w:marTop w:val="0"/>
          <w:marBottom w:val="0"/>
          <w:divBdr>
            <w:top w:val="none" w:sz="0" w:space="0" w:color="auto"/>
            <w:left w:val="none" w:sz="0" w:space="0" w:color="auto"/>
            <w:bottom w:val="none" w:sz="0" w:space="0" w:color="auto"/>
            <w:right w:val="none" w:sz="0" w:space="0" w:color="auto"/>
          </w:divBdr>
          <w:divsChild>
            <w:div w:id="1947886910">
              <w:marLeft w:val="0"/>
              <w:marRight w:val="0"/>
              <w:marTop w:val="0"/>
              <w:marBottom w:val="0"/>
              <w:divBdr>
                <w:top w:val="none" w:sz="0" w:space="0" w:color="auto"/>
                <w:left w:val="none" w:sz="0" w:space="0" w:color="auto"/>
                <w:bottom w:val="none" w:sz="0" w:space="0" w:color="auto"/>
                <w:right w:val="none" w:sz="0" w:space="0" w:color="auto"/>
              </w:divBdr>
              <w:divsChild>
                <w:div w:id="224999324">
                  <w:marLeft w:val="0"/>
                  <w:marRight w:val="0"/>
                  <w:marTop w:val="0"/>
                  <w:marBottom w:val="0"/>
                  <w:divBdr>
                    <w:top w:val="none" w:sz="0" w:space="0" w:color="auto"/>
                    <w:left w:val="none" w:sz="0" w:space="0" w:color="auto"/>
                    <w:bottom w:val="none" w:sz="0" w:space="0" w:color="auto"/>
                    <w:right w:val="none" w:sz="0" w:space="0" w:color="auto"/>
                  </w:divBdr>
                  <w:divsChild>
                    <w:div w:id="948195117">
                      <w:marLeft w:val="0"/>
                      <w:marRight w:val="0"/>
                      <w:marTop w:val="0"/>
                      <w:marBottom w:val="0"/>
                      <w:divBdr>
                        <w:top w:val="none" w:sz="0" w:space="0" w:color="auto"/>
                        <w:left w:val="none" w:sz="0" w:space="0" w:color="auto"/>
                        <w:bottom w:val="none" w:sz="0" w:space="0" w:color="auto"/>
                        <w:right w:val="none" w:sz="0" w:space="0" w:color="auto"/>
                      </w:divBdr>
                      <w:divsChild>
                        <w:div w:id="568275679">
                          <w:marLeft w:val="0"/>
                          <w:marRight w:val="0"/>
                          <w:marTop w:val="0"/>
                          <w:marBottom w:val="0"/>
                          <w:divBdr>
                            <w:top w:val="none" w:sz="0" w:space="0" w:color="auto"/>
                            <w:left w:val="none" w:sz="0" w:space="0" w:color="auto"/>
                            <w:bottom w:val="none" w:sz="0" w:space="0" w:color="auto"/>
                            <w:right w:val="none" w:sz="0" w:space="0" w:color="auto"/>
                          </w:divBdr>
                          <w:divsChild>
                            <w:div w:id="391122819">
                              <w:marLeft w:val="0"/>
                              <w:marRight w:val="0"/>
                              <w:marTop w:val="0"/>
                              <w:marBottom w:val="0"/>
                              <w:divBdr>
                                <w:top w:val="none" w:sz="0" w:space="0" w:color="auto"/>
                                <w:left w:val="none" w:sz="0" w:space="0" w:color="auto"/>
                                <w:bottom w:val="none" w:sz="0" w:space="0" w:color="auto"/>
                                <w:right w:val="none" w:sz="0" w:space="0" w:color="auto"/>
                              </w:divBdr>
                              <w:divsChild>
                                <w:div w:id="265580732">
                                  <w:marLeft w:val="0"/>
                                  <w:marRight w:val="0"/>
                                  <w:marTop w:val="0"/>
                                  <w:marBottom w:val="0"/>
                                  <w:divBdr>
                                    <w:top w:val="none" w:sz="0" w:space="0" w:color="auto"/>
                                    <w:left w:val="none" w:sz="0" w:space="0" w:color="auto"/>
                                    <w:bottom w:val="none" w:sz="0" w:space="0" w:color="auto"/>
                                    <w:right w:val="none" w:sz="0" w:space="0" w:color="auto"/>
                                  </w:divBdr>
                                  <w:divsChild>
                                    <w:div w:id="91084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055742">
          <w:marLeft w:val="0"/>
          <w:marRight w:val="0"/>
          <w:marTop w:val="0"/>
          <w:marBottom w:val="0"/>
          <w:divBdr>
            <w:top w:val="none" w:sz="0" w:space="0" w:color="auto"/>
            <w:left w:val="none" w:sz="0" w:space="0" w:color="auto"/>
            <w:bottom w:val="none" w:sz="0" w:space="0" w:color="auto"/>
            <w:right w:val="none" w:sz="0" w:space="0" w:color="auto"/>
          </w:divBdr>
          <w:divsChild>
            <w:div w:id="1539270394">
              <w:marLeft w:val="0"/>
              <w:marRight w:val="0"/>
              <w:marTop w:val="0"/>
              <w:marBottom w:val="0"/>
              <w:divBdr>
                <w:top w:val="none" w:sz="0" w:space="0" w:color="auto"/>
                <w:left w:val="none" w:sz="0" w:space="0" w:color="auto"/>
                <w:bottom w:val="none" w:sz="0" w:space="0" w:color="auto"/>
                <w:right w:val="none" w:sz="0" w:space="0" w:color="auto"/>
              </w:divBdr>
              <w:divsChild>
                <w:div w:id="1559827590">
                  <w:marLeft w:val="0"/>
                  <w:marRight w:val="0"/>
                  <w:marTop w:val="0"/>
                  <w:marBottom w:val="0"/>
                  <w:divBdr>
                    <w:top w:val="none" w:sz="0" w:space="0" w:color="auto"/>
                    <w:left w:val="none" w:sz="0" w:space="0" w:color="auto"/>
                    <w:bottom w:val="none" w:sz="0" w:space="0" w:color="auto"/>
                    <w:right w:val="none" w:sz="0" w:space="0" w:color="auto"/>
                  </w:divBdr>
                  <w:divsChild>
                    <w:div w:id="1793397674">
                      <w:marLeft w:val="0"/>
                      <w:marRight w:val="0"/>
                      <w:marTop w:val="0"/>
                      <w:marBottom w:val="0"/>
                      <w:divBdr>
                        <w:top w:val="none" w:sz="0" w:space="0" w:color="auto"/>
                        <w:left w:val="none" w:sz="0" w:space="0" w:color="auto"/>
                        <w:bottom w:val="none" w:sz="0" w:space="0" w:color="auto"/>
                        <w:right w:val="none" w:sz="0" w:space="0" w:color="auto"/>
                      </w:divBdr>
                      <w:divsChild>
                        <w:div w:id="1930968421">
                          <w:marLeft w:val="0"/>
                          <w:marRight w:val="0"/>
                          <w:marTop w:val="0"/>
                          <w:marBottom w:val="0"/>
                          <w:divBdr>
                            <w:top w:val="none" w:sz="0" w:space="0" w:color="auto"/>
                            <w:left w:val="none" w:sz="0" w:space="0" w:color="auto"/>
                            <w:bottom w:val="none" w:sz="0" w:space="0" w:color="auto"/>
                            <w:right w:val="none" w:sz="0" w:space="0" w:color="auto"/>
                          </w:divBdr>
                          <w:divsChild>
                            <w:div w:id="2042777251">
                              <w:marLeft w:val="0"/>
                              <w:marRight w:val="0"/>
                              <w:marTop w:val="0"/>
                              <w:marBottom w:val="0"/>
                              <w:divBdr>
                                <w:top w:val="none" w:sz="0" w:space="0" w:color="auto"/>
                                <w:left w:val="none" w:sz="0" w:space="0" w:color="auto"/>
                                <w:bottom w:val="none" w:sz="0" w:space="0" w:color="auto"/>
                                <w:right w:val="none" w:sz="0" w:space="0" w:color="auto"/>
                              </w:divBdr>
                              <w:divsChild>
                                <w:div w:id="1569028728">
                                  <w:marLeft w:val="0"/>
                                  <w:marRight w:val="0"/>
                                  <w:marTop w:val="0"/>
                                  <w:marBottom w:val="0"/>
                                  <w:divBdr>
                                    <w:top w:val="none" w:sz="0" w:space="0" w:color="auto"/>
                                    <w:left w:val="none" w:sz="0" w:space="0" w:color="auto"/>
                                    <w:bottom w:val="none" w:sz="0" w:space="0" w:color="auto"/>
                                    <w:right w:val="none" w:sz="0" w:space="0" w:color="auto"/>
                                  </w:divBdr>
                                  <w:divsChild>
                                    <w:div w:id="695815930">
                                      <w:marLeft w:val="0"/>
                                      <w:marRight w:val="0"/>
                                      <w:marTop w:val="0"/>
                                      <w:marBottom w:val="0"/>
                                      <w:divBdr>
                                        <w:top w:val="none" w:sz="0" w:space="0" w:color="auto"/>
                                        <w:left w:val="none" w:sz="0" w:space="0" w:color="auto"/>
                                        <w:bottom w:val="none" w:sz="0" w:space="0" w:color="auto"/>
                                        <w:right w:val="none" w:sz="0" w:space="0" w:color="auto"/>
                                      </w:divBdr>
                                      <w:divsChild>
                                        <w:div w:id="140733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428781">
      <w:bodyDiv w:val="1"/>
      <w:marLeft w:val="0"/>
      <w:marRight w:val="0"/>
      <w:marTop w:val="0"/>
      <w:marBottom w:val="0"/>
      <w:divBdr>
        <w:top w:val="none" w:sz="0" w:space="0" w:color="auto"/>
        <w:left w:val="none" w:sz="0" w:space="0" w:color="auto"/>
        <w:bottom w:val="none" w:sz="0" w:space="0" w:color="auto"/>
        <w:right w:val="none" w:sz="0" w:space="0" w:color="auto"/>
      </w:divBdr>
      <w:divsChild>
        <w:div w:id="1524630516">
          <w:marLeft w:val="480"/>
          <w:marRight w:val="0"/>
          <w:marTop w:val="0"/>
          <w:marBottom w:val="0"/>
          <w:divBdr>
            <w:top w:val="none" w:sz="0" w:space="0" w:color="auto"/>
            <w:left w:val="none" w:sz="0" w:space="0" w:color="auto"/>
            <w:bottom w:val="none" w:sz="0" w:space="0" w:color="auto"/>
            <w:right w:val="none" w:sz="0" w:space="0" w:color="auto"/>
          </w:divBdr>
        </w:div>
        <w:div w:id="545483660">
          <w:marLeft w:val="480"/>
          <w:marRight w:val="0"/>
          <w:marTop w:val="0"/>
          <w:marBottom w:val="0"/>
          <w:divBdr>
            <w:top w:val="none" w:sz="0" w:space="0" w:color="auto"/>
            <w:left w:val="none" w:sz="0" w:space="0" w:color="auto"/>
            <w:bottom w:val="none" w:sz="0" w:space="0" w:color="auto"/>
            <w:right w:val="none" w:sz="0" w:space="0" w:color="auto"/>
          </w:divBdr>
        </w:div>
        <w:div w:id="72162989">
          <w:marLeft w:val="480"/>
          <w:marRight w:val="0"/>
          <w:marTop w:val="0"/>
          <w:marBottom w:val="0"/>
          <w:divBdr>
            <w:top w:val="none" w:sz="0" w:space="0" w:color="auto"/>
            <w:left w:val="none" w:sz="0" w:space="0" w:color="auto"/>
            <w:bottom w:val="none" w:sz="0" w:space="0" w:color="auto"/>
            <w:right w:val="none" w:sz="0" w:space="0" w:color="auto"/>
          </w:divBdr>
        </w:div>
        <w:div w:id="1642534914">
          <w:marLeft w:val="480"/>
          <w:marRight w:val="0"/>
          <w:marTop w:val="0"/>
          <w:marBottom w:val="0"/>
          <w:divBdr>
            <w:top w:val="none" w:sz="0" w:space="0" w:color="auto"/>
            <w:left w:val="none" w:sz="0" w:space="0" w:color="auto"/>
            <w:bottom w:val="none" w:sz="0" w:space="0" w:color="auto"/>
            <w:right w:val="none" w:sz="0" w:space="0" w:color="auto"/>
          </w:divBdr>
        </w:div>
        <w:div w:id="203711173">
          <w:marLeft w:val="480"/>
          <w:marRight w:val="0"/>
          <w:marTop w:val="0"/>
          <w:marBottom w:val="0"/>
          <w:divBdr>
            <w:top w:val="none" w:sz="0" w:space="0" w:color="auto"/>
            <w:left w:val="none" w:sz="0" w:space="0" w:color="auto"/>
            <w:bottom w:val="none" w:sz="0" w:space="0" w:color="auto"/>
            <w:right w:val="none" w:sz="0" w:space="0" w:color="auto"/>
          </w:divBdr>
        </w:div>
        <w:div w:id="1316452172">
          <w:marLeft w:val="480"/>
          <w:marRight w:val="0"/>
          <w:marTop w:val="0"/>
          <w:marBottom w:val="0"/>
          <w:divBdr>
            <w:top w:val="none" w:sz="0" w:space="0" w:color="auto"/>
            <w:left w:val="none" w:sz="0" w:space="0" w:color="auto"/>
            <w:bottom w:val="none" w:sz="0" w:space="0" w:color="auto"/>
            <w:right w:val="none" w:sz="0" w:space="0" w:color="auto"/>
          </w:divBdr>
        </w:div>
        <w:div w:id="967592265">
          <w:marLeft w:val="480"/>
          <w:marRight w:val="0"/>
          <w:marTop w:val="0"/>
          <w:marBottom w:val="0"/>
          <w:divBdr>
            <w:top w:val="none" w:sz="0" w:space="0" w:color="auto"/>
            <w:left w:val="none" w:sz="0" w:space="0" w:color="auto"/>
            <w:bottom w:val="none" w:sz="0" w:space="0" w:color="auto"/>
            <w:right w:val="none" w:sz="0" w:space="0" w:color="auto"/>
          </w:divBdr>
        </w:div>
        <w:div w:id="456340754">
          <w:marLeft w:val="480"/>
          <w:marRight w:val="0"/>
          <w:marTop w:val="0"/>
          <w:marBottom w:val="0"/>
          <w:divBdr>
            <w:top w:val="none" w:sz="0" w:space="0" w:color="auto"/>
            <w:left w:val="none" w:sz="0" w:space="0" w:color="auto"/>
            <w:bottom w:val="none" w:sz="0" w:space="0" w:color="auto"/>
            <w:right w:val="none" w:sz="0" w:space="0" w:color="auto"/>
          </w:divBdr>
        </w:div>
        <w:div w:id="291635807">
          <w:marLeft w:val="480"/>
          <w:marRight w:val="0"/>
          <w:marTop w:val="0"/>
          <w:marBottom w:val="0"/>
          <w:divBdr>
            <w:top w:val="none" w:sz="0" w:space="0" w:color="auto"/>
            <w:left w:val="none" w:sz="0" w:space="0" w:color="auto"/>
            <w:bottom w:val="none" w:sz="0" w:space="0" w:color="auto"/>
            <w:right w:val="none" w:sz="0" w:space="0" w:color="auto"/>
          </w:divBdr>
        </w:div>
        <w:div w:id="2068213054">
          <w:marLeft w:val="480"/>
          <w:marRight w:val="0"/>
          <w:marTop w:val="0"/>
          <w:marBottom w:val="0"/>
          <w:divBdr>
            <w:top w:val="none" w:sz="0" w:space="0" w:color="auto"/>
            <w:left w:val="none" w:sz="0" w:space="0" w:color="auto"/>
            <w:bottom w:val="none" w:sz="0" w:space="0" w:color="auto"/>
            <w:right w:val="none" w:sz="0" w:space="0" w:color="auto"/>
          </w:divBdr>
        </w:div>
        <w:div w:id="341709555">
          <w:marLeft w:val="480"/>
          <w:marRight w:val="0"/>
          <w:marTop w:val="0"/>
          <w:marBottom w:val="0"/>
          <w:divBdr>
            <w:top w:val="none" w:sz="0" w:space="0" w:color="auto"/>
            <w:left w:val="none" w:sz="0" w:space="0" w:color="auto"/>
            <w:bottom w:val="none" w:sz="0" w:space="0" w:color="auto"/>
            <w:right w:val="none" w:sz="0" w:space="0" w:color="auto"/>
          </w:divBdr>
        </w:div>
        <w:div w:id="2048601619">
          <w:marLeft w:val="480"/>
          <w:marRight w:val="0"/>
          <w:marTop w:val="0"/>
          <w:marBottom w:val="0"/>
          <w:divBdr>
            <w:top w:val="none" w:sz="0" w:space="0" w:color="auto"/>
            <w:left w:val="none" w:sz="0" w:space="0" w:color="auto"/>
            <w:bottom w:val="none" w:sz="0" w:space="0" w:color="auto"/>
            <w:right w:val="none" w:sz="0" w:space="0" w:color="auto"/>
          </w:divBdr>
        </w:div>
        <w:div w:id="817262799">
          <w:marLeft w:val="480"/>
          <w:marRight w:val="0"/>
          <w:marTop w:val="0"/>
          <w:marBottom w:val="0"/>
          <w:divBdr>
            <w:top w:val="none" w:sz="0" w:space="0" w:color="auto"/>
            <w:left w:val="none" w:sz="0" w:space="0" w:color="auto"/>
            <w:bottom w:val="none" w:sz="0" w:space="0" w:color="auto"/>
            <w:right w:val="none" w:sz="0" w:space="0" w:color="auto"/>
          </w:divBdr>
        </w:div>
        <w:div w:id="1647124053">
          <w:marLeft w:val="480"/>
          <w:marRight w:val="0"/>
          <w:marTop w:val="0"/>
          <w:marBottom w:val="0"/>
          <w:divBdr>
            <w:top w:val="none" w:sz="0" w:space="0" w:color="auto"/>
            <w:left w:val="none" w:sz="0" w:space="0" w:color="auto"/>
            <w:bottom w:val="none" w:sz="0" w:space="0" w:color="auto"/>
            <w:right w:val="none" w:sz="0" w:space="0" w:color="auto"/>
          </w:divBdr>
        </w:div>
        <w:div w:id="1096318186">
          <w:marLeft w:val="480"/>
          <w:marRight w:val="0"/>
          <w:marTop w:val="0"/>
          <w:marBottom w:val="0"/>
          <w:divBdr>
            <w:top w:val="none" w:sz="0" w:space="0" w:color="auto"/>
            <w:left w:val="none" w:sz="0" w:space="0" w:color="auto"/>
            <w:bottom w:val="none" w:sz="0" w:space="0" w:color="auto"/>
            <w:right w:val="none" w:sz="0" w:space="0" w:color="auto"/>
          </w:divBdr>
        </w:div>
        <w:div w:id="1119299894">
          <w:marLeft w:val="480"/>
          <w:marRight w:val="0"/>
          <w:marTop w:val="0"/>
          <w:marBottom w:val="0"/>
          <w:divBdr>
            <w:top w:val="none" w:sz="0" w:space="0" w:color="auto"/>
            <w:left w:val="none" w:sz="0" w:space="0" w:color="auto"/>
            <w:bottom w:val="none" w:sz="0" w:space="0" w:color="auto"/>
            <w:right w:val="none" w:sz="0" w:space="0" w:color="auto"/>
          </w:divBdr>
        </w:div>
        <w:div w:id="517696189">
          <w:marLeft w:val="480"/>
          <w:marRight w:val="0"/>
          <w:marTop w:val="0"/>
          <w:marBottom w:val="0"/>
          <w:divBdr>
            <w:top w:val="none" w:sz="0" w:space="0" w:color="auto"/>
            <w:left w:val="none" w:sz="0" w:space="0" w:color="auto"/>
            <w:bottom w:val="none" w:sz="0" w:space="0" w:color="auto"/>
            <w:right w:val="none" w:sz="0" w:space="0" w:color="auto"/>
          </w:divBdr>
        </w:div>
        <w:div w:id="2080666561">
          <w:marLeft w:val="480"/>
          <w:marRight w:val="0"/>
          <w:marTop w:val="0"/>
          <w:marBottom w:val="0"/>
          <w:divBdr>
            <w:top w:val="none" w:sz="0" w:space="0" w:color="auto"/>
            <w:left w:val="none" w:sz="0" w:space="0" w:color="auto"/>
            <w:bottom w:val="none" w:sz="0" w:space="0" w:color="auto"/>
            <w:right w:val="none" w:sz="0" w:space="0" w:color="auto"/>
          </w:divBdr>
        </w:div>
        <w:div w:id="1824084144">
          <w:marLeft w:val="480"/>
          <w:marRight w:val="0"/>
          <w:marTop w:val="0"/>
          <w:marBottom w:val="0"/>
          <w:divBdr>
            <w:top w:val="none" w:sz="0" w:space="0" w:color="auto"/>
            <w:left w:val="none" w:sz="0" w:space="0" w:color="auto"/>
            <w:bottom w:val="none" w:sz="0" w:space="0" w:color="auto"/>
            <w:right w:val="none" w:sz="0" w:space="0" w:color="auto"/>
          </w:divBdr>
        </w:div>
        <w:div w:id="347148269">
          <w:marLeft w:val="480"/>
          <w:marRight w:val="0"/>
          <w:marTop w:val="0"/>
          <w:marBottom w:val="0"/>
          <w:divBdr>
            <w:top w:val="none" w:sz="0" w:space="0" w:color="auto"/>
            <w:left w:val="none" w:sz="0" w:space="0" w:color="auto"/>
            <w:bottom w:val="none" w:sz="0" w:space="0" w:color="auto"/>
            <w:right w:val="none" w:sz="0" w:space="0" w:color="auto"/>
          </w:divBdr>
        </w:div>
        <w:div w:id="2017539312">
          <w:marLeft w:val="480"/>
          <w:marRight w:val="0"/>
          <w:marTop w:val="0"/>
          <w:marBottom w:val="0"/>
          <w:divBdr>
            <w:top w:val="none" w:sz="0" w:space="0" w:color="auto"/>
            <w:left w:val="none" w:sz="0" w:space="0" w:color="auto"/>
            <w:bottom w:val="none" w:sz="0" w:space="0" w:color="auto"/>
            <w:right w:val="none" w:sz="0" w:space="0" w:color="auto"/>
          </w:divBdr>
        </w:div>
        <w:div w:id="1928417344">
          <w:marLeft w:val="480"/>
          <w:marRight w:val="0"/>
          <w:marTop w:val="0"/>
          <w:marBottom w:val="0"/>
          <w:divBdr>
            <w:top w:val="none" w:sz="0" w:space="0" w:color="auto"/>
            <w:left w:val="none" w:sz="0" w:space="0" w:color="auto"/>
            <w:bottom w:val="none" w:sz="0" w:space="0" w:color="auto"/>
            <w:right w:val="none" w:sz="0" w:space="0" w:color="auto"/>
          </w:divBdr>
        </w:div>
        <w:div w:id="983047837">
          <w:marLeft w:val="480"/>
          <w:marRight w:val="0"/>
          <w:marTop w:val="0"/>
          <w:marBottom w:val="0"/>
          <w:divBdr>
            <w:top w:val="none" w:sz="0" w:space="0" w:color="auto"/>
            <w:left w:val="none" w:sz="0" w:space="0" w:color="auto"/>
            <w:bottom w:val="none" w:sz="0" w:space="0" w:color="auto"/>
            <w:right w:val="none" w:sz="0" w:space="0" w:color="auto"/>
          </w:divBdr>
        </w:div>
        <w:div w:id="197814848">
          <w:marLeft w:val="480"/>
          <w:marRight w:val="0"/>
          <w:marTop w:val="0"/>
          <w:marBottom w:val="0"/>
          <w:divBdr>
            <w:top w:val="none" w:sz="0" w:space="0" w:color="auto"/>
            <w:left w:val="none" w:sz="0" w:space="0" w:color="auto"/>
            <w:bottom w:val="none" w:sz="0" w:space="0" w:color="auto"/>
            <w:right w:val="none" w:sz="0" w:space="0" w:color="auto"/>
          </w:divBdr>
        </w:div>
        <w:div w:id="1284573523">
          <w:marLeft w:val="480"/>
          <w:marRight w:val="0"/>
          <w:marTop w:val="0"/>
          <w:marBottom w:val="0"/>
          <w:divBdr>
            <w:top w:val="none" w:sz="0" w:space="0" w:color="auto"/>
            <w:left w:val="none" w:sz="0" w:space="0" w:color="auto"/>
            <w:bottom w:val="none" w:sz="0" w:space="0" w:color="auto"/>
            <w:right w:val="none" w:sz="0" w:space="0" w:color="auto"/>
          </w:divBdr>
        </w:div>
        <w:div w:id="810362299">
          <w:marLeft w:val="480"/>
          <w:marRight w:val="0"/>
          <w:marTop w:val="0"/>
          <w:marBottom w:val="0"/>
          <w:divBdr>
            <w:top w:val="none" w:sz="0" w:space="0" w:color="auto"/>
            <w:left w:val="none" w:sz="0" w:space="0" w:color="auto"/>
            <w:bottom w:val="none" w:sz="0" w:space="0" w:color="auto"/>
            <w:right w:val="none" w:sz="0" w:space="0" w:color="auto"/>
          </w:divBdr>
        </w:div>
        <w:div w:id="2008288350">
          <w:marLeft w:val="480"/>
          <w:marRight w:val="0"/>
          <w:marTop w:val="0"/>
          <w:marBottom w:val="0"/>
          <w:divBdr>
            <w:top w:val="none" w:sz="0" w:space="0" w:color="auto"/>
            <w:left w:val="none" w:sz="0" w:space="0" w:color="auto"/>
            <w:bottom w:val="none" w:sz="0" w:space="0" w:color="auto"/>
            <w:right w:val="none" w:sz="0" w:space="0" w:color="auto"/>
          </w:divBdr>
        </w:div>
        <w:div w:id="1962371165">
          <w:marLeft w:val="480"/>
          <w:marRight w:val="0"/>
          <w:marTop w:val="0"/>
          <w:marBottom w:val="0"/>
          <w:divBdr>
            <w:top w:val="none" w:sz="0" w:space="0" w:color="auto"/>
            <w:left w:val="none" w:sz="0" w:space="0" w:color="auto"/>
            <w:bottom w:val="none" w:sz="0" w:space="0" w:color="auto"/>
            <w:right w:val="none" w:sz="0" w:space="0" w:color="auto"/>
          </w:divBdr>
        </w:div>
        <w:div w:id="1709524652">
          <w:marLeft w:val="480"/>
          <w:marRight w:val="0"/>
          <w:marTop w:val="0"/>
          <w:marBottom w:val="0"/>
          <w:divBdr>
            <w:top w:val="none" w:sz="0" w:space="0" w:color="auto"/>
            <w:left w:val="none" w:sz="0" w:space="0" w:color="auto"/>
            <w:bottom w:val="none" w:sz="0" w:space="0" w:color="auto"/>
            <w:right w:val="none" w:sz="0" w:space="0" w:color="auto"/>
          </w:divBdr>
        </w:div>
        <w:div w:id="1088384022">
          <w:marLeft w:val="480"/>
          <w:marRight w:val="0"/>
          <w:marTop w:val="0"/>
          <w:marBottom w:val="0"/>
          <w:divBdr>
            <w:top w:val="none" w:sz="0" w:space="0" w:color="auto"/>
            <w:left w:val="none" w:sz="0" w:space="0" w:color="auto"/>
            <w:bottom w:val="none" w:sz="0" w:space="0" w:color="auto"/>
            <w:right w:val="none" w:sz="0" w:space="0" w:color="auto"/>
          </w:divBdr>
        </w:div>
        <w:div w:id="612714217">
          <w:marLeft w:val="480"/>
          <w:marRight w:val="0"/>
          <w:marTop w:val="0"/>
          <w:marBottom w:val="0"/>
          <w:divBdr>
            <w:top w:val="none" w:sz="0" w:space="0" w:color="auto"/>
            <w:left w:val="none" w:sz="0" w:space="0" w:color="auto"/>
            <w:bottom w:val="none" w:sz="0" w:space="0" w:color="auto"/>
            <w:right w:val="none" w:sz="0" w:space="0" w:color="auto"/>
          </w:divBdr>
        </w:div>
        <w:div w:id="1823808487">
          <w:marLeft w:val="480"/>
          <w:marRight w:val="0"/>
          <w:marTop w:val="0"/>
          <w:marBottom w:val="0"/>
          <w:divBdr>
            <w:top w:val="none" w:sz="0" w:space="0" w:color="auto"/>
            <w:left w:val="none" w:sz="0" w:space="0" w:color="auto"/>
            <w:bottom w:val="none" w:sz="0" w:space="0" w:color="auto"/>
            <w:right w:val="none" w:sz="0" w:space="0" w:color="auto"/>
          </w:divBdr>
        </w:div>
        <w:div w:id="1878546438">
          <w:marLeft w:val="480"/>
          <w:marRight w:val="0"/>
          <w:marTop w:val="0"/>
          <w:marBottom w:val="0"/>
          <w:divBdr>
            <w:top w:val="none" w:sz="0" w:space="0" w:color="auto"/>
            <w:left w:val="none" w:sz="0" w:space="0" w:color="auto"/>
            <w:bottom w:val="none" w:sz="0" w:space="0" w:color="auto"/>
            <w:right w:val="none" w:sz="0" w:space="0" w:color="auto"/>
          </w:divBdr>
        </w:div>
        <w:div w:id="210846132">
          <w:marLeft w:val="480"/>
          <w:marRight w:val="0"/>
          <w:marTop w:val="0"/>
          <w:marBottom w:val="0"/>
          <w:divBdr>
            <w:top w:val="none" w:sz="0" w:space="0" w:color="auto"/>
            <w:left w:val="none" w:sz="0" w:space="0" w:color="auto"/>
            <w:bottom w:val="none" w:sz="0" w:space="0" w:color="auto"/>
            <w:right w:val="none" w:sz="0" w:space="0" w:color="auto"/>
          </w:divBdr>
        </w:div>
        <w:div w:id="969281735">
          <w:marLeft w:val="480"/>
          <w:marRight w:val="0"/>
          <w:marTop w:val="0"/>
          <w:marBottom w:val="0"/>
          <w:divBdr>
            <w:top w:val="none" w:sz="0" w:space="0" w:color="auto"/>
            <w:left w:val="none" w:sz="0" w:space="0" w:color="auto"/>
            <w:bottom w:val="none" w:sz="0" w:space="0" w:color="auto"/>
            <w:right w:val="none" w:sz="0" w:space="0" w:color="auto"/>
          </w:divBdr>
        </w:div>
        <w:div w:id="951400720">
          <w:marLeft w:val="480"/>
          <w:marRight w:val="0"/>
          <w:marTop w:val="0"/>
          <w:marBottom w:val="0"/>
          <w:divBdr>
            <w:top w:val="none" w:sz="0" w:space="0" w:color="auto"/>
            <w:left w:val="none" w:sz="0" w:space="0" w:color="auto"/>
            <w:bottom w:val="none" w:sz="0" w:space="0" w:color="auto"/>
            <w:right w:val="none" w:sz="0" w:space="0" w:color="auto"/>
          </w:divBdr>
        </w:div>
        <w:div w:id="998924743">
          <w:marLeft w:val="480"/>
          <w:marRight w:val="0"/>
          <w:marTop w:val="0"/>
          <w:marBottom w:val="0"/>
          <w:divBdr>
            <w:top w:val="none" w:sz="0" w:space="0" w:color="auto"/>
            <w:left w:val="none" w:sz="0" w:space="0" w:color="auto"/>
            <w:bottom w:val="none" w:sz="0" w:space="0" w:color="auto"/>
            <w:right w:val="none" w:sz="0" w:space="0" w:color="auto"/>
          </w:divBdr>
        </w:div>
        <w:div w:id="787818981">
          <w:marLeft w:val="480"/>
          <w:marRight w:val="0"/>
          <w:marTop w:val="0"/>
          <w:marBottom w:val="0"/>
          <w:divBdr>
            <w:top w:val="none" w:sz="0" w:space="0" w:color="auto"/>
            <w:left w:val="none" w:sz="0" w:space="0" w:color="auto"/>
            <w:bottom w:val="none" w:sz="0" w:space="0" w:color="auto"/>
            <w:right w:val="none" w:sz="0" w:space="0" w:color="auto"/>
          </w:divBdr>
        </w:div>
        <w:div w:id="1163400353">
          <w:marLeft w:val="480"/>
          <w:marRight w:val="0"/>
          <w:marTop w:val="0"/>
          <w:marBottom w:val="0"/>
          <w:divBdr>
            <w:top w:val="none" w:sz="0" w:space="0" w:color="auto"/>
            <w:left w:val="none" w:sz="0" w:space="0" w:color="auto"/>
            <w:bottom w:val="none" w:sz="0" w:space="0" w:color="auto"/>
            <w:right w:val="none" w:sz="0" w:space="0" w:color="auto"/>
          </w:divBdr>
        </w:div>
        <w:div w:id="1623417799">
          <w:marLeft w:val="480"/>
          <w:marRight w:val="0"/>
          <w:marTop w:val="0"/>
          <w:marBottom w:val="0"/>
          <w:divBdr>
            <w:top w:val="none" w:sz="0" w:space="0" w:color="auto"/>
            <w:left w:val="none" w:sz="0" w:space="0" w:color="auto"/>
            <w:bottom w:val="none" w:sz="0" w:space="0" w:color="auto"/>
            <w:right w:val="none" w:sz="0" w:space="0" w:color="auto"/>
          </w:divBdr>
        </w:div>
        <w:div w:id="1732002411">
          <w:marLeft w:val="480"/>
          <w:marRight w:val="0"/>
          <w:marTop w:val="0"/>
          <w:marBottom w:val="0"/>
          <w:divBdr>
            <w:top w:val="none" w:sz="0" w:space="0" w:color="auto"/>
            <w:left w:val="none" w:sz="0" w:space="0" w:color="auto"/>
            <w:bottom w:val="none" w:sz="0" w:space="0" w:color="auto"/>
            <w:right w:val="none" w:sz="0" w:space="0" w:color="auto"/>
          </w:divBdr>
        </w:div>
        <w:div w:id="380521406">
          <w:marLeft w:val="480"/>
          <w:marRight w:val="0"/>
          <w:marTop w:val="0"/>
          <w:marBottom w:val="0"/>
          <w:divBdr>
            <w:top w:val="none" w:sz="0" w:space="0" w:color="auto"/>
            <w:left w:val="none" w:sz="0" w:space="0" w:color="auto"/>
            <w:bottom w:val="none" w:sz="0" w:space="0" w:color="auto"/>
            <w:right w:val="none" w:sz="0" w:space="0" w:color="auto"/>
          </w:divBdr>
        </w:div>
        <w:div w:id="1517187997">
          <w:marLeft w:val="480"/>
          <w:marRight w:val="0"/>
          <w:marTop w:val="0"/>
          <w:marBottom w:val="0"/>
          <w:divBdr>
            <w:top w:val="none" w:sz="0" w:space="0" w:color="auto"/>
            <w:left w:val="none" w:sz="0" w:space="0" w:color="auto"/>
            <w:bottom w:val="none" w:sz="0" w:space="0" w:color="auto"/>
            <w:right w:val="none" w:sz="0" w:space="0" w:color="auto"/>
          </w:divBdr>
        </w:div>
        <w:div w:id="2018461452">
          <w:marLeft w:val="480"/>
          <w:marRight w:val="0"/>
          <w:marTop w:val="0"/>
          <w:marBottom w:val="0"/>
          <w:divBdr>
            <w:top w:val="none" w:sz="0" w:space="0" w:color="auto"/>
            <w:left w:val="none" w:sz="0" w:space="0" w:color="auto"/>
            <w:bottom w:val="none" w:sz="0" w:space="0" w:color="auto"/>
            <w:right w:val="none" w:sz="0" w:space="0" w:color="auto"/>
          </w:divBdr>
        </w:div>
        <w:div w:id="943269219">
          <w:marLeft w:val="480"/>
          <w:marRight w:val="0"/>
          <w:marTop w:val="0"/>
          <w:marBottom w:val="0"/>
          <w:divBdr>
            <w:top w:val="none" w:sz="0" w:space="0" w:color="auto"/>
            <w:left w:val="none" w:sz="0" w:space="0" w:color="auto"/>
            <w:bottom w:val="none" w:sz="0" w:space="0" w:color="auto"/>
            <w:right w:val="none" w:sz="0" w:space="0" w:color="auto"/>
          </w:divBdr>
        </w:div>
        <w:div w:id="1675840874">
          <w:marLeft w:val="480"/>
          <w:marRight w:val="0"/>
          <w:marTop w:val="0"/>
          <w:marBottom w:val="0"/>
          <w:divBdr>
            <w:top w:val="none" w:sz="0" w:space="0" w:color="auto"/>
            <w:left w:val="none" w:sz="0" w:space="0" w:color="auto"/>
            <w:bottom w:val="none" w:sz="0" w:space="0" w:color="auto"/>
            <w:right w:val="none" w:sz="0" w:space="0" w:color="auto"/>
          </w:divBdr>
        </w:div>
        <w:div w:id="1758163959">
          <w:marLeft w:val="480"/>
          <w:marRight w:val="0"/>
          <w:marTop w:val="0"/>
          <w:marBottom w:val="0"/>
          <w:divBdr>
            <w:top w:val="none" w:sz="0" w:space="0" w:color="auto"/>
            <w:left w:val="none" w:sz="0" w:space="0" w:color="auto"/>
            <w:bottom w:val="none" w:sz="0" w:space="0" w:color="auto"/>
            <w:right w:val="none" w:sz="0" w:space="0" w:color="auto"/>
          </w:divBdr>
        </w:div>
        <w:div w:id="1931548870">
          <w:marLeft w:val="480"/>
          <w:marRight w:val="0"/>
          <w:marTop w:val="0"/>
          <w:marBottom w:val="0"/>
          <w:divBdr>
            <w:top w:val="none" w:sz="0" w:space="0" w:color="auto"/>
            <w:left w:val="none" w:sz="0" w:space="0" w:color="auto"/>
            <w:bottom w:val="none" w:sz="0" w:space="0" w:color="auto"/>
            <w:right w:val="none" w:sz="0" w:space="0" w:color="auto"/>
          </w:divBdr>
        </w:div>
        <w:div w:id="1837376440">
          <w:marLeft w:val="480"/>
          <w:marRight w:val="0"/>
          <w:marTop w:val="0"/>
          <w:marBottom w:val="0"/>
          <w:divBdr>
            <w:top w:val="none" w:sz="0" w:space="0" w:color="auto"/>
            <w:left w:val="none" w:sz="0" w:space="0" w:color="auto"/>
            <w:bottom w:val="none" w:sz="0" w:space="0" w:color="auto"/>
            <w:right w:val="none" w:sz="0" w:space="0" w:color="auto"/>
          </w:divBdr>
        </w:div>
        <w:div w:id="1371681698">
          <w:marLeft w:val="480"/>
          <w:marRight w:val="0"/>
          <w:marTop w:val="0"/>
          <w:marBottom w:val="0"/>
          <w:divBdr>
            <w:top w:val="none" w:sz="0" w:space="0" w:color="auto"/>
            <w:left w:val="none" w:sz="0" w:space="0" w:color="auto"/>
            <w:bottom w:val="none" w:sz="0" w:space="0" w:color="auto"/>
            <w:right w:val="none" w:sz="0" w:space="0" w:color="auto"/>
          </w:divBdr>
        </w:div>
        <w:div w:id="1524634628">
          <w:marLeft w:val="480"/>
          <w:marRight w:val="0"/>
          <w:marTop w:val="0"/>
          <w:marBottom w:val="0"/>
          <w:divBdr>
            <w:top w:val="none" w:sz="0" w:space="0" w:color="auto"/>
            <w:left w:val="none" w:sz="0" w:space="0" w:color="auto"/>
            <w:bottom w:val="none" w:sz="0" w:space="0" w:color="auto"/>
            <w:right w:val="none" w:sz="0" w:space="0" w:color="auto"/>
          </w:divBdr>
        </w:div>
        <w:div w:id="1700547563">
          <w:marLeft w:val="480"/>
          <w:marRight w:val="0"/>
          <w:marTop w:val="0"/>
          <w:marBottom w:val="0"/>
          <w:divBdr>
            <w:top w:val="none" w:sz="0" w:space="0" w:color="auto"/>
            <w:left w:val="none" w:sz="0" w:space="0" w:color="auto"/>
            <w:bottom w:val="none" w:sz="0" w:space="0" w:color="auto"/>
            <w:right w:val="none" w:sz="0" w:space="0" w:color="auto"/>
          </w:divBdr>
        </w:div>
        <w:div w:id="463697941">
          <w:marLeft w:val="480"/>
          <w:marRight w:val="0"/>
          <w:marTop w:val="0"/>
          <w:marBottom w:val="0"/>
          <w:divBdr>
            <w:top w:val="none" w:sz="0" w:space="0" w:color="auto"/>
            <w:left w:val="none" w:sz="0" w:space="0" w:color="auto"/>
            <w:bottom w:val="none" w:sz="0" w:space="0" w:color="auto"/>
            <w:right w:val="none" w:sz="0" w:space="0" w:color="auto"/>
          </w:divBdr>
        </w:div>
        <w:div w:id="1750732193">
          <w:marLeft w:val="480"/>
          <w:marRight w:val="0"/>
          <w:marTop w:val="0"/>
          <w:marBottom w:val="0"/>
          <w:divBdr>
            <w:top w:val="none" w:sz="0" w:space="0" w:color="auto"/>
            <w:left w:val="none" w:sz="0" w:space="0" w:color="auto"/>
            <w:bottom w:val="none" w:sz="0" w:space="0" w:color="auto"/>
            <w:right w:val="none" w:sz="0" w:space="0" w:color="auto"/>
          </w:divBdr>
        </w:div>
        <w:div w:id="1540509633">
          <w:marLeft w:val="480"/>
          <w:marRight w:val="0"/>
          <w:marTop w:val="0"/>
          <w:marBottom w:val="0"/>
          <w:divBdr>
            <w:top w:val="none" w:sz="0" w:space="0" w:color="auto"/>
            <w:left w:val="none" w:sz="0" w:space="0" w:color="auto"/>
            <w:bottom w:val="none" w:sz="0" w:space="0" w:color="auto"/>
            <w:right w:val="none" w:sz="0" w:space="0" w:color="auto"/>
          </w:divBdr>
        </w:div>
        <w:div w:id="1164323887">
          <w:marLeft w:val="480"/>
          <w:marRight w:val="0"/>
          <w:marTop w:val="0"/>
          <w:marBottom w:val="0"/>
          <w:divBdr>
            <w:top w:val="none" w:sz="0" w:space="0" w:color="auto"/>
            <w:left w:val="none" w:sz="0" w:space="0" w:color="auto"/>
            <w:bottom w:val="none" w:sz="0" w:space="0" w:color="auto"/>
            <w:right w:val="none" w:sz="0" w:space="0" w:color="auto"/>
          </w:divBdr>
        </w:div>
        <w:div w:id="281227700">
          <w:marLeft w:val="480"/>
          <w:marRight w:val="0"/>
          <w:marTop w:val="0"/>
          <w:marBottom w:val="0"/>
          <w:divBdr>
            <w:top w:val="none" w:sz="0" w:space="0" w:color="auto"/>
            <w:left w:val="none" w:sz="0" w:space="0" w:color="auto"/>
            <w:bottom w:val="none" w:sz="0" w:space="0" w:color="auto"/>
            <w:right w:val="none" w:sz="0" w:space="0" w:color="auto"/>
          </w:divBdr>
        </w:div>
        <w:div w:id="1741292379">
          <w:marLeft w:val="480"/>
          <w:marRight w:val="0"/>
          <w:marTop w:val="0"/>
          <w:marBottom w:val="0"/>
          <w:divBdr>
            <w:top w:val="none" w:sz="0" w:space="0" w:color="auto"/>
            <w:left w:val="none" w:sz="0" w:space="0" w:color="auto"/>
            <w:bottom w:val="none" w:sz="0" w:space="0" w:color="auto"/>
            <w:right w:val="none" w:sz="0" w:space="0" w:color="auto"/>
          </w:divBdr>
        </w:div>
        <w:div w:id="932082792">
          <w:marLeft w:val="480"/>
          <w:marRight w:val="0"/>
          <w:marTop w:val="0"/>
          <w:marBottom w:val="0"/>
          <w:divBdr>
            <w:top w:val="none" w:sz="0" w:space="0" w:color="auto"/>
            <w:left w:val="none" w:sz="0" w:space="0" w:color="auto"/>
            <w:bottom w:val="none" w:sz="0" w:space="0" w:color="auto"/>
            <w:right w:val="none" w:sz="0" w:space="0" w:color="auto"/>
          </w:divBdr>
        </w:div>
        <w:div w:id="1483696661">
          <w:marLeft w:val="480"/>
          <w:marRight w:val="0"/>
          <w:marTop w:val="0"/>
          <w:marBottom w:val="0"/>
          <w:divBdr>
            <w:top w:val="none" w:sz="0" w:space="0" w:color="auto"/>
            <w:left w:val="none" w:sz="0" w:space="0" w:color="auto"/>
            <w:bottom w:val="none" w:sz="0" w:space="0" w:color="auto"/>
            <w:right w:val="none" w:sz="0" w:space="0" w:color="auto"/>
          </w:divBdr>
        </w:div>
        <w:div w:id="1278828939">
          <w:marLeft w:val="480"/>
          <w:marRight w:val="0"/>
          <w:marTop w:val="0"/>
          <w:marBottom w:val="0"/>
          <w:divBdr>
            <w:top w:val="none" w:sz="0" w:space="0" w:color="auto"/>
            <w:left w:val="none" w:sz="0" w:space="0" w:color="auto"/>
            <w:bottom w:val="none" w:sz="0" w:space="0" w:color="auto"/>
            <w:right w:val="none" w:sz="0" w:space="0" w:color="auto"/>
          </w:divBdr>
        </w:div>
        <w:div w:id="1198588990">
          <w:marLeft w:val="480"/>
          <w:marRight w:val="0"/>
          <w:marTop w:val="0"/>
          <w:marBottom w:val="0"/>
          <w:divBdr>
            <w:top w:val="none" w:sz="0" w:space="0" w:color="auto"/>
            <w:left w:val="none" w:sz="0" w:space="0" w:color="auto"/>
            <w:bottom w:val="none" w:sz="0" w:space="0" w:color="auto"/>
            <w:right w:val="none" w:sz="0" w:space="0" w:color="auto"/>
          </w:divBdr>
        </w:div>
        <w:div w:id="1431469849">
          <w:marLeft w:val="480"/>
          <w:marRight w:val="0"/>
          <w:marTop w:val="0"/>
          <w:marBottom w:val="0"/>
          <w:divBdr>
            <w:top w:val="none" w:sz="0" w:space="0" w:color="auto"/>
            <w:left w:val="none" w:sz="0" w:space="0" w:color="auto"/>
            <w:bottom w:val="none" w:sz="0" w:space="0" w:color="auto"/>
            <w:right w:val="none" w:sz="0" w:space="0" w:color="auto"/>
          </w:divBdr>
        </w:div>
        <w:div w:id="126121942">
          <w:marLeft w:val="480"/>
          <w:marRight w:val="0"/>
          <w:marTop w:val="0"/>
          <w:marBottom w:val="0"/>
          <w:divBdr>
            <w:top w:val="none" w:sz="0" w:space="0" w:color="auto"/>
            <w:left w:val="none" w:sz="0" w:space="0" w:color="auto"/>
            <w:bottom w:val="none" w:sz="0" w:space="0" w:color="auto"/>
            <w:right w:val="none" w:sz="0" w:space="0" w:color="auto"/>
          </w:divBdr>
        </w:div>
        <w:div w:id="140849628">
          <w:marLeft w:val="480"/>
          <w:marRight w:val="0"/>
          <w:marTop w:val="0"/>
          <w:marBottom w:val="0"/>
          <w:divBdr>
            <w:top w:val="none" w:sz="0" w:space="0" w:color="auto"/>
            <w:left w:val="none" w:sz="0" w:space="0" w:color="auto"/>
            <w:bottom w:val="none" w:sz="0" w:space="0" w:color="auto"/>
            <w:right w:val="none" w:sz="0" w:space="0" w:color="auto"/>
          </w:divBdr>
        </w:div>
        <w:div w:id="1633485278">
          <w:marLeft w:val="480"/>
          <w:marRight w:val="0"/>
          <w:marTop w:val="0"/>
          <w:marBottom w:val="0"/>
          <w:divBdr>
            <w:top w:val="none" w:sz="0" w:space="0" w:color="auto"/>
            <w:left w:val="none" w:sz="0" w:space="0" w:color="auto"/>
            <w:bottom w:val="none" w:sz="0" w:space="0" w:color="auto"/>
            <w:right w:val="none" w:sz="0" w:space="0" w:color="auto"/>
          </w:divBdr>
        </w:div>
        <w:div w:id="485972553">
          <w:marLeft w:val="480"/>
          <w:marRight w:val="0"/>
          <w:marTop w:val="0"/>
          <w:marBottom w:val="0"/>
          <w:divBdr>
            <w:top w:val="none" w:sz="0" w:space="0" w:color="auto"/>
            <w:left w:val="none" w:sz="0" w:space="0" w:color="auto"/>
            <w:bottom w:val="none" w:sz="0" w:space="0" w:color="auto"/>
            <w:right w:val="none" w:sz="0" w:space="0" w:color="auto"/>
          </w:divBdr>
        </w:div>
        <w:div w:id="1210728008">
          <w:marLeft w:val="480"/>
          <w:marRight w:val="0"/>
          <w:marTop w:val="0"/>
          <w:marBottom w:val="0"/>
          <w:divBdr>
            <w:top w:val="none" w:sz="0" w:space="0" w:color="auto"/>
            <w:left w:val="none" w:sz="0" w:space="0" w:color="auto"/>
            <w:bottom w:val="none" w:sz="0" w:space="0" w:color="auto"/>
            <w:right w:val="none" w:sz="0" w:space="0" w:color="auto"/>
          </w:divBdr>
        </w:div>
        <w:div w:id="1994988986">
          <w:marLeft w:val="480"/>
          <w:marRight w:val="0"/>
          <w:marTop w:val="0"/>
          <w:marBottom w:val="0"/>
          <w:divBdr>
            <w:top w:val="none" w:sz="0" w:space="0" w:color="auto"/>
            <w:left w:val="none" w:sz="0" w:space="0" w:color="auto"/>
            <w:bottom w:val="none" w:sz="0" w:space="0" w:color="auto"/>
            <w:right w:val="none" w:sz="0" w:space="0" w:color="auto"/>
          </w:divBdr>
        </w:div>
        <w:div w:id="1834951799">
          <w:marLeft w:val="480"/>
          <w:marRight w:val="0"/>
          <w:marTop w:val="0"/>
          <w:marBottom w:val="0"/>
          <w:divBdr>
            <w:top w:val="none" w:sz="0" w:space="0" w:color="auto"/>
            <w:left w:val="none" w:sz="0" w:space="0" w:color="auto"/>
            <w:bottom w:val="none" w:sz="0" w:space="0" w:color="auto"/>
            <w:right w:val="none" w:sz="0" w:space="0" w:color="auto"/>
          </w:divBdr>
        </w:div>
        <w:div w:id="1927767287">
          <w:marLeft w:val="480"/>
          <w:marRight w:val="0"/>
          <w:marTop w:val="0"/>
          <w:marBottom w:val="0"/>
          <w:divBdr>
            <w:top w:val="none" w:sz="0" w:space="0" w:color="auto"/>
            <w:left w:val="none" w:sz="0" w:space="0" w:color="auto"/>
            <w:bottom w:val="none" w:sz="0" w:space="0" w:color="auto"/>
            <w:right w:val="none" w:sz="0" w:space="0" w:color="auto"/>
          </w:divBdr>
        </w:div>
        <w:div w:id="1987935386">
          <w:marLeft w:val="480"/>
          <w:marRight w:val="0"/>
          <w:marTop w:val="0"/>
          <w:marBottom w:val="0"/>
          <w:divBdr>
            <w:top w:val="none" w:sz="0" w:space="0" w:color="auto"/>
            <w:left w:val="none" w:sz="0" w:space="0" w:color="auto"/>
            <w:bottom w:val="none" w:sz="0" w:space="0" w:color="auto"/>
            <w:right w:val="none" w:sz="0" w:space="0" w:color="auto"/>
          </w:divBdr>
        </w:div>
        <w:div w:id="1245646680">
          <w:marLeft w:val="480"/>
          <w:marRight w:val="0"/>
          <w:marTop w:val="0"/>
          <w:marBottom w:val="0"/>
          <w:divBdr>
            <w:top w:val="none" w:sz="0" w:space="0" w:color="auto"/>
            <w:left w:val="none" w:sz="0" w:space="0" w:color="auto"/>
            <w:bottom w:val="none" w:sz="0" w:space="0" w:color="auto"/>
            <w:right w:val="none" w:sz="0" w:space="0" w:color="auto"/>
          </w:divBdr>
        </w:div>
        <w:div w:id="605774791">
          <w:marLeft w:val="480"/>
          <w:marRight w:val="0"/>
          <w:marTop w:val="0"/>
          <w:marBottom w:val="0"/>
          <w:divBdr>
            <w:top w:val="none" w:sz="0" w:space="0" w:color="auto"/>
            <w:left w:val="none" w:sz="0" w:space="0" w:color="auto"/>
            <w:bottom w:val="none" w:sz="0" w:space="0" w:color="auto"/>
            <w:right w:val="none" w:sz="0" w:space="0" w:color="auto"/>
          </w:divBdr>
        </w:div>
        <w:div w:id="2101636099">
          <w:marLeft w:val="480"/>
          <w:marRight w:val="0"/>
          <w:marTop w:val="0"/>
          <w:marBottom w:val="0"/>
          <w:divBdr>
            <w:top w:val="none" w:sz="0" w:space="0" w:color="auto"/>
            <w:left w:val="none" w:sz="0" w:space="0" w:color="auto"/>
            <w:bottom w:val="none" w:sz="0" w:space="0" w:color="auto"/>
            <w:right w:val="none" w:sz="0" w:space="0" w:color="auto"/>
          </w:divBdr>
        </w:div>
        <w:div w:id="1663193862">
          <w:marLeft w:val="480"/>
          <w:marRight w:val="0"/>
          <w:marTop w:val="0"/>
          <w:marBottom w:val="0"/>
          <w:divBdr>
            <w:top w:val="none" w:sz="0" w:space="0" w:color="auto"/>
            <w:left w:val="none" w:sz="0" w:space="0" w:color="auto"/>
            <w:bottom w:val="none" w:sz="0" w:space="0" w:color="auto"/>
            <w:right w:val="none" w:sz="0" w:space="0" w:color="auto"/>
          </w:divBdr>
        </w:div>
        <w:div w:id="589700948">
          <w:marLeft w:val="480"/>
          <w:marRight w:val="0"/>
          <w:marTop w:val="0"/>
          <w:marBottom w:val="0"/>
          <w:divBdr>
            <w:top w:val="none" w:sz="0" w:space="0" w:color="auto"/>
            <w:left w:val="none" w:sz="0" w:space="0" w:color="auto"/>
            <w:bottom w:val="none" w:sz="0" w:space="0" w:color="auto"/>
            <w:right w:val="none" w:sz="0" w:space="0" w:color="auto"/>
          </w:divBdr>
        </w:div>
        <w:div w:id="1969555365">
          <w:marLeft w:val="480"/>
          <w:marRight w:val="0"/>
          <w:marTop w:val="0"/>
          <w:marBottom w:val="0"/>
          <w:divBdr>
            <w:top w:val="none" w:sz="0" w:space="0" w:color="auto"/>
            <w:left w:val="none" w:sz="0" w:space="0" w:color="auto"/>
            <w:bottom w:val="none" w:sz="0" w:space="0" w:color="auto"/>
            <w:right w:val="none" w:sz="0" w:space="0" w:color="auto"/>
          </w:divBdr>
        </w:div>
        <w:div w:id="1158031443">
          <w:marLeft w:val="480"/>
          <w:marRight w:val="0"/>
          <w:marTop w:val="0"/>
          <w:marBottom w:val="0"/>
          <w:divBdr>
            <w:top w:val="none" w:sz="0" w:space="0" w:color="auto"/>
            <w:left w:val="none" w:sz="0" w:space="0" w:color="auto"/>
            <w:bottom w:val="none" w:sz="0" w:space="0" w:color="auto"/>
            <w:right w:val="none" w:sz="0" w:space="0" w:color="auto"/>
          </w:divBdr>
        </w:div>
        <w:div w:id="2077392432">
          <w:marLeft w:val="480"/>
          <w:marRight w:val="0"/>
          <w:marTop w:val="0"/>
          <w:marBottom w:val="0"/>
          <w:divBdr>
            <w:top w:val="none" w:sz="0" w:space="0" w:color="auto"/>
            <w:left w:val="none" w:sz="0" w:space="0" w:color="auto"/>
            <w:bottom w:val="none" w:sz="0" w:space="0" w:color="auto"/>
            <w:right w:val="none" w:sz="0" w:space="0" w:color="auto"/>
          </w:divBdr>
        </w:div>
        <w:div w:id="939679602">
          <w:marLeft w:val="480"/>
          <w:marRight w:val="0"/>
          <w:marTop w:val="0"/>
          <w:marBottom w:val="0"/>
          <w:divBdr>
            <w:top w:val="none" w:sz="0" w:space="0" w:color="auto"/>
            <w:left w:val="none" w:sz="0" w:space="0" w:color="auto"/>
            <w:bottom w:val="none" w:sz="0" w:space="0" w:color="auto"/>
            <w:right w:val="none" w:sz="0" w:space="0" w:color="auto"/>
          </w:divBdr>
        </w:div>
        <w:div w:id="865630984">
          <w:marLeft w:val="480"/>
          <w:marRight w:val="0"/>
          <w:marTop w:val="0"/>
          <w:marBottom w:val="0"/>
          <w:divBdr>
            <w:top w:val="none" w:sz="0" w:space="0" w:color="auto"/>
            <w:left w:val="none" w:sz="0" w:space="0" w:color="auto"/>
            <w:bottom w:val="none" w:sz="0" w:space="0" w:color="auto"/>
            <w:right w:val="none" w:sz="0" w:space="0" w:color="auto"/>
          </w:divBdr>
        </w:div>
        <w:div w:id="2084065346">
          <w:marLeft w:val="480"/>
          <w:marRight w:val="0"/>
          <w:marTop w:val="0"/>
          <w:marBottom w:val="0"/>
          <w:divBdr>
            <w:top w:val="none" w:sz="0" w:space="0" w:color="auto"/>
            <w:left w:val="none" w:sz="0" w:space="0" w:color="auto"/>
            <w:bottom w:val="none" w:sz="0" w:space="0" w:color="auto"/>
            <w:right w:val="none" w:sz="0" w:space="0" w:color="auto"/>
          </w:divBdr>
        </w:div>
        <w:div w:id="639965930">
          <w:marLeft w:val="480"/>
          <w:marRight w:val="0"/>
          <w:marTop w:val="0"/>
          <w:marBottom w:val="0"/>
          <w:divBdr>
            <w:top w:val="none" w:sz="0" w:space="0" w:color="auto"/>
            <w:left w:val="none" w:sz="0" w:space="0" w:color="auto"/>
            <w:bottom w:val="none" w:sz="0" w:space="0" w:color="auto"/>
            <w:right w:val="none" w:sz="0" w:space="0" w:color="auto"/>
          </w:divBdr>
        </w:div>
        <w:div w:id="468210322">
          <w:marLeft w:val="480"/>
          <w:marRight w:val="0"/>
          <w:marTop w:val="0"/>
          <w:marBottom w:val="0"/>
          <w:divBdr>
            <w:top w:val="none" w:sz="0" w:space="0" w:color="auto"/>
            <w:left w:val="none" w:sz="0" w:space="0" w:color="auto"/>
            <w:bottom w:val="none" w:sz="0" w:space="0" w:color="auto"/>
            <w:right w:val="none" w:sz="0" w:space="0" w:color="auto"/>
          </w:divBdr>
        </w:div>
        <w:div w:id="1340543453">
          <w:marLeft w:val="480"/>
          <w:marRight w:val="0"/>
          <w:marTop w:val="0"/>
          <w:marBottom w:val="0"/>
          <w:divBdr>
            <w:top w:val="none" w:sz="0" w:space="0" w:color="auto"/>
            <w:left w:val="none" w:sz="0" w:space="0" w:color="auto"/>
            <w:bottom w:val="none" w:sz="0" w:space="0" w:color="auto"/>
            <w:right w:val="none" w:sz="0" w:space="0" w:color="auto"/>
          </w:divBdr>
        </w:div>
        <w:div w:id="1207059906">
          <w:marLeft w:val="480"/>
          <w:marRight w:val="0"/>
          <w:marTop w:val="0"/>
          <w:marBottom w:val="0"/>
          <w:divBdr>
            <w:top w:val="none" w:sz="0" w:space="0" w:color="auto"/>
            <w:left w:val="none" w:sz="0" w:space="0" w:color="auto"/>
            <w:bottom w:val="none" w:sz="0" w:space="0" w:color="auto"/>
            <w:right w:val="none" w:sz="0" w:space="0" w:color="auto"/>
          </w:divBdr>
        </w:div>
        <w:div w:id="1278099183">
          <w:marLeft w:val="480"/>
          <w:marRight w:val="0"/>
          <w:marTop w:val="0"/>
          <w:marBottom w:val="0"/>
          <w:divBdr>
            <w:top w:val="none" w:sz="0" w:space="0" w:color="auto"/>
            <w:left w:val="none" w:sz="0" w:space="0" w:color="auto"/>
            <w:bottom w:val="none" w:sz="0" w:space="0" w:color="auto"/>
            <w:right w:val="none" w:sz="0" w:space="0" w:color="auto"/>
          </w:divBdr>
        </w:div>
        <w:div w:id="2024240635">
          <w:marLeft w:val="480"/>
          <w:marRight w:val="0"/>
          <w:marTop w:val="0"/>
          <w:marBottom w:val="0"/>
          <w:divBdr>
            <w:top w:val="none" w:sz="0" w:space="0" w:color="auto"/>
            <w:left w:val="none" w:sz="0" w:space="0" w:color="auto"/>
            <w:bottom w:val="none" w:sz="0" w:space="0" w:color="auto"/>
            <w:right w:val="none" w:sz="0" w:space="0" w:color="auto"/>
          </w:divBdr>
        </w:div>
        <w:div w:id="1313952311">
          <w:marLeft w:val="480"/>
          <w:marRight w:val="0"/>
          <w:marTop w:val="0"/>
          <w:marBottom w:val="0"/>
          <w:divBdr>
            <w:top w:val="none" w:sz="0" w:space="0" w:color="auto"/>
            <w:left w:val="none" w:sz="0" w:space="0" w:color="auto"/>
            <w:bottom w:val="none" w:sz="0" w:space="0" w:color="auto"/>
            <w:right w:val="none" w:sz="0" w:space="0" w:color="auto"/>
          </w:divBdr>
        </w:div>
        <w:div w:id="998769810">
          <w:marLeft w:val="480"/>
          <w:marRight w:val="0"/>
          <w:marTop w:val="0"/>
          <w:marBottom w:val="0"/>
          <w:divBdr>
            <w:top w:val="none" w:sz="0" w:space="0" w:color="auto"/>
            <w:left w:val="none" w:sz="0" w:space="0" w:color="auto"/>
            <w:bottom w:val="none" w:sz="0" w:space="0" w:color="auto"/>
            <w:right w:val="none" w:sz="0" w:space="0" w:color="auto"/>
          </w:divBdr>
        </w:div>
        <w:div w:id="1343432111">
          <w:marLeft w:val="480"/>
          <w:marRight w:val="0"/>
          <w:marTop w:val="0"/>
          <w:marBottom w:val="0"/>
          <w:divBdr>
            <w:top w:val="none" w:sz="0" w:space="0" w:color="auto"/>
            <w:left w:val="none" w:sz="0" w:space="0" w:color="auto"/>
            <w:bottom w:val="none" w:sz="0" w:space="0" w:color="auto"/>
            <w:right w:val="none" w:sz="0" w:space="0" w:color="auto"/>
          </w:divBdr>
        </w:div>
        <w:div w:id="1314721994">
          <w:marLeft w:val="480"/>
          <w:marRight w:val="0"/>
          <w:marTop w:val="0"/>
          <w:marBottom w:val="0"/>
          <w:divBdr>
            <w:top w:val="none" w:sz="0" w:space="0" w:color="auto"/>
            <w:left w:val="none" w:sz="0" w:space="0" w:color="auto"/>
            <w:bottom w:val="none" w:sz="0" w:space="0" w:color="auto"/>
            <w:right w:val="none" w:sz="0" w:space="0" w:color="auto"/>
          </w:divBdr>
        </w:div>
        <w:div w:id="831142998">
          <w:marLeft w:val="480"/>
          <w:marRight w:val="0"/>
          <w:marTop w:val="0"/>
          <w:marBottom w:val="0"/>
          <w:divBdr>
            <w:top w:val="none" w:sz="0" w:space="0" w:color="auto"/>
            <w:left w:val="none" w:sz="0" w:space="0" w:color="auto"/>
            <w:bottom w:val="none" w:sz="0" w:space="0" w:color="auto"/>
            <w:right w:val="none" w:sz="0" w:space="0" w:color="auto"/>
          </w:divBdr>
        </w:div>
        <w:div w:id="1127159178">
          <w:marLeft w:val="480"/>
          <w:marRight w:val="0"/>
          <w:marTop w:val="0"/>
          <w:marBottom w:val="0"/>
          <w:divBdr>
            <w:top w:val="none" w:sz="0" w:space="0" w:color="auto"/>
            <w:left w:val="none" w:sz="0" w:space="0" w:color="auto"/>
            <w:bottom w:val="none" w:sz="0" w:space="0" w:color="auto"/>
            <w:right w:val="none" w:sz="0" w:space="0" w:color="auto"/>
          </w:divBdr>
        </w:div>
        <w:div w:id="1749843792">
          <w:marLeft w:val="480"/>
          <w:marRight w:val="0"/>
          <w:marTop w:val="0"/>
          <w:marBottom w:val="0"/>
          <w:divBdr>
            <w:top w:val="none" w:sz="0" w:space="0" w:color="auto"/>
            <w:left w:val="none" w:sz="0" w:space="0" w:color="auto"/>
            <w:bottom w:val="none" w:sz="0" w:space="0" w:color="auto"/>
            <w:right w:val="none" w:sz="0" w:space="0" w:color="auto"/>
          </w:divBdr>
        </w:div>
      </w:divsChild>
    </w:div>
    <w:div w:id="1376156378">
      <w:bodyDiv w:val="1"/>
      <w:marLeft w:val="0"/>
      <w:marRight w:val="0"/>
      <w:marTop w:val="0"/>
      <w:marBottom w:val="0"/>
      <w:divBdr>
        <w:top w:val="none" w:sz="0" w:space="0" w:color="auto"/>
        <w:left w:val="none" w:sz="0" w:space="0" w:color="auto"/>
        <w:bottom w:val="none" w:sz="0" w:space="0" w:color="auto"/>
        <w:right w:val="none" w:sz="0" w:space="0" w:color="auto"/>
      </w:divBdr>
    </w:div>
    <w:div w:id="1393502222">
      <w:bodyDiv w:val="1"/>
      <w:marLeft w:val="0"/>
      <w:marRight w:val="0"/>
      <w:marTop w:val="0"/>
      <w:marBottom w:val="0"/>
      <w:divBdr>
        <w:top w:val="none" w:sz="0" w:space="0" w:color="auto"/>
        <w:left w:val="none" w:sz="0" w:space="0" w:color="auto"/>
        <w:bottom w:val="none" w:sz="0" w:space="0" w:color="auto"/>
        <w:right w:val="none" w:sz="0" w:space="0" w:color="auto"/>
      </w:divBdr>
    </w:div>
    <w:div w:id="1394502785">
      <w:bodyDiv w:val="1"/>
      <w:marLeft w:val="0"/>
      <w:marRight w:val="0"/>
      <w:marTop w:val="0"/>
      <w:marBottom w:val="0"/>
      <w:divBdr>
        <w:top w:val="none" w:sz="0" w:space="0" w:color="auto"/>
        <w:left w:val="none" w:sz="0" w:space="0" w:color="auto"/>
        <w:bottom w:val="none" w:sz="0" w:space="0" w:color="auto"/>
        <w:right w:val="none" w:sz="0" w:space="0" w:color="auto"/>
      </w:divBdr>
    </w:div>
    <w:div w:id="1395279013">
      <w:bodyDiv w:val="1"/>
      <w:marLeft w:val="0"/>
      <w:marRight w:val="0"/>
      <w:marTop w:val="0"/>
      <w:marBottom w:val="0"/>
      <w:divBdr>
        <w:top w:val="none" w:sz="0" w:space="0" w:color="auto"/>
        <w:left w:val="none" w:sz="0" w:space="0" w:color="auto"/>
        <w:bottom w:val="none" w:sz="0" w:space="0" w:color="auto"/>
        <w:right w:val="none" w:sz="0" w:space="0" w:color="auto"/>
      </w:divBdr>
    </w:div>
    <w:div w:id="1400245568">
      <w:bodyDiv w:val="1"/>
      <w:marLeft w:val="0"/>
      <w:marRight w:val="0"/>
      <w:marTop w:val="0"/>
      <w:marBottom w:val="0"/>
      <w:divBdr>
        <w:top w:val="none" w:sz="0" w:space="0" w:color="auto"/>
        <w:left w:val="none" w:sz="0" w:space="0" w:color="auto"/>
        <w:bottom w:val="none" w:sz="0" w:space="0" w:color="auto"/>
        <w:right w:val="none" w:sz="0" w:space="0" w:color="auto"/>
      </w:divBdr>
    </w:div>
    <w:div w:id="1400404344">
      <w:bodyDiv w:val="1"/>
      <w:marLeft w:val="0"/>
      <w:marRight w:val="0"/>
      <w:marTop w:val="0"/>
      <w:marBottom w:val="0"/>
      <w:divBdr>
        <w:top w:val="none" w:sz="0" w:space="0" w:color="auto"/>
        <w:left w:val="none" w:sz="0" w:space="0" w:color="auto"/>
        <w:bottom w:val="none" w:sz="0" w:space="0" w:color="auto"/>
        <w:right w:val="none" w:sz="0" w:space="0" w:color="auto"/>
      </w:divBdr>
    </w:div>
    <w:div w:id="1406491598">
      <w:bodyDiv w:val="1"/>
      <w:marLeft w:val="0"/>
      <w:marRight w:val="0"/>
      <w:marTop w:val="0"/>
      <w:marBottom w:val="0"/>
      <w:divBdr>
        <w:top w:val="none" w:sz="0" w:space="0" w:color="auto"/>
        <w:left w:val="none" w:sz="0" w:space="0" w:color="auto"/>
        <w:bottom w:val="none" w:sz="0" w:space="0" w:color="auto"/>
        <w:right w:val="none" w:sz="0" w:space="0" w:color="auto"/>
      </w:divBdr>
    </w:div>
    <w:div w:id="1406879074">
      <w:bodyDiv w:val="1"/>
      <w:marLeft w:val="0"/>
      <w:marRight w:val="0"/>
      <w:marTop w:val="0"/>
      <w:marBottom w:val="0"/>
      <w:divBdr>
        <w:top w:val="none" w:sz="0" w:space="0" w:color="auto"/>
        <w:left w:val="none" w:sz="0" w:space="0" w:color="auto"/>
        <w:bottom w:val="none" w:sz="0" w:space="0" w:color="auto"/>
        <w:right w:val="none" w:sz="0" w:space="0" w:color="auto"/>
      </w:divBdr>
    </w:div>
    <w:div w:id="1409234129">
      <w:bodyDiv w:val="1"/>
      <w:marLeft w:val="0"/>
      <w:marRight w:val="0"/>
      <w:marTop w:val="0"/>
      <w:marBottom w:val="0"/>
      <w:divBdr>
        <w:top w:val="none" w:sz="0" w:space="0" w:color="auto"/>
        <w:left w:val="none" w:sz="0" w:space="0" w:color="auto"/>
        <w:bottom w:val="none" w:sz="0" w:space="0" w:color="auto"/>
        <w:right w:val="none" w:sz="0" w:space="0" w:color="auto"/>
      </w:divBdr>
    </w:div>
    <w:div w:id="1411200169">
      <w:bodyDiv w:val="1"/>
      <w:marLeft w:val="0"/>
      <w:marRight w:val="0"/>
      <w:marTop w:val="0"/>
      <w:marBottom w:val="0"/>
      <w:divBdr>
        <w:top w:val="none" w:sz="0" w:space="0" w:color="auto"/>
        <w:left w:val="none" w:sz="0" w:space="0" w:color="auto"/>
        <w:bottom w:val="none" w:sz="0" w:space="0" w:color="auto"/>
        <w:right w:val="none" w:sz="0" w:space="0" w:color="auto"/>
      </w:divBdr>
    </w:div>
    <w:div w:id="1412897749">
      <w:bodyDiv w:val="1"/>
      <w:marLeft w:val="0"/>
      <w:marRight w:val="0"/>
      <w:marTop w:val="0"/>
      <w:marBottom w:val="0"/>
      <w:divBdr>
        <w:top w:val="none" w:sz="0" w:space="0" w:color="auto"/>
        <w:left w:val="none" w:sz="0" w:space="0" w:color="auto"/>
        <w:bottom w:val="none" w:sz="0" w:space="0" w:color="auto"/>
        <w:right w:val="none" w:sz="0" w:space="0" w:color="auto"/>
      </w:divBdr>
    </w:div>
    <w:div w:id="1413700183">
      <w:bodyDiv w:val="1"/>
      <w:marLeft w:val="0"/>
      <w:marRight w:val="0"/>
      <w:marTop w:val="0"/>
      <w:marBottom w:val="0"/>
      <w:divBdr>
        <w:top w:val="none" w:sz="0" w:space="0" w:color="auto"/>
        <w:left w:val="none" w:sz="0" w:space="0" w:color="auto"/>
        <w:bottom w:val="none" w:sz="0" w:space="0" w:color="auto"/>
        <w:right w:val="none" w:sz="0" w:space="0" w:color="auto"/>
      </w:divBdr>
    </w:div>
    <w:div w:id="1414086261">
      <w:bodyDiv w:val="1"/>
      <w:marLeft w:val="0"/>
      <w:marRight w:val="0"/>
      <w:marTop w:val="0"/>
      <w:marBottom w:val="0"/>
      <w:divBdr>
        <w:top w:val="none" w:sz="0" w:space="0" w:color="auto"/>
        <w:left w:val="none" w:sz="0" w:space="0" w:color="auto"/>
        <w:bottom w:val="none" w:sz="0" w:space="0" w:color="auto"/>
        <w:right w:val="none" w:sz="0" w:space="0" w:color="auto"/>
      </w:divBdr>
    </w:div>
    <w:div w:id="1414663580">
      <w:bodyDiv w:val="1"/>
      <w:marLeft w:val="0"/>
      <w:marRight w:val="0"/>
      <w:marTop w:val="0"/>
      <w:marBottom w:val="0"/>
      <w:divBdr>
        <w:top w:val="none" w:sz="0" w:space="0" w:color="auto"/>
        <w:left w:val="none" w:sz="0" w:space="0" w:color="auto"/>
        <w:bottom w:val="none" w:sz="0" w:space="0" w:color="auto"/>
        <w:right w:val="none" w:sz="0" w:space="0" w:color="auto"/>
      </w:divBdr>
    </w:div>
    <w:div w:id="1421560193">
      <w:bodyDiv w:val="1"/>
      <w:marLeft w:val="0"/>
      <w:marRight w:val="0"/>
      <w:marTop w:val="0"/>
      <w:marBottom w:val="0"/>
      <w:divBdr>
        <w:top w:val="none" w:sz="0" w:space="0" w:color="auto"/>
        <w:left w:val="none" w:sz="0" w:space="0" w:color="auto"/>
        <w:bottom w:val="none" w:sz="0" w:space="0" w:color="auto"/>
        <w:right w:val="none" w:sz="0" w:space="0" w:color="auto"/>
      </w:divBdr>
    </w:div>
    <w:div w:id="1422335777">
      <w:bodyDiv w:val="1"/>
      <w:marLeft w:val="0"/>
      <w:marRight w:val="0"/>
      <w:marTop w:val="0"/>
      <w:marBottom w:val="0"/>
      <w:divBdr>
        <w:top w:val="none" w:sz="0" w:space="0" w:color="auto"/>
        <w:left w:val="none" w:sz="0" w:space="0" w:color="auto"/>
        <w:bottom w:val="none" w:sz="0" w:space="0" w:color="auto"/>
        <w:right w:val="none" w:sz="0" w:space="0" w:color="auto"/>
      </w:divBdr>
    </w:div>
    <w:div w:id="1426657682">
      <w:bodyDiv w:val="1"/>
      <w:marLeft w:val="0"/>
      <w:marRight w:val="0"/>
      <w:marTop w:val="0"/>
      <w:marBottom w:val="0"/>
      <w:divBdr>
        <w:top w:val="none" w:sz="0" w:space="0" w:color="auto"/>
        <w:left w:val="none" w:sz="0" w:space="0" w:color="auto"/>
        <w:bottom w:val="none" w:sz="0" w:space="0" w:color="auto"/>
        <w:right w:val="none" w:sz="0" w:space="0" w:color="auto"/>
      </w:divBdr>
    </w:div>
    <w:div w:id="1427313569">
      <w:bodyDiv w:val="1"/>
      <w:marLeft w:val="0"/>
      <w:marRight w:val="0"/>
      <w:marTop w:val="0"/>
      <w:marBottom w:val="0"/>
      <w:divBdr>
        <w:top w:val="none" w:sz="0" w:space="0" w:color="auto"/>
        <w:left w:val="none" w:sz="0" w:space="0" w:color="auto"/>
        <w:bottom w:val="none" w:sz="0" w:space="0" w:color="auto"/>
        <w:right w:val="none" w:sz="0" w:space="0" w:color="auto"/>
      </w:divBdr>
    </w:div>
    <w:div w:id="1432507142">
      <w:bodyDiv w:val="1"/>
      <w:marLeft w:val="0"/>
      <w:marRight w:val="0"/>
      <w:marTop w:val="0"/>
      <w:marBottom w:val="0"/>
      <w:divBdr>
        <w:top w:val="none" w:sz="0" w:space="0" w:color="auto"/>
        <w:left w:val="none" w:sz="0" w:space="0" w:color="auto"/>
        <w:bottom w:val="none" w:sz="0" w:space="0" w:color="auto"/>
        <w:right w:val="none" w:sz="0" w:space="0" w:color="auto"/>
      </w:divBdr>
    </w:div>
    <w:div w:id="1432892314">
      <w:bodyDiv w:val="1"/>
      <w:marLeft w:val="0"/>
      <w:marRight w:val="0"/>
      <w:marTop w:val="0"/>
      <w:marBottom w:val="0"/>
      <w:divBdr>
        <w:top w:val="none" w:sz="0" w:space="0" w:color="auto"/>
        <w:left w:val="none" w:sz="0" w:space="0" w:color="auto"/>
        <w:bottom w:val="none" w:sz="0" w:space="0" w:color="auto"/>
        <w:right w:val="none" w:sz="0" w:space="0" w:color="auto"/>
      </w:divBdr>
    </w:div>
    <w:div w:id="1434083107">
      <w:bodyDiv w:val="1"/>
      <w:marLeft w:val="0"/>
      <w:marRight w:val="0"/>
      <w:marTop w:val="0"/>
      <w:marBottom w:val="0"/>
      <w:divBdr>
        <w:top w:val="none" w:sz="0" w:space="0" w:color="auto"/>
        <w:left w:val="none" w:sz="0" w:space="0" w:color="auto"/>
        <w:bottom w:val="none" w:sz="0" w:space="0" w:color="auto"/>
        <w:right w:val="none" w:sz="0" w:space="0" w:color="auto"/>
      </w:divBdr>
    </w:div>
    <w:div w:id="1434859173">
      <w:bodyDiv w:val="1"/>
      <w:marLeft w:val="0"/>
      <w:marRight w:val="0"/>
      <w:marTop w:val="0"/>
      <w:marBottom w:val="0"/>
      <w:divBdr>
        <w:top w:val="none" w:sz="0" w:space="0" w:color="auto"/>
        <w:left w:val="none" w:sz="0" w:space="0" w:color="auto"/>
        <w:bottom w:val="none" w:sz="0" w:space="0" w:color="auto"/>
        <w:right w:val="none" w:sz="0" w:space="0" w:color="auto"/>
      </w:divBdr>
    </w:div>
    <w:div w:id="1437017350">
      <w:bodyDiv w:val="1"/>
      <w:marLeft w:val="0"/>
      <w:marRight w:val="0"/>
      <w:marTop w:val="0"/>
      <w:marBottom w:val="0"/>
      <w:divBdr>
        <w:top w:val="none" w:sz="0" w:space="0" w:color="auto"/>
        <w:left w:val="none" w:sz="0" w:space="0" w:color="auto"/>
        <w:bottom w:val="none" w:sz="0" w:space="0" w:color="auto"/>
        <w:right w:val="none" w:sz="0" w:space="0" w:color="auto"/>
      </w:divBdr>
    </w:div>
    <w:div w:id="1437826724">
      <w:bodyDiv w:val="1"/>
      <w:marLeft w:val="0"/>
      <w:marRight w:val="0"/>
      <w:marTop w:val="0"/>
      <w:marBottom w:val="0"/>
      <w:divBdr>
        <w:top w:val="none" w:sz="0" w:space="0" w:color="auto"/>
        <w:left w:val="none" w:sz="0" w:space="0" w:color="auto"/>
        <w:bottom w:val="none" w:sz="0" w:space="0" w:color="auto"/>
        <w:right w:val="none" w:sz="0" w:space="0" w:color="auto"/>
      </w:divBdr>
    </w:div>
    <w:div w:id="1437941202">
      <w:bodyDiv w:val="1"/>
      <w:marLeft w:val="0"/>
      <w:marRight w:val="0"/>
      <w:marTop w:val="0"/>
      <w:marBottom w:val="0"/>
      <w:divBdr>
        <w:top w:val="none" w:sz="0" w:space="0" w:color="auto"/>
        <w:left w:val="none" w:sz="0" w:space="0" w:color="auto"/>
        <w:bottom w:val="none" w:sz="0" w:space="0" w:color="auto"/>
        <w:right w:val="none" w:sz="0" w:space="0" w:color="auto"/>
      </w:divBdr>
    </w:div>
    <w:div w:id="1440028389">
      <w:bodyDiv w:val="1"/>
      <w:marLeft w:val="0"/>
      <w:marRight w:val="0"/>
      <w:marTop w:val="0"/>
      <w:marBottom w:val="0"/>
      <w:divBdr>
        <w:top w:val="none" w:sz="0" w:space="0" w:color="auto"/>
        <w:left w:val="none" w:sz="0" w:space="0" w:color="auto"/>
        <w:bottom w:val="none" w:sz="0" w:space="0" w:color="auto"/>
        <w:right w:val="none" w:sz="0" w:space="0" w:color="auto"/>
      </w:divBdr>
    </w:div>
    <w:div w:id="1451046980">
      <w:bodyDiv w:val="1"/>
      <w:marLeft w:val="0"/>
      <w:marRight w:val="0"/>
      <w:marTop w:val="0"/>
      <w:marBottom w:val="0"/>
      <w:divBdr>
        <w:top w:val="none" w:sz="0" w:space="0" w:color="auto"/>
        <w:left w:val="none" w:sz="0" w:space="0" w:color="auto"/>
        <w:bottom w:val="none" w:sz="0" w:space="0" w:color="auto"/>
        <w:right w:val="none" w:sz="0" w:space="0" w:color="auto"/>
      </w:divBdr>
    </w:div>
    <w:div w:id="1453211047">
      <w:bodyDiv w:val="1"/>
      <w:marLeft w:val="0"/>
      <w:marRight w:val="0"/>
      <w:marTop w:val="0"/>
      <w:marBottom w:val="0"/>
      <w:divBdr>
        <w:top w:val="none" w:sz="0" w:space="0" w:color="auto"/>
        <w:left w:val="none" w:sz="0" w:space="0" w:color="auto"/>
        <w:bottom w:val="none" w:sz="0" w:space="0" w:color="auto"/>
        <w:right w:val="none" w:sz="0" w:space="0" w:color="auto"/>
      </w:divBdr>
    </w:div>
    <w:div w:id="1456367243">
      <w:bodyDiv w:val="1"/>
      <w:marLeft w:val="0"/>
      <w:marRight w:val="0"/>
      <w:marTop w:val="0"/>
      <w:marBottom w:val="0"/>
      <w:divBdr>
        <w:top w:val="none" w:sz="0" w:space="0" w:color="auto"/>
        <w:left w:val="none" w:sz="0" w:space="0" w:color="auto"/>
        <w:bottom w:val="none" w:sz="0" w:space="0" w:color="auto"/>
        <w:right w:val="none" w:sz="0" w:space="0" w:color="auto"/>
      </w:divBdr>
    </w:div>
    <w:div w:id="1456635642">
      <w:bodyDiv w:val="1"/>
      <w:marLeft w:val="0"/>
      <w:marRight w:val="0"/>
      <w:marTop w:val="0"/>
      <w:marBottom w:val="0"/>
      <w:divBdr>
        <w:top w:val="none" w:sz="0" w:space="0" w:color="auto"/>
        <w:left w:val="none" w:sz="0" w:space="0" w:color="auto"/>
        <w:bottom w:val="none" w:sz="0" w:space="0" w:color="auto"/>
        <w:right w:val="none" w:sz="0" w:space="0" w:color="auto"/>
      </w:divBdr>
    </w:div>
    <w:div w:id="1457530782">
      <w:bodyDiv w:val="1"/>
      <w:marLeft w:val="0"/>
      <w:marRight w:val="0"/>
      <w:marTop w:val="0"/>
      <w:marBottom w:val="0"/>
      <w:divBdr>
        <w:top w:val="none" w:sz="0" w:space="0" w:color="auto"/>
        <w:left w:val="none" w:sz="0" w:space="0" w:color="auto"/>
        <w:bottom w:val="none" w:sz="0" w:space="0" w:color="auto"/>
        <w:right w:val="none" w:sz="0" w:space="0" w:color="auto"/>
      </w:divBdr>
    </w:div>
    <w:div w:id="1463692568">
      <w:bodyDiv w:val="1"/>
      <w:marLeft w:val="0"/>
      <w:marRight w:val="0"/>
      <w:marTop w:val="0"/>
      <w:marBottom w:val="0"/>
      <w:divBdr>
        <w:top w:val="none" w:sz="0" w:space="0" w:color="auto"/>
        <w:left w:val="none" w:sz="0" w:space="0" w:color="auto"/>
        <w:bottom w:val="none" w:sz="0" w:space="0" w:color="auto"/>
        <w:right w:val="none" w:sz="0" w:space="0" w:color="auto"/>
      </w:divBdr>
    </w:div>
    <w:div w:id="1465002087">
      <w:bodyDiv w:val="1"/>
      <w:marLeft w:val="0"/>
      <w:marRight w:val="0"/>
      <w:marTop w:val="0"/>
      <w:marBottom w:val="0"/>
      <w:divBdr>
        <w:top w:val="none" w:sz="0" w:space="0" w:color="auto"/>
        <w:left w:val="none" w:sz="0" w:space="0" w:color="auto"/>
        <w:bottom w:val="none" w:sz="0" w:space="0" w:color="auto"/>
        <w:right w:val="none" w:sz="0" w:space="0" w:color="auto"/>
      </w:divBdr>
    </w:div>
    <w:div w:id="1470395543">
      <w:bodyDiv w:val="1"/>
      <w:marLeft w:val="0"/>
      <w:marRight w:val="0"/>
      <w:marTop w:val="0"/>
      <w:marBottom w:val="0"/>
      <w:divBdr>
        <w:top w:val="none" w:sz="0" w:space="0" w:color="auto"/>
        <w:left w:val="none" w:sz="0" w:space="0" w:color="auto"/>
        <w:bottom w:val="none" w:sz="0" w:space="0" w:color="auto"/>
        <w:right w:val="none" w:sz="0" w:space="0" w:color="auto"/>
      </w:divBdr>
      <w:divsChild>
        <w:div w:id="12345438">
          <w:marLeft w:val="0"/>
          <w:marRight w:val="0"/>
          <w:marTop w:val="0"/>
          <w:marBottom w:val="0"/>
          <w:divBdr>
            <w:top w:val="none" w:sz="0" w:space="0" w:color="auto"/>
            <w:left w:val="none" w:sz="0" w:space="0" w:color="auto"/>
            <w:bottom w:val="none" w:sz="0" w:space="0" w:color="auto"/>
            <w:right w:val="none" w:sz="0" w:space="0" w:color="auto"/>
          </w:divBdr>
          <w:divsChild>
            <w:div w:id="428502344">
              <w:marLeft w:val="0"/>
              <w:marRight w:val="0"/>
              <w:marTop w:val="0"/>
              <w:marBottom w:val="0"/>
              <w:divBdr>
                <w:top w:val="none" w:sz="0" w:space="0" w:color="auto"/>
                <w:left w:val="none" w:sz="0" w:space="0" w:color="auto"/>
                <w:bottom w:val="none" w:sz="0" w:space="0" w:color="auto"/>
                <w:right w:val="none" w:sz="0" w:space="0" w:color="auto"/>
              </w:divBdr>
              <w:divsChild>
                <w:div w:id="889732805">
                  <w:marLeft w:val="0"/>
                  <w:marRight w:val="0"/>
                  <w:marTop w:val="0"/>
                  <w:marBottom w:val="0"/>
                  <w:divBdr>
                    <w:top w:val="none" w:sz="0" w:space="0" w:color="auto"/>
                    <w:left w:val="none" w:sz="0" w:space="0" w:color="auto"/>
                    <w:bottom w:val="none" w:sz="0" w:space="0" w:color="auto"/>
                    <w:right w:val="none" w:sz="0" w:space="0" w:color="auto"/>
                  </w:divBdr>
                  <w:divsChild>
                    <w:div w:id="1084109142">
                      <w:marLeft w:val="0"/>
                      <w:marRight w:val="0"/>
                      <w:marTop w:val="0"/>
                      <w:marBottom w:val="0"/>
                      <w:divBdr>
                        <w:top w:val="none" w:sz="0" w:space="0" w:color="auto"/>
                        <w:left w:val="none" w:sz="0" w:space="0" w:color="auto"/>
                        <w:bottom w:val="none" w:sz="0" w:space="0" w:color="auto"/>
                        <w:right w:val="none" w:sz="0" w:space="0" w:color="auto"/>
                      </w:divBdr>
                      <w:divsChild>
                        <w:div w:id="954946624">
                          <w:marLeft w:val="0"/>
                          <w:marRight w:val="0"/>
                          <w:marTop w:val="0"/>
                          <w:marBottom w:val="0"/>
                          <w:divBdr>
                            <w:top w:val="none" w:sz="0" w:space="0" w:color="auto"/>
                            <w:left w:val="none" w:sz="0" w:space="0" w:color="auto"/>
                            <w:bottom w:val="none" w:sz="0" w:space="0" w:color="auto"/>
                            <w:right w:val="none" w:sz="0" w:space="0" w:color="auto"/>
                          </w:divBdr>
                          <w:divsChild>
                            <w:div w:id="1882863655">
                              <w:marLeft w:val="0"/>
                              <w:marRight w:val="0"/>
                              <w:marTop w:val="0"/>
                              <w:marBottom w:val="0"/>
                              <w:divBdr>
                                <w:top w:val="none" w:sz="0" w:space="0" w:color="auto"/>
                                <w:left w:val="none" w:sz="0" w:space="0" w:color="auto"/>
                                <w:bottom w:val="none" w:sz="0" w:space="0" w:color="auto"/>
                                <w:right w:val="none" w:sz="0" w:space="0" w:color="auto"/>
                              </w:divBdr>
                              <w:divsChild>
                                <w:div w:id="1251505540">
                                  <w:marLeft w:val="0"/>
                                  <w:marRight w:val="0"/>
                                  <w:marTop w:val="0"/>
                                  <w:marBottom w:val="0"/>
                                  <w:divBdr>
                                    <w:top w:val="none" w:sz="0" w:space="0" w:color="auto"/>
                                    <w:left w:val="none" w:sz="0" w:space="0" w:color="auto"/>
                                    <w:bottom w:val="none" w:sz="0" w:space="0" w:color="auto"/>
                                    <w:right w:val="none" w:sz="0" w:space="0" w:color="auto"/>
                                  </w:divBdr>
                                  <w:divsChild>
                                    <w:div w:id="13973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690641">
          <w:marLeft w:val="0"/>
          <w:marRight w:val="0"/>
          <w:marTop w:val="0"/>
          <w:marBottom w:val="0"/>
          <w:divBdr>
            <w:top w:val="none" w:sz="0" w:space="0" w:color="auto"/>
            <w:left w:val="none" w:sz="0" w:space="0" w:color="auto"/>
            <w:bottom w:val="none" w:sz="0" w:space="0" w:color="auto"/>
            <w:right w:val="none" w:sz="0" w:space="0" w:color="auto"/>
          </w:divBdr>
          <w:divsChild>
            <w:div w:id="2062824401">
              <w:marLeft w:val="0"/>
              <w:marRight w:val="0"/>
              <w:marTop w:val="0"/>
              <w:marBottom w:val="0"/>
              <w:divBdr>
                <w:top w:val="none" w:sz="0" w:space="0" w:color="auto"/>
                <w:left w:val="none" w:sz="0" w:space="0" w:color="auto"/>
                <w:bottom w:val="none" w:sz="0" w:space="0" w:color="auto"/>
                <w:right w:val="none" w:sz="0" w:space="0" w:color="auto"/>
              </w:divBdr>
              <w:divsChild>
                <w:div w:id="359597129">
                  <w:marLeft w:val="0"/>
                  <w:marRight w:val="0"/>
                  <w:marTop w:val="0"/>
                  <w:marBottom w:val="0"/>
                  <w:divBdr>
                    <w:top w:val="none" w:sz="0" w:space="0" w:color="auto"/>
                    <w:left w:val="none" w:sz="0" w:space="0" w:color="auto"/>
                    <w:bottom w:val="none" w:sz="0" w:space="0" w:color="auto"/>
                    <w:right w:val="none" w:sz="0" w:space="0" w:color="auto"/>
                  </w:divBdr>
                  <w:divsChild>
                    <w:div w:id="141773523">
                      <w:marLeft w:val="0"/>
                      <w:marRight w:val="0"/>
                      <w:marTop w:val="0"/>
                      <w:marBottom w:val="0"/>
                      <w:divBdr>
                        <w:top w:val="none" w:sz="0" w:space="0" w:color="auto"/>
                        <w:left w:val="none" w:sz="0" w:space="0" w:color="auto"/>
                        <w:bottom w:val="none" w:sz="0" w:space="0" w:color="auto"/>
                        <w:right w:val="none" w:sz="0" w:space="0" w:color="auto"/>
                      </w:divBdr>
                      <w:divsChild>
                        <w:div w:id="39792437">
                          <w:marLeft w:val="0"/>
                          <w:marRight w:val="0"/>
                          <w:marTop w:val="0"/>
                          <w:marBottom w:val="0"/>
                          <w:divBdr>
                            <w:top w:val="none" w:sz="0" w:space="0" w:color="auto"/>
                            <w:left w:val="none" w:sz="0" w:space="0" w:color="auto"/>
                            <w:bottom w:val="none" w:sz="0" w:space="0" w:color="auto"/>
                            <w:right w:val="none" w:sz="0" w:space="0" w:color="auto"/>
                          </w:divBdr>
                          <w:divsChild>
                            <w:div w:id="1602295096">
                              <w:marLeft w:val="0"/>
                              <w:marRight w:val="0"/>
                              <w:marTop w:val="0"/>
                              <w:marBottom w:val="0"/>
                              <w:divBdr>
                                <w:top w:val="none" w:sz="0" w:space="0" w:color="auto"/>
                                <w:left w:val="none" w:sz="0" w:space="0" w:color="auto"/>
                                <w:bottom w:val="none" w:sz="0" w:space="0" w:color="auto"/>
                                <w:right w:val="none" w:sz="0" w:space="0" w:color="auto"/>
                              </w:divBdr>
                              <w:divsChild>
                                <w:div w:id="1702198633">
                                  <w:marLeft w:val="0"/>
                                  <w:marRight w:val="0"/>
                                  <w:marTop w:val="0"/>
                                  <w:marBottom w:val="0"/>
                                  <w:divBdr>
                                    <w:top w:val="none" w:sz="0" w:space="0" w:color="auto"/>
                                    <w:left w:val="none" w:sz="0" w:space="0" w:color="auto"/>
                                    <w:bottom w:val="none" w:sz="0" w:space="0" w:color="auto"/>
                                    <w:right w:val="none" w:sz="0" w:space="0" w:color="auto"/>
                                  </w:divBdr>
                                  <w:divsChild>
                                    <w:div w:id="1622153887">
                                      <w:marLeft w:val="0"/>
                                      <w:marRight w:val="0"/>
                                      <w:marTop w:val="0"/>
                                      <w:marBottom w:val="0"/>
                                      <w:divBdr>
                                        <w:top w:val="none" w:sz="0" w:space="0" w:color="auto"/>
                                        <w:left w:val="none" w:sz="0" w:space="0" w:color="auto"/>
                                        <w:bottom w:val="none" w:sz="0" w:space="0" w:color="auto"/>
                                        <w:right w:val="none" w:sz="0" w:space="0" w:color="auto"/>
                                      </w:divBdr>
                                      <w:divsChild>
                                        <w:div w:id="3004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591365">
      <w:bodyDiv w:val="1"/>
      <w:marLeft w:val="0"/>
      <w:marRight w:val="0"/>
      <w:marTop w:val="0"/>
      <w:marBottom w:val="0"/>
      <w:divBdr>
        <w:top w:val="none" w:sz="0" w:space="0" w:color="auto"/>
        <w:left w:val="none" w:sz="0" w:space="0" w:color="auto"/>
        <w:bottom w:val="none" w:sz="0" w:space="0" w:color="auto"/>
        <w:right w:val="none" w:sz="0" w:space="0" w:color="auto"/>
      </w:divBdr>
    </w:div>
    <w:div w:id="1471315872">
      <w:bodyDiv w:val="1"/>
      <w:marLeft w:val="0"/>
      <w:marRight w:val="0"/>
      <w:marTop w:val="0"/>
      <w:marBottom w:val="0"/>
      <w:divBdr>
        <w:top w:val="none" w:sz="0" w:space="0" w:color="auto"/>
        <w:left w:val="none" w:sz="0" w:space="0" w:color="auto"/>
        <w:bottom w:val="none" w:sz="0" w:space="0" w:color="auto"/>
        <w:right w:val="none" w:sz="0" w:space="0" w:color="auto"/>
      </w:divBdr>
    </w:div>
    <w:div w:id="1472092608">
      <w:bodyDiv w:val="1"/>
      <w:marLeft w:val="0"/>
      <w:marRight w:val="0"/>
      <w:marTop w:val="0"/>
      <w:marBottom w:val="0"/>
      <w:divBdr>
        <w:top w:val="none" w:sz="0" w:space="0" w:color="auto"/>
        <w:left w:val="none" w:sz="0" w:space="0" w:color="auto"/>
        <w:bottom w:val="none" w:sz="0" w:space="0" w:color="auto"/>
        <w:right w:val="none" w:sz="0" w:space="0" w:color="auto"/>
      </w:divBdr>
      <w:divsChild>
        <w:div w:id="157617996">
          <w:marLeft w:val="480"/>
          <w:marRight w:val="0"/>
          <w:marTop w:val="0"/>
          <w:marBottom w:val="0"/>
          <w:divBdr>
            <w:top w:val="none" w:sz="0" w:space="0" w:color="auto"/>
            <w:left w:val="none" w:sz="0" w:space="0" w:color="auto"/>
            <w:bottom w:val="none" w:sz="0" w:space="0" w:color="auto"/>
            <w:right w:val="none" w:sz="0" w:space="0" w:color="auto"/>
          </w:divBdr>
        </w:div>
        <w:div w:id="1794784437">
          <w:marLeft w:val="480"/>
          <w:marRight w:val="0"/>
          <w:marTop w:val="0"/>
          <w:marBottom w:val="0"/>
          <w:divBdr>
            <w:top w:val="none" w:sz="0" w:space="0" w:color="auto"/>
            <w:left w:val="none" w:sz="0" w:space="0" w:color="auto"/>
            <w:bottom w:val="none" w:sz="0" w:space="0" w:color="auto"/>
            <w:right w:val="none" w:sz="0" w:space="0" w:color="auto"/>
          </w:divBdr>
        </w:div>
        <w:div w:id="164781812">
          <w:marLeft w:val="480"/>
          <w:marRight w:val="0"/>
          <w:marTop w:val="0"/>
          <w:marBottom w:val="0"/>
          <w:divBdr>
            <w:top w:val="none" w:sz="0" w:space="0" w:color="auto"/>
            <w:left w:val="none" w:sz="0" w:space="0" w:color="auto"/>
            <w:bottom w:val="none" w:sz="0" w:space="0" w:color="auto"/>
            <w:right w:val="none" w:sz="0" w:space="0" w:color="auto"/>
          </w:divBdr>
        </w:div>
        <w:div w:id="1754693135">
          <w:marLeft w:val="480"/>
          <w:marRight w:val="0"/>
          <w:marTop w:val="0"/>
          <w:marBottom w:val="0"/>
          <w:divBdr>
            <w:top w:val="none" w:sz="0" w:space="0" w:color="auto"/>
            <w:left w:val="none" w:sz="0" w:space="0" w:color="auto"/>
            <w:bottom w:val="none" w:sz="0" w:space="0" w:color="auto"/>
            <w:right w:val="none" w:sz="0" w:space="0" w:color="auto"/>
          </w:divBdr>
        </w:div>
        <w:div w:id="925840779">
          <w:marLeft w:val="480"/>
          <w:marRight w:val="0"/>
          <w:marTop w:val="0"/>
          <w:marBottom w:val="0"/>
          <w:divBdr>
            <w:top w:val="none" w:sz="0" w:space="0" w:color="auto"/>
            <w:left w:val="none" w:sz="0" w:space="0" w:color="auto"/>
            <w:bottom w:val="none" w:sz="0" w:space="0" w:color="auto"/>
            <w:right w:val="none" w:sz="0" w:space="0" w:color="auto"/>
          </w:divBdr>
        </w:div>
        <w:div w:id="872225914">
          <w:marLeft w:val="480"/>
          <w:marRight w:val="0"/>
          <w:marTop w:val="0"/>
          <w:marBottom w:val="0"/>
          <w:divBdr>
            <w:top w:val="none" w:sz="0" w:space="0" w:color="auto"/>
            <w:left w:val="none" w:sz="0" w:space="0" w:color="auto"/>
            <w:bottom w:val="none" w:sz="0" w:space="0" w:color="auto"/>
            <w:right w:val="none" w:sz="0" w:space="0" w:color="auto"/>
          </w:divBdr>
        </w:div>
        <w:div w:id="28142942">
          <w:marLeft w:val="480"/>
          <w:marRight w:val="0"/>
          <w:marTop w:val="0"/>
          <w:marBottom w:val="0"/>
          <w:divBdr>
            <w:top w:val="none" w:sz="0" w:space="0" w:color="auto"/>
            <w:left w:val="none" w:sz="0" w:space="0" w:color="auto"/>
            <w:bottom w:val="none" w:sz="0" w:space="0" w:color="auto"/>
            <w:right w:val="none" w:sz="0" w:space="0" w:color="auto"/>
          </w:divBdr>
        </w:div>
        <w:div w:id="1692955820">
          <w:marLeft w:val="480"/>
          <w:marRight w:val="0"/>
          <w:marTop w:val="0"/>
          <w:marBottom w:val="0"/>
          <w:divBdr>
            <w:top w:val="none" w:sz="0" w:space="0" w:color="auto"/>
            <w:left w:val="none" w:sz="0" w:space="0" w:color="auto"/>
            <w:bottom w:val="none" w:sz="0" w:space="0" w:color="auto"/>
            <w:right w:val="none" w:sz="0" w:space="0" w:color="auto"/>
          </w:divBdr>
        </w:div>
        <w:div w:id="98257916">
          <w:marLeft w:val="480"/>
          <w:marRight w:val="0"/>
          <w:marTop w:val="0"/>
          <w:marBottom w:val="0"/>
          <w:divBdr>
            <w:top w:val="none" w:sz="0" w:space="0" w:color="auto"/>
            <w:left w:val="none" w:sz="0" w:space="0" w:color="auto"/>
            <w:bottom w:val="none" w:sz="0" w:space="0" w:color="auto"/>
            <w:right w:val="none" w:sz="0" w:space="0" w:color="auto"/>
          </w:divBdr>
        </w:div>
        <w:div w:id="856966924">
          <w:marLeft w:val="480"/>
          <w:marRight w:val="0"/>
          <w:marTop w:val="0"/>
          <w:marBottom w:val="0"/>
          <w:divBdr>
            <w:top w:val="none" w:sz="0" w:space="0" w:color="auto"/>
            <w:left w:val="none" w:sz="0" w:space="0" w:color="auto"/>
            <w:bottom w:val="none" w:sz="0" w:space="0" w:color="auto"/>
            <w:right w:val="none" w:sz="0" w:space="0" w:color="auto"/>
          </w:divBdr>
        </w:div>
        <w:div w:id="1033657630">
          <w:marLeft w:val="480"/>
          <w:marRight w:val="0"/>
          <w:marTop w:val="0"/>
          <w:marBottom w:val="0"/>
          <w:divBdr>
            <w:top w:val="none" w:sz="0" w:space="0" w:color="auto"/>
            <w:left w:val="none" w:sz="0" w:space="0" w:color="auto"/>
            <w:bottom w:val="none" w:sz="0" w:space="0" w:color="auto"/>
            <w:right w:val="none" w:sz="0" w:space="0" w:color="auto"/>
          </w:divBdr>
        </w:div>
        <w:div w:id="1674256275">
          <w:marLeft w:val="480"/>
          <w:marRight w:val="0"/>
          <w:marTop w:val="0"/>
          <w:marBottom w:val="0"/>
          <w:divBdr>
            <w:top w:val="none" w:sz="0" w:space="0" w:color="auto"/>
            <w:left w:val="none" w:sz="0" w:space="0" w:color="auto"/>
            <w:bottom w:val="none" w:sz="0" w:space="0" w:color="auto"/>
            <w:right w:val="none" w:sz="0" w:space="0" w:color="auto"/>
          </w:divBdr>
        </w:div>
        <w:div w:id="1317997944">
          <w:marLeft w:val="480"/>
          <w:marRight w:val="0"/>
          <w:marTop w:val="0"/>
          <w:marBottom w:val="0"/>
          <w:divBdr>
            <w:top w:val="none" w:sz="0" w:space="0" w:color="auto"/>
            <w:left w:val="none" w:sz="0" w:space="0" w:color="auto"/>
            <w:bottom w:val="none" w:sz="0" w:space="0" w:color="auto"/>
            <w:right w:val="none" w:sz="0" w:space="0" w:color="auto"/>
          </w:divBdr>
        </w:div>
        <w:div w:id="985937640">
          <w:marLeft w:val="480"/>
          <w:marRight w:val="0"/>
          <w:marTop w:val="0"/>
          <w:marBottom w:val="0"/>
          <w:divBdr>
            <w:top w:val="none" w:sz="0" w:space="0" w:color="auto"/>
            <w:left w:val="none" w:sz="0" w:space="0" w:color="auto"/>
            <w:bottom w:val="none" w:sz="0" w:space="0" w:color="auto"/>
            <w:right w:val="none" w:sz="0" w:space="0" w:color="auto"/>
          </w:divBdr>
        </w:div>
        <w:div w:id="1950700685">
          <w:marLeft w:val="480"/>
          <w:marRight w:val="0"/>
          <w:marTop w:val="0"/>
          <w:marBottom w:val="0"/>
          <w:divBdr>
            <w:top w:val="none" w:sz="0" w:space="0" w:color="auto"/>
            <w:left w:val="none" w:sz="0" w:space="0" w:color="auto"/>
            <w:bottom w:val="none" w:sz="0" w:space="0" w:color="auto"/>
            <w:right w:val="none" w:sz="0" w:space="0" w:color="auto"/>
          </w:divBdr>
        </w:div>
        <w:div w:id="1392381878">
          <w:marLeft w:val="480"/>
          <w:marRight w:val="0"/>
          <w:marTop w:val="0"/>
          <w:marBottom w:val="0"/>
          <w:divBdr>
            <w:top w:val="none" w:sz="0" w:space="0" w:color="auto"/>
            <w:left w:val="none" w:sz="0" w:space="0" w:color="auto"/>
            <w:bottom w:val="none" w:sz="0" w:space="0" w:color="auto"/>
            <w:right w:val="none" w:sz="0" w:space="0" w:color="auto"/>
          </w:divBdr>
        </w:div>
        <w:div w:id="1062098878">
          <w:marLeft w:val="480"/>
          <w:marRight w:val="0"/>
          <w:marTop w:val="0"/>
          <w:marBottom w:val="0"/>
          <w:divBdr>
            <w:top w:val="none" w:sz="0" w:space="0" w:color="auto"/>
            <w:left w:val="none" w:sz="0" w:space="0" w:color="auto"/>
            <w:bottom w:val="none" w:sz="0" w:space="0" w:color="auto"/>
            <w:right w:val="none" w:sz="0" w:space="0" w:color="auto"/>
          </w:divBdr>
        </w:div>
        <w:div w:id="817573813">
          <w:marLeft w:val="480"/>
          <w:marRight w:val="0"/>
          <w:marTop w:val="0"/>
          <w:marBottom w:val="0"/>
          <w:divBdr>
            <w:top w:val="none" w:sz="0" w:space="0" w:color="auto"/>
            <w:left w:val="none" w:sz="0" w:space="0" w:color="auto"/>
            <w:bottom w:val="none" w:sz="0" w:space="0" w:color="auto"/>
            <w:right w:val="none" w:sz="0" w:space="0" w:color="auto"/>
          </w:divBdr>
        </w:div>
        <w:div w:id="1246495953">
          <w:marLeft w:val="480"/>
          <w:marRight w:val="0"/>
          <w:marTop w:val="0"/>
          <w:marBottom w:val="0"/>
          <w:divBdr>
            <w:top w:val="none" w:sz="0" w:space="0" w:color="auto"/>
            <w:left w:val="none" w:sz="0" w:space="0" w:color="auto"/>
            <w:bottom w:val="none" w:sz="0" w:space="0" w:color="auto"/>
            <w:right w:val="none" w:sz="0" w:space="0" w:color="auto"/>
          </w:divBdr>
        </w:div>
        <w:div w:id="1099255858">
          <w:marLeft w:val="480"/>
          <w:marRight w:val="0"/>
          <w:marTop w:val="0"/>
          <w:marBottom w:val="0"/>
          <w:divBdr>
            <w:top w:val="none" w:sz="0" w:space="0" w:color="auto"/>
            <w:left w:val="none" w:sz="0" w:space="0" w:color="auto"/>
            <w:bottom w:val="none" w:sz="0" w:space="0" w:color="auto"/>
            <w:right w:val="none" w:sz="0" w:space="0" w:color="auto"/>
          </w:divBdr>
        </w:div>
        <w:div w:id="801655929">
          <w:marLeft w:val="480"/>
          <w:marRight w:val="0"/>
          <w:marTop w:val="0"/>
          <w:marBottom w:val="0"/>
          <w:divBdr>
            <w:top w:val="none" w:sz="0" w:space="0" w:color="auto"/>
            <w:left w:val="none" w:sz="0" w:space="0" w:color="auto"/>
            <w:bottom w:val="none" w:sz="0" w:space="0" w:color="auto"/>
            <w:right w:val="none" w:sz="0" w:space="0" w:color="auto"/>
          </w:divBdr>
        </w:div>
        <w:div w:id="1664165758">
          <w:marLeft w:val="480"/>
          <w:marRight w:val="0"/>
          <w:marTop w:val="0"/>
          <w:marBottom w:val="0"/>
          <w:divBdr>
            <w:top w:val="none" w:sz="0" w:space="0" w:color="auto"/>
            <w:left w:val="none" w:sz="0" w:space="0" w:color="auto"/>
            <w:bottom w:val="none" w:sz="0" w:space="0" w:color="auto"/>
            <w:right w:val="none" w:sz="0" w:space="0" w:color="auto"/>
          </w:divBdr>
        </w:div>
        <w:div w:id="455611096">
          <w:marLeft w:val="480"/>
          <w:marRight w:val="0"/>
          <w:marTop w:val="0"/>
          <w:marBottom w:val="0"/>
          <w:divBdr>
            <w:top w:val="none" w:sz="0" w:space="0" w:color="auto"/>
            <w:left w:val="none" w:sz="0" w:space="0" w:color="auto"/>
            <w:bottom w:val="none" w:sz="0" w:space="0" w:color="auto"/>
            <w:right w:val="none" w:sz="0" w:space="0" w:color="auto"/>
          </w:divBdr>
        </w:div>
        <w:div w:id="1797405276">
          <w:marLeft w:val="480"/>
          <w:marRight w:val="0"/>
          <w:marTop w:val="0"/>
          <w:marBottom w:val="0"/>
          <w:divBdr>
            <w:top w:val="none" w:sz="0" w:space="0" w:color="auto"/>
            <w:left w:val="none" w:sz="0" w:space="0" w:color="auto"/>
            <w:bottom w:val="none" w:sz="0" w:space="0" w:color="auto"/>
            <w:right w:val="none" w:sz="0" w:space="0" w:color="auto"/>
          </w:divBdr>
        </w:div>
        <w:div w:id="2118793319">
          <w:marLeft w:val="480"/>
          <w:marRight w:val="0"/>
          <w:marTop w:val="0"/>
          <w:marBottom w:val="0"/>
          <w:divBdr>
            <w:top w:val="none" w:sz="0" w:space="0" w:color="auto"/>
            <w:left w:val="none" w:sz="0" w:space="0" w:color="auto"/>
            <w:bottom w:val="none" w:sz="0" w:space="0" w:color="auto"/>
            <w:right w:val="none" w:sz="0" w:space="0" w:color="auto"/>
          </w:divBdr>
        </w:div>
        <w:div w:id="1327511468">
          <w:marLeft w:val="480"/>
          <w:marRight w:val="0"/>
          <w:marTop w:val="0"/>
          <w:marBottom w:val="0"/>
          <w:divBdr>
            <w:top w:val="none" w:sz="0" w:space="0" w:color="auto"/>
            <w:left w:val="none" w:sz="0" w:space="0" w:color="auto"/>
            <w:bottom w:val="none" w:sz="0" w:space="0" w:color="auto"/>
            <w:right w:val="none" w:sz="0" w:space="0" w:color="auto"/>
          </w:divBdr>
        </w:div>
        <w:div w:id="1804737056">
          <w:marLeft w:val="480"/>
          <w:marRight w:val="0"/>
          <w:marTop w:val="0"/>
          <w:marBottom w:val="0"/>
          <w:divBdr>
            <w:top w:val="none" w:sz="0" w:space="0" w:color="auto"/>
            <w:left w:val="none" w:sz="0" w:space="0" w:color="auto"/>
            <w:bottom w:val="none" w:sz="0" w:space="0" w:color="auto"/>
            <w:right w:val="none" w:sz="0" w:space="0" w:color="auto"/>
          </w:divBdr>
        </w:div>
        <w:div w:id="1597636927">
          <w:marLeft w:val="480"/>
          <w:marRight w:val="0"/>
          <w:marTop w:val="0"/>
          <w:marBottom w:val="0"/>
          <w:divBdr>
            <w:top w:val="none" w:sz="0" w:space="0" w:color="auto"/>
            <w:left w:val="none" w:sz="0" w:space="0" w:color="auto"/>
            <w:bottom w:val="none" w:sz="0" w:space="0" w:color="auto"/>
            <w:right w:val="none" w:sz="0" w:space="0" w:color="auto"/>
          </w:divBdr>
        </w:div>
        <w:div w:id="1350983907">
          <w:marLeft w:val="480"/>
          <w:marRight w:val="0"/>
          <w:marTop w:val="0"/>
          <w:marBottom w:val="0"/>
          <w:divBdr>
            <w:top w:val="none" w:sz="0" w:space="0" w:color="auto"/>
            <w:left w:val="none" w:sz="0" w:space="0" w:color="auto"/>
            <w:bottom w:val="none" w:sz="0" w:space="0" w:color="auto"/>
            <w:right w:val="none" w:sz="0" w:space="0" w:color="auto"/>
          </w:divBdr>
        </w:div>
        <w:div w:id="2037539125">
          <w:marLeft w:val="480"/>
          <w:marRight w:val="0"/>
          <w:marTop w:val="0"/>
          <w:marBottom w:val="0"/>
          <w:divBdr>
            <w:top w:val="none" w:sz="0" w:space="0" w:color="auto"/>
            <w:left w:val="none" w:sz="0" w:space="0" w:color="auto"/>
            <w:bottom w:val="none" w:sz="0" w:space="0" w:color="auto"/>
            <w:right w:val="none" w:sz="0" w:space="0" w:color="auto"/>
          </w:divBdr>
        </w:div>
        <w:div w:id="1227689527">
          <w:marLeft w:val="480"/>
          <w:marRight w:val="0"/>
          <w:marTop w:val="0"/>
          <w:marBottom w:val="0"/>
          <w:divBdr>
            <w:top w:val="none" w:sz="0" w:space="0" w:color="auto"/>
            <w:left w:val="none" w:sz="0" w:space="0" w:color="auto"/>
            <w:bottom w:val="none" w:sz="0" w:space="0" w:color="auto"/>
            <w:right w:val="none" w:sz="0" w:space="0" w:color="auto"/>
          </w:divBdr>
        </w:div>
        <w:div w:id="1810896483">
          <w:marLeft w:val="480"/>
          <w:marRight w:val="0"/>
          <w:marTop w:val="0"/>
          <w:marBottom w:val="0"/>
          <w:divBdr>
            <w:top w:val="none" w:sz="0" w:space="0" w:color="auto"/>
            <w:left w:val="none" w:sz="0" w:space="0" w:color="auto"/>
            <w:bottom w:val="none" w:sz="0" w:space="0" w:color="auto"/>
            <w:right w:val="none" w:sz="0" w:space="0" w:color="auto"/>
          </w:divBdr>
        </w:div>
        <w:div w:id="1334718470">
          <w:marLeft w:val="480"/>
          <w:marRight w:val="0"/>
          <w:marTop w:val="0"/>
          <w:marBottom w:val="0"/>
          <w:divBdr>
            <w:top w:val="none" w:sz="0" w:space="0" w:color="auto"/>
            <w:left w:val="none" w:sz="0" w:space="0" w:color="auto"/>
            <w:bottom w:val="none" w:sz="0" w:space="0" w:color="auto"/>
            <w:right w:val="none" w:sz="0" w:space="0" w:color="auto"/>
          </w:divBdr>
        </w:div>
        <w:div w:id="1637099054">
          <w:marLeft w:val="480"/>
          <w:marRight w:val="0"/>
          <w:marTop w:val="0"/>
          <w:marBottom w:val="0"/>
          <w:divBdr>
            <w:top w:val="none" w:sz="0" w:space="0" w:color="auto"/>
            <w:left w:val="none" w:sz="0" w:space="0" w:color="auto"/>
            <w:bottom w:val="none" w:sz="0" w:space="0" w:color="auto"/>
            <w:right w:val="none" w:sz="0" w:space="0" w:color="auto"/>
          </w:divBdr>
        </w:div>
        <w:div w:id="1285309579">
          <w:marLeft w:val="480"/>
          <w:marRight w:val="0"/>
          <w:marTop w:val="0"/>
          <w:marBottom w:val="0"/>
          <w:divBdr>
            <w:top w:val="none" w:sz="0" w:space="0" w:color="auto"/>
            <w:left w:val="none" w:sz="0" w:space="0" w:color="auto"/>
            <w:bottom w:val="none" w:sz="0" w:space="0" w:color="auto"/>
            <w:right w:val="none" w:sz="0" w:space="0" w:color="auto"/>
          </w:divBdr>
        </w:div>
        <w:div w:id="766853692">
          <w:marLeft w:val="480"/>
          <w:marRight w:val="0"/>
          <w:marTop w:val="0"/>
          <w:marBottom w:val="0"/>
          <w:divBdr>
            <w:top w:val="none" w:sz="0" w:space="0" w:color="auto"/>
            <w:left w:val="none" w:sz="0" w:space="0" w:color="auto"/>
            <w:bottom w:val="none" w:sz="0" w:space="0" w:color="auto"/>
            <w:right w:val="none" w:sz="0" w:space="0" w:color="auto"/>
          </w:divBdr>
        </w:div>
        <w:div w:id="612322019">
          <w:marLeft w:val="480"/>
          <w:marRight w:val="0"/>
          <w:marTop w:val="0"/>
          <w:marBottom w:val="0"/>
          <w:divBdr>
            <w:top w:val="none" w:sz="0" w:space="0" w:color="auto"/>
            <w:left w:val="none" w:sz="0" w:space="0" w:color="auto"/>
            <w:bottom w:val="none" w:sz="0" w:space="0" w:color="auto"/>
            <w:right w:val="none" w:sz="0" w:space="0" w:color="auto"/>
          </w:divBdr>
        </w:div>
        <w:div w:id="1966738011">
          <w:marLeft w:val="480"/>
          <w:marRight w:val="0"/>
          <w:marTop w:val="0"/>
          <w:marBottom w:val="0"/>
          <w:divBdr>
            <w:top w:val="none" w:sz="0" w:space="0" w:color="auto"/>
            <w:left w:val="none" w:sz="0" w:space="0" w:color="auto"/>
            <w:bottom w:val="none" w:sz="0" w:space="0" w:color="auto"/>
            <w:right w:val="none" w:sz="0" w:space="0" w:color="auto"/>
          </w:divBdr>
        </w:div>
        <w:div w:id="1348020103">
          <w:marLeft w:val="480"/>
          <w:marRight w:val="0"/>
          <w:marTop w:val="0"/>
          <w:marBottom w:val="0"/>
          <w:divBdr>
            <w:top w:val="none" w:sz="0" w:space="0" w:color="auto"/>
            <w:left w:val="none" w:sz="0" w:space="0" w:color="auto"/>
            <w:bottom w:val="none" w:sz="0" w:space="0" w:color="auto"/>
            <w:right w:val="none" w:sz="0" w:space="0" w:color="auto"/>
          </w:divBdr>
        </w:div>
        <w:div w:id="2029215958">
          <w:marLeft w:val="480"/>
          <w:marRight w:val="0"/>
          <w:marTop w:val="0"/>
          <w:marBottom w:val="0"/>
          <w:divBdr>
            <w:top w:val="none" w:sz="0" w:space="0" w:color="auto"/>
            <w:left w:val="none" w:sz="0" w:space="0" w:color="auto"/>
            <w:bottom w:val="none" w:sz="0" w:space="0" w:color="auto"/>
            <w:right w:val="none" w:sz="0" w:space="0" w:color="auto"/>
          </w:divBdr>
        </w:div>
        <w:div w:id="553008146">
          <w:marLeft w:val="480"/>
          <w:marRight w:val="0"/>
          <w:marTop w:val="0"/>
          <w:marBottom w:val="0"/>
          <w:divBdr>
            <w:top w:val="none" w:sz="0" w:space="0" w:color="auto"/>
            <w:left w:val="none" w:sz="0" w:space="0" w:color="auto"/>
            <w:bottom w:val="none" w:sz="0" w:space="0" w:color="auto"/>
            <w:right w:val="none" w:sz="0" w:space="0" w:color="auto"/>
          </w:divBdr>
        </w:div>
        <w:div w:id="233051670">
          <w:marLeft w:val="480"/>
          <w:marRight w:val="0"/>
          <w:marTop w:val="0"/>
          <w:marBottom w:val="0"/>
          <w:divBdr>
            <w:top w:val="none" w:sz="0" w:space="0" w:color="auto"/>
            <w:left w:val="none" w:sz="0" w:space="0" w:color="auto"/>
            <w:bottom w:val="none" w:sz="0" w:space="0" w:color="auto"/>
            <w:right w:val="none" w:sz="0" w:space="0" w:color="auto"/>
          </w:divBdr>
        </w:div>
        <w:div w:id="1485856126">
          <w:marLeft w:val="480"/>
          <w:marRight w:val="0"/>
          <w:marTop w:val="0"/>
          <w:marBottom w:val="0"/>
          <w:divBdr>
            <w:top w:val="none" w:sz="0" w:space="0" w:color="auto"/>
            <w:left w:val="none" w:sz="0" w:space="0" w:color="auto"/>
            <w:bottom w:val="none" w:sz="0" w:space="0" w:color="auto"/>
            <w:right w:val="none" w:sz="0" w:space="0" w:color="auto"/>
          </w:divBdr>
        </w:div>
        <w:div w:id="1321081051">
          <w:marLeft w:val="480"/>
          <w:marRight w:val="0"/>
          <w:marTop w:val="0"/>
          <w:marBottom w:val="0"/>
          <w:divBdr>
            <w:top w:val="none" w:sz="0" w:space="0" w:color="auto"/>
            <w:left w:val="none" w:sz="0" w:space="0" w:color="auto"/>
            <w:bottom w:val="none" w:sz="0" w:space="0" w:color="auto"/>
            <w:right w:val="none" w:sz="0" w:space="0" w:color="auto"/>
          </w:divBdr>
        </w:div>
        <w:div w:id="170721647">
          <w:marLeft w:val="480"/>
          <w:marRight w:val="0"/>
          <w:marTop w:val="0"/>
          <w:marBottom w:val="0"/>
          <w:divBdr>
            <w:top w:val="none" w:sz="0" w:space="0" w:color="auto"/>
            <w:left w:val="none" w:sz="0" w:space="0" w:color="auto"/>
            <w:bottom w:val="none" w:sz="0" w:space="0" w:color="auto"/>
            <w:right w:val="none" w:sz="0" w:space="0" w:color="auto"/>
          </w:divBdr>
        </w:div>
        <w:div w:id="2044011339">
          <w:marLeft w:val="480"/>
          <w:marRight w:val="0"/>
          <w:marTop w:val="0"/>
          <w:marBottom w:val="0"/>
          <w:divBdr>
            <w:top w:val="none" w:sz="0" w:space="0" w:color="auto"/>
            <w:left w:val="none" w:sz="0" w:space="0" w:color="auto"/>
            <w:bottom w:val="none" w:sz="0" w:space="0" w:color="auto"/>
            <w:right w:val="none" w:sz="0" w:space="0" w:color="auto"/>
          </w:divBdr>
        </w:div>
        <w:div w:id="151336018">
          <w:marLeft w:val="480"/>
          <w:marRight w:val="0"/>
          <w:marTop w:val="0"/>
          <w:marBottom w:val="0"/>
          <w:divBdr>
            <w:top w:val="none" w:sz="0" w:space="0" w:color="auto"/>
            <w:left w:val="none" w:sz="0" w:space="0" w:color="auto"/>
            <w:bottom w:val="none" w:sz="0" w:space="0" w:color="auto"/>
            <w:right w:val="none" w:sz="0" w:space="0" w:color="auto"/>
          </w:divBdr>
        </w:div>
        <w:div w:id="975643989">
          <w:marLeft w:val="480"/>
          <w:marRight w:val="0"/>
          <w:marTop w:val="0"/>
          <w:marBottom w:val="0"/>
          <w:divBdr>
            <w:top w:val="none" w:sz="0" w:space="0" w:color="auto"/>
            <w:left w:val="none" w:sz="0" w:space="0" w:color="auto"/>
            <w:bottom w:val="none" w:sz="0" w:space="0" w:color="auto"/>
            <w:right w:val="none" w:sz="0" w:space="0" w:color="auto"/>
          </w:divBdr>
        </w:div>
        <w:div w:id="1165898652">
          <w:marLeft w:val="480"/>
          <w:marRight w:val="0"/>
          <w:marTop w:val="0"/>
          <w:marBottom w:val="0"/>
          <w:divBdr>
            <w:top w:val="none" w:sz="0" w:space="0" w:color="auto"/>
            <w:left w:val="none" w:sz="0" w:space="0" w:color="auto"/>
            <w:bottom w:val="none" w:sz="0" w:space="0" w:color="auto"/>
            <w:right w:val="none" w:sz="0" w:space="0" w:color="auto"/>
          </w:divBdr>
        </w:div>
        <w:div w:id="1896309714">
          <w:marLeft w:val="480"/>
          <w:marRight w:val="0"/>
          <w:marTop w:val="0"/>
          <w:marBottom w:val="0"/>
          <w:divBdr>
            <w:top w:val="none" w:sz="0" w:space="0" w:color="auto"/>
            <w:left w:val="none" w:sz="0" w:space="0" w:color="auto"/>
            <w:bottom w:val="none" w:sz="0" w:space="0" w:color="auto"/>
            <w:right w:val="none" w:sz="0" w:space="0" w:color="auto"/>
          </w:divBdr>
        </w:div>
        <w:div w:id="654072150">
          <w:marLeft w:val="480"/>
          <w:marRight w:val="0"/>
          <w:marTop w:val="0"/>
          <w:marBottom w:val="0"/>
          <w:divBdr>
            <w:top w:val="none" w:sz="0" w:space="0" w:color="auto"/>
            <w:left w:val="none" w:sz="0" w:space="0" w:color="auto"/>
            <w:bottom w:val="none" w:sz="0" w:space="0" w:color="auto"/>
            <w:right w:val="none" w:sz="0" w:space="0" w:color="auto"/>
          </w:divBdr>
        </w:div>
        <w:div w:id="1317874258">
          <w:marLeft w:val="480"/>
          <w:marRight w:val="0"/>
          <w:marTop w:val="0"/>
          <w:marBottom w:val="0"/>
          <w:divBdr>
            <w:top w:val="none" w:sz="0" w:space="0" w:color="auto"/>
            <w:left w:val="none" w:sz="0" w:space="0" w:color="auto"/>
            <w:bottom w:val="none" w:sz="0" w:space="0" w:color="auto"/>
            <w:right w:val="none" w:sz="0" w:space="0" w:color="auto"/>
          </w:divBdr>
        </w:div>
        <w:div w:id="419521821">
          <w:marLeft w:val="480"/>
          <w:marRight w:val="0"/>
          <w:marTop w:val="0"/>
          <w:marBottom w:val="0"/>
          <w:divBdr>
            <w:top w:val="none" w:sz="0" w:space="0" w:color="auto"/>
            <w:left w:val="none" w:sz="0" w:space="0" w:color="auto"/>
            <w:bottom w:val="none" w:sz="0" w:space="0" w:color="auto"/>
            <w:right w:val="none" w:sz="0" w:space="0" w:color="auto"/>
          </w:divBdr>
        </w:div>
        <w:div w:id="566768872">
          <w:marLeft w:val="480"/>
          <w:marRight w:val="0"/>
          <w:marTop w:val="0"/>
          <w:marBottom w:val="0"/>
          <w:divBdr>
            <w:top w:val="none" w:sz="0" w:space="0" w:color="auto"/>
            <w:left w:val="none" w:sz="0" w:space="0" w:color="auto"/>
            <w:bottom w:val="none" w:sz="0" w:space="0" w:color="auto"/>
            <w:right w:val="none" w:sz="0" w:space="0" w:color="auto"/>
          </w:divBdr>
        </w:div>
        <w:div w:id="807162490">
          <w:marLeft w:val="480"/>
          <w:marRight w:val="0"/>
          <w:marTop w:val="0"/>
          <w:marBottom w:val="0"/>
          <w:divBdr>
            <w:top w:val="none" w:sz="0" w:space="0" w:color="auto"/>
            <w:left w:val="none" w:sz="0" w:space="0" w:color="auto"/>
            <w:bottom w:val="none" w:sz="0" w:space="0" w:color="auto"/>
            <w:right w:val="none" w:sz="0" w:space="0" w:color="auto"/>
          </w:divBdr>
        </w:div>
        <w:div w:id="941106012">
          <w:marLeft w:val="480"/>
          <w:marRight w:val="0"/>
          <w:marTop w:val="0"/>
          <w:marBottom w:val="0"/>
          <w:divBdr>
            <w:top w:val="none" w:sz="0" w:space="0" w:color="auto"/>
            <w:left w:val="none" w:sz="0" w:space="0" w:color="auto"/>
            <w:bottom w:val="none" w:sz="0" w:space="0" w:color="auto"/>
            <w:right w:val="none" w:sz="0" w:space="0" w:color="auto"/>
          </w:divBdr>
        </w:div>
        <w:div w:id="103352141">
          <w:marLeft w:val="480"/>
          <w:marRight w:val="0"/>
          <w:marTop w:val="0"/>
          <w:marBottom w:val="0"/>
          <w:divBdr>
            <w:top w:val="none" w:sz="0" w:space="0" w:color="auto"/>
            <w:left w:val="none" w:sz="0" w:space="0" w:color="auto"/>
            <w:bottom w:val="none" w:sz="0" w:space="0" w:color="auto"/>
            <w:right w:val="none" w:sz="0" w:space="0" w:color="auto"/>
          </w:divBdr>
        </w:div>
        <w:div w:id="807287741">
          <w:marLeft w:val="480"/>
          <w:marRight w:val="0"/>
          <w:marTop w:val="0"/>
          <w:marBottom w:val="0"/>
          <w:divBdr>
            <w:top w:val="none" w:sz="0" w:space="0" w:color="auto"/>
            <w:left w:val="none" w:sz="0" w:space="0" w:color="auto"/>
            <w:bottom w:val="none" w:sz="0" w:space="0" w:color="auto"/>
            <w:right w:val="none" w:sz="0" w:space="0" w:color="auto"/>
          </w:divBdr>
        </w:div>
        <w:div w:id="1683361790">
          <w:marLeft w:val="480"/>
          <w:marRight w:val="0"/>
          <w:marTop w:val="0"/>
          <w:marBottom w:val="0"/>
          <w:divBdr>
            <w:top w:val="none" w:sz="0" w:space="0" w:color="auto"/>
            <w:left w:val="none" w:sz="0" w:space="0" w:color="auto"/>
            <w:bottom w:val="none" w:sz="0" w:space="0" w:color="auto"/>
            <w:right w:val="none" w:sz="0" w:space="0" w:color="auto"/>
          </w:divBdr>
        </w:div>
        <w:div w:id="311910297">
          <w:marLeft w:val="480"/>
          <w:marRight w:val="0"/>
          <w:marTop w:val="0"/>
          <w:marBottom w:val="0"/>
          <w:divBdr>
            <w:top w:val="none" w:sz="0" w:space="0" w:color="auto"/>
            <w:left w:val="none" w:sz="0" w:space="0" w:color="auto"/>
            <w:bottom w:val="none" w:sz="0" w:space="0" w:color="auto"/>
            <w:right w:val="none" w:sz="0" w:space="0" w:color="auto"/>
          </w:divBdr>
        </w:div>
        <w:div w:id="257493198">
          <w:marLeft w:val="480"/>
          <w:marRight w:val="0"/>
          <w:marTop w:val="0"/>
          <w:marBottom w:val="0"/>
          <w:divBdr>
            <w:top w:val="none" w:sz="0" w:space="0" w:color="auto"/>
            <w:left w:val="none" w:sz="0" w:space="0" w:color="auto"/>
            <w:bottom w:val="none" w:sz="0" w:space="0" w:color="auto"/>
            <w:right w:val="none" w:sz="0" w:space="0" w:color="auto"/>
          </w:divBdr>
        </w:div>
        <w:div w:id="1676109883">
          <w:marLeft w:val="480"/>
          <w:marRight w:val="0"/>
          <w:marTop w:val="0"/>
          <w:marBottom w:val="0"/>
          <w:divBdr>
            <w:top w:val="none" w:sz="0" w:space="0" w:color="auto"/>
            <w:left w:val="none" w:sz="0" w:space="0" w:color="auto"/>
            <w:bottom w:val="none" w:sz="0" w:space="0" w:color="auto"/>
            <w:right w:val="none" w:sz="0" w:space="0" w:color="auto"/>
          </w:divBdr>
        </w:div>
        <w:div w:id="1443257229">
          <w:marLeft w:val="480"/>
          <w:marRight w:val="0"/>
          <w:marTop w:val="0"/>
          <w:marBottom w:val="0"/>
          <w:divBdr>
            <w:top w:val="none" w:sz="0" w:space="0" w:color="auto"/>
            <w:left w:val="none" w:sz="0" w:space="0" w:color="auto"/>
            <w:bottom w:val="none" w:sz="0" w:space="0" w:color="auto"/>
            <w:right w:val="none" w:sz="0" w:space="0" w:color="auto"/>
          </w:divBdr>
        </w:div>
        <w:div w:id="1309044759">
          <w:marLeft w:val="480"/>
          <w:marRight w:val="0"/>
          <w:marTop w:val="0"/>
          <w:marBottom w:val="0"/>
          <w:divBdr>
            <w:top w:val="none" w:sz="0" w:space="0" w:color="auto"/>
            <w:left w:val="none" w:sz="0" w:space="0" w:color="auto"/>
            <w:bottom w:val="none" w:sz="0" w:space="0" w:color="auto"/>
            <w:right w:val="none" w:sz="0" w:space="0" w:color="auto"/>
          </w:divBdr>
        </w:div>
        <w:div w:id="1122656210">
          <w:marLeft w:val="480"/>
          <w:marRight w:val="0"/>
          <w:marTop w:val="0"/>
          <w:marBottom w:val="0"/>
          <w:divBdr>
            <w:top w:val="none" w:sz="0" w:space="0" w:color="auto"/>
            <w:left w:val="none" w:sz="0" w:space="0" w:color="auto"/>
            <w:bottom w:val="none" w:sz="0" w:space="0" w:color="auto"/>
            <w:right w:val="none" w:sz="0" w:space="0" w:color="auto"/>
          </w:divBdr>
        </w:div>
        <w:div w:id="285354562">
          <w:marLeft w:val="480"/>
          <w:marRight w:val="0"/>
          <w:marTop w:val="0"/>
          <w:marBottom w:val="0"/>
          <w:divBdr>
            <w:top w:val="none" w:sz="0" w:space="0" w:color="auto"/>
            <w:left w:val="none" w:sz="0" w:space="0" w:color="auto"/>
            <w:bottom w:val="none" w:sz="0" w:space="0" w:color="auto"/>
            <w:right w:val="none" w:sz="0" w:space="0" w:color="auto"/>
          </w:divBdr>
        </w:div>
        <w:div w:id="1255087136">
          <w:marLeft w:val="480"/>
          <w:marRight w:val="0"/>
          <w:marTop w:val="0"/>
          <w:marBottom w:val="0"/>
          <w:divBdr>
            <w:top w:val="none" w:sz="0" w:space="0" w:color="auto"/>
            <w:left w:val="none" w:sz="0" w:space="0" w:color="auto"/>
            <w:bottom w:val="none" w:sz="0" w:space="0" w:color="auto"/>
            <w:right w:val="none" w:sz="0" w:space="0" w:color="auto"/>
          </w:divBdr>
        </w:div>
        <w:div w:id="269238412">
          <w:marLeft w:val="480"/>
          <w:marRight w:val="0"/>
          <w:marTop w:val="0"/>
          <w:marBottom w:val="0"/>
          <w:divBdr>
            <w:top w:val="none" w:sz="0" w:space="0" w:color="auto"/>
            <w:left w:val="none" w:sz="0" w:space="0" w:color="auto"/>
            <w:bottom w:val="none" w:sz="0" w:space="0" w:color="auto"/>
            <w:right w:val="none" w:sz="0" w:space="0" w:color="auto"/>
          </w:divBdr>
        </w:div>
        <w:div w:id="1390880078">
          <w:marLeft w:val="480"/>
          <w:marRight w:val="0"/>
          <w:marTop w:val="0"/>
          <w:marBottom w:val="0"/>
          <w:divBdr>
            <w:top w:val="none" w:sz="0" w:space="0" w:color="auto"/>
            <w:left w:val="none" w:sz="0" w:space="0" w:color="auto"/>
            <w:bottom w:val="none" w:sz="0" w:space="0" w:color="auto"/>
            <w:right w:val="none" w:sz="0" w:space="0" w:color="auto"/>
          </w:divBdr>
        </w:div>
        <w:div w:id="986980221">
          <w:marLeft w:val="480"/>
          <w:marRight w:val="0"/>
          <w:marTop w:val="0"/>
          <w:marBottom w:val="0"/>
          <w:divBdr>
            <w:top w:val="none" w:sz="0" w:space="0" w:color="auto"/>
            <w:left w:val="none" w:sz="0" w:space="0" w:color="auto"/>
            <w:bottom w:val="none" w:sz="0" w:space="0" w:color="auto"/>
            <w:right w:val="none" w:sz="0" w:space="0" w:color="auto"/>
          </w:divBdr>
        </w:div>
        <w:div w:id="341204456">
          <w:marLeft w:val="480"/>
          <w:marRight w:val="0"/>
          <w:marTop w:val="0"/>
          <w:marBottom w:val="0"/>
          <w:divBdr>
            <w:top w:val="none" w:sz="0" w:space="0" w:color="auto"/>
            <w:left w:val="none" w:sz="0" w:space="0" w:color="auto"/>
            <w:bottom w:val="none" w:sz="0" w:space="0" w:color="auto"/>
            <w:right w:val="none" w:sz="0" w:space="0" w:color="auto"/>
          </w:divBdr>
        </w:div>
        <w:div w:id="838422585">
          <w:marLeft w:val="480"/>
          <w:marRight w:val="0"/>
          <w:marTop w:val="0"/>
          <w:marBottom w:val="0"/>
          <w:divBdr>
            <w:top w:val="none" w:sz="0" w:space="0" w:color="auto"/>
            <w:left w:val="none" w:sz="0" w:space="0" w:color="auto"/>
            <w:bottom w:val="none" w:sz="0" w:space="0" w:color="auto"/>
            <w:right w:val="none" w:sz="0" w:space="0" w:color="auto"/>
          </w:divBdr>
        </w:div>
        <w:div w:id="846864456">
          <w:marLeft w:val="480"/>
          <w:marRight w:val="0"/>
          <w:marTop w:val="0"/>
          <w:marBottom w:val="0"/>
          <w:divBdr>
            <w:top w:val="none" w:sz="0" w:space="0" w:color="auto"/>
            <w:left w:val="none" w:sz="0" w:space="0" w:color="auto"/>
            <w:bottom w:val="none" w:sz="0" w:space="0" w:color="auto"/>
            <w:right w:val="none" w:sz="0" w:space="0" w:color="auto"/>
          </w:divBdr>
        </w:div>
        <w:div w:id="1895769916">
          <w:marLeft w:val="480"/>
          <w:marRight w:val="0"/>
          <w:marTop w:val="0"/>
          <w:marBottom w:val="0"/>
          <w:divBdr>
            <w:top w:val="none" w:sz="0" w:space="0" w:color="auto"/>
            <w:left w:val="none" w:sz="0" w:space="0" w:color="auto"/>
            <w:bottom w:val="none" w:sz="0" w:space="0" w:color="auto"/>
            <w:right w:val="none" w:sz="0" w:space="0" w:color="auto"/>
          </w:divBdr>
        </w:div>
        <w:div w:id="1040671151">
          <w:marLeft w:val="480"/>
          <w:marRight w:val="0"/>
          <w:marTop w:val="0"/>
          <w:marBottom w:val="0"/>
          <w:divBdr>
            <w:top w:val="none" w:sz="0" w:space="0" w:color="auto"/>
            <w:left w:val="none" w:sz="0" w:space="0" w:color="auto"/>
            <w:bottom w:val="none" w:sz="0" w:space="0" w:color="auto"/>
            <w:right w:val="none" w:sz="0" w:space="0" w:color="auto"/>
          </w:divBdr>
        </w:div>
        <w:div w:id="458036925">
          <w:marLeft w:val="480"/>
          <w:marRight w:val="0"/>
          <w:marTop w:val="0"/>
          <w:marBottom w:val="0"/>
          <w:divBdr>
            <w:top w:val="none" w:sz="0" w:space="0" w:color="auto"/>
            <w:left w:val="none" w:sz="0" w:space="0" w:color="auto"/>
            <w:bottom w:val="none" w:sz="0" w:space="0" w:color="auto"/>
            <w:right w:val="none" w:sz="0" w:space="0" w:color="auto"/>
          </w:divBdr>
        </w:div>
        <w:div w:id="1652952095">
          <w:marLeft w:val="480"/>
          <w:marRight w:val="0"/>
          <w:marTop w:val="0"/>
          <w:marBottom w:val="0"/>
          <w:divBdr>
            <w:top w:val="none" w:sz="0" w:space="0" w:color="auto"/>
            <w:left w:val="none" w:sz="0" w:space="0" w:color="auto"/>
            <w:bottom w:val="none" w:sz="0" w:space="0" w:color="auto"/>
            <w:right w:val="none" w:sz="0" w:space="0" w:color="auto"/>
          </w:divBdr>
        </w:div>
        <w:div w:id="421462038">
          <w:marLeft w:val="480"/>
          <w:marRight w:val="0"/>
          <w:marTop w:val="0"/>
          <w:marBottom w:val="0"/>
          <w:divBdr>
            <w:top w:val="none" w:sz="0" w:space="0" w:color="auto"/>
            <w:left w:val="none" w:sz="0" w:space="0" w:color="auto"/>
            <w:bottom w:val="none" w:sz="0" w:space="0" w:color="auto"/>
            <w:right w:val="none" w:sz="0" w:space="0" w:color="auto"/>
          </w:divBdr>
        </w:div>
        <w:div w:id="1295408042">
          <w:marLeft w:val="480"/>
          <w:marRight w:val="0"/>
          <w:marTop w:val="0"/>
          <w:marBottom w:val="0"/>
          <w:divBdr>
            <w:top w:val="none" w:sz="0" w:space="0" w:color="auto"/>
            <w:left w:val="none" w:sz="0" w:space="0" w:color="auto"/>
            <w:bottom w:val="none" w:sz="0" w:space="0" w:color="auto"/>
            <w:right w:val="none" w:sz="0" w:space="0" w:color="auto"/>
          </w:divBdr>
        </w:div>
        <w:div w:id="1057973316">
          <w:marLeft w:val="480"/>
          <w:marRight w:val="0"/>
          <w:marTop w:val="0"/>
          <w:marBottom w:val="0"/>
          <w:divBdr>
            <w:top w:val="none" w:sz="0" w:space="0" w:color="auto"/>
            <w:left w:val="none" w:sz="0" w:space="0" w:color="auto"/>
            <w:bottom w:val="none" w:sz="0" w:space="0" w:color="auto"/>
            <w:right w:val="none" w:sz="0" w:space="0" w:color="auto"/>
          </w:divBdr>
        </w:div>
        <w:div w:id="903026233">
          <w:marLeft w:val="480"/>
          <w:marRight w:val="0"/>
          <w:marTop w:val="0"/>
          <w:marBottom w:val="0"/>
          <w:divBdr>
            <w:top w:val="none" w:sz="0" w:space="0" w:color="auto"/>
            <w:left w:val="none" w:sz="0" w:space="0" w:color="auto"/>
            <w:bottom w:val="none" w:sz="0" w:space="0" w:color="auto"/>
            <w:right w:val="none" w:sz="0" w:space="0" w:color="auto"/>
          </w:divBdr>
        </w:div>
        <w:div w:id="278951650">
          <w:marLeft w:val="480"/>
          <w:marRight w:val="0"/>
          <w:marTop w:val="0"/>
          <w:marBottom w:val="0"/>
          <w:divBdr>
            <w:top w:val="none" w:sz="0" w:space="0" w:color="auto"/>
            <w:left w:val="none" w:sz="0" w:space="0" w:color="auto"/>
            <w:bottom w:val="none" w:sz="0" w:space="0" w:color="auto"/>
            <w:right w:val="none" w:sz="0" w:space="0" w:color="auto"/>
          </w:divBdr>
        </w:div>
        <w:div w:id="1778286204">
          <w:marLeft w:val="480"/>
          <w:marRight w:val="0"/>
          <w:marTop w:val="0"/>
          <w:marBottom w:val="0"/>
          <w:divBdr>
            <w:top w:val="none" w:sz="0" w:space="0" w:color="auto"/>
            <w:left w:val="none" w:sz="0" w:space="0" w:color="auto"/>
            <w:bottom w:val="none" w:sz="0" w:space="0" w:color="auto"/>
            <w:right w:val="none" w:sz="0" w:space="0" w:color="auto"/>
          </w:divBdr>
        </w:div>
        <w:div w:id="194852480">
          <w:marLeft w:val="480"/>
          <w:marRight w:val="0"/>
          <w:marTop w:val="0"/>
          <w:marBottom w:val="0"/>
          <w:divBdr>
            <w:top w:val="none" w:sz="0" w:space="0" w:color="auto"/>
            <w:left w:val="none" w:sz="0" w:space="0" w:color="auto"/>
            <w:bottom w:val="none" w:sz="0" w:space="0" w:color="auto"/>
            <w:right w:val="none" w:sz="0" w:space="0" w:color="auto"/>
          </w:divBdr>
        </w:div>
        <w:div w:id="1410883909">
          <w:marLeft w:val="480"/>
          <w:marRight w:val="0"/>
          <w:marTop w:val="0"/>
          <w:marBottom w:val="0"/>
          <w:divBdr>
            <w:top w:val="none" w:sz="0" w:space="0" w:color="auto"/>
            <w:left w:val="none" w:sz="0" w:space="0" w:color="auto"/>
            <w:bottom w:val="none" w:sz="0" w:space="0" w:color="auto"/>
            <w:right w:val="none" w:sz="0" w:space="0" w:color="auto"/>
          </w:divBdr>
        </w:div>
        <w:div w:id="824857053">
          <w:marLeft w:val="480"/>
          <w:marRight w:val="0"/>
          <w:marTop w:val="0"/>
          <w:marBottom w:val="0"/>
          <w:divBdr>
            <w:top w:val="none" w:sz="0" w:space="0" w:color="auto"/>
            <w:left w:val="none" w:sz="0" w:space="0" w:color="auto"/>
            <w:bottom w:val="none" w:sz="0" w:space="0" w:color="auto"/>
            <w:right w:val="none" w:sz="0" w:space="0" w:color="auto"/>
          </w:divBdr>
        </w:div>
        <w:div w:id="444733438">
          <w:marLeft w:val="480"/>
          <w:marRight w:val="0"/>
          <w:marTop w:val="0"/>
          <w:marBottom w:val="0"/>
          <w:divBdr>
            <w:top w:val="none" w:sz="0" w:space="0" w:color="auto"/>
            <w:left w:val="none" w:sz="0" w:space="0" w:color="auto"/>
            <w:bottom w:val="none" w:sz="0" w:space="0" w:color="auto"/>
            <w:right w:val="none" w:sz="0" w:space="0" w:color="auto"/>
          </w:divBdr>
        </w:div>
        <w:div w:id="6106969">
          <w:marLeft w:val="480"/>
          <w:marRight w:val="0"/>
          <w:marTop w:val="0"/>
          <w:marBottom w:val="0"/>
          <w:divBdr>
            <w:top w:val="none" w:sz="0" w:space="0" w:color="auto"/>
            <w:left w:val="none" w:sz="0" w:space="0" w:color="auto"/>
            <w:bottom w:val="none" w:sz="0" w:space="0" w:color="auto"/>
            <w:right w:val="none" w:sz="0" w:space="0" w:color="auto"/>
          </w:divBdr>
        </w:div>
        <w:div w:id="211237146">
          <w:marLeft w:val="480"/>
          <w:marRight w:val="0"/>
          <w:marTop w:val="0"/>
          <w:marBottom w:val="0"/>
          <w:divBdr>
            <w:top w:val="none" w:sz="0" w:space="0" w:color="auto"/>
            <w:left w:val="none" w:sz="0" w:space="0" w:color="auto"/>
            <w:bottom w:val="none" w:sz="0" w:space="0" w:color="auto"/>
            <w:right w:val="none" w:sz="0" w:space="0" w:color="auto"/>
          </w:divBdr>
        </w:div>
        <w:div w:id="887424318">
          <w:marLeft w:val="480"/>
          <w:marRight w:val="0"/>
          <w:marTop w:val="0"/>
          <w:marBottom w:val="0"/>
          <w:divBdr>
            <w:top w:val="none" w:sz="0" w:space="0" w:color="auto"/>
            <w:left w:val="none" w:sz="0" w:space="0" w:color="auto"/>
            <w:bottom w:val="none" w:sz="0" w:space="0" w:color="auto"/>
            <w:right w:val="none" w:sz="0" w:space="0" w:color="auto"/>
          </w:divBdr>
        </w:div>
        <w:div w:id="855533398">
          <w:marLeft w:val="480"/>
          <w:marRight w:val="0"/>
          <w:marTop w:val="0"/>
          <w:marBottom w:val="0"/>
          <w:divBdr>
            <w:top w:val="none" w:sz="0" w:space="0" w:color="auto"/>
            <w:left w:val="none" w:sz="0" w:space="0" w:color="auto"/>
            <w:bottom w:val="none" w:sz="0" w:space="0" w:color="auto"/>
            <w:right w:val="none" w:sz="0" w:space="0" w:color="auto"/>
          </w:divBdr>
        </w:div>
        <w:div w:id="1872765500">
          <w:marLeft w:val="480"/>
          <w:marRight w:val="0"/>
          <w:marTop w:val="0"/>
          <w:marBottom w:val="0"/>
          <w:divBdr>
            <w:top w:val="none" w:sz="0" w:space="0" w:color="auto"/>
            <w:left w:val="none" w:sz="0" w:space="0" w:color="auto"/>
            <w:bottom w:val="none" w:sz="0" w:space="0" w:color="auto"/>
            <w:right w:val="none" w:sz="0" w:space="0" w:color="auto"/>
          </w:divBdr>
        </w:div>
        <w:div w:id="1629048447">
          <w:marLeft w:val="480"/>
          <w:marRight w:val="0"/>
          <w:marTop w:val="0"/>
          <w:marBottom w:val="0"/>
          <w:divBdr>
            <w:top w:val="none" w:sz="0" w:space="0" w:color="auto"/>
            <w:left w:val="none" w:sz="0" w:space="0" w:color="auto"/>
            <w:bottom w:val="none" w:sz="0" w:space="0" w:color="auto"/>
            <w:right w:val="none" w:sz="0" w:space="0" w:color="auto"/>
          </w:divBdr>
        </w:div>
        <w:div w:id="2061902618">
          <w:marLeft w:val="480"/>
          <w:marRight w:val="0"/>
          <w:marTop w:val="0"/>
          <w:marBottom w:val="0"/>
          <w:divBdr>
            <w:top w:val="none" w:sz="0" w:space="0" w:color="auto"/>
            <w:left w:val="none" w:sz="0" w:space="0" w:color="auto"/>
            <w:bottom w:val="none" w:sz="0" w:space="0" w:color="auto"/>
            <w:right w:val="none" w:sz="0" w:space="0" w:color="auto"/>
          </w:divBdr>
        </w:div>
        <w:div w:id="651251625">
          <w:marLeft w:val="480"/>
          <w:marRight w:val="0"/>
          <w:marTop w:val="0"/>
          <w:marBottom w:val="0"/>
          <w:divBdr>
            <w:top w:val="none" w:sz="0" w:space="0" w:color="auto"/>
            <w:left w:val="none" w:sz="0" w:space="0" w:color="auto"/>
            <w:bottom w:val="none" w:sz="0" w:space="0" w:color="auto"/>
            <w:right w:val="none" w:sz="0" w:space="0" w:color="auto"/>
          </w:divBdr>
        </w:div>
        <w:div w:id="678393447">
          <w:marLeft w:val="480"/>
          <w:marRight w:val="0"/>
          <w:marTop w:val="0"/>
          <w:marBottom w:val="0"/>
          <w:divBdr>
            <w:top w:val="none" w:sz="0" w:space="0" w:color="auto"/>
            <w:left w:val="none" w:sz="0" w:space="0" w:color="auto"/>
            <w:bottom w:val="none" w:sz="0" w:space="0" w:color="auto"/>
            <w:right w:val="none" w:sz="0" w:space="0" w:color="auto"/>
          </w:divBdr>
        </w:div>
        <w:div w:id="153113601">
          <w:marLeft w:val="480"/>
          <w:marRight w:val="0"/>
          <w:marTop w:val="0"/>
          <w:marBottom w:val="0"/>
          <w:divBdr>
            <w:top w:val="none" w:sz="0" w:space="0" w:color="auto"/>
            <w:left w:val="none" w:sz="0" w:space="0" w:color="auto"/>
            <w:bottom w:val="none" w:sz="0" w:space="0" w:color="auto"/>
            <w:right w:val="none" w:sz="0" w:space="0" w:color="auto"/>
          </w:divBdr>
        </w:div>
      </w:divsChild>
    </w:div>
    <w:div w:id="1473401495">
      <w:bodyDiv w:val="1"/>
      <w:marLeft w:val="0"/>
      <w:marRight w:val="0"/>
      <w:marTop w:val="0"/>
      <w:marBottom w:val="0"/>
      <w:divBdr>
        <w:top w:val="none" w:sz="0" w:space="0" w:color="auto"/>
        <w:left w:val="none" w:sz="0" w:space="0" w:color="auto"/>
        <w:bottom w:val="none" w:sz="0" w:space="0" w:color="auto"/>
        <w:right w:val="none" w:sz="0" w:space="0" w:color="auto"/>
      </w:divBdr>
    </w:div>
    <w:div w:id="1477144484">
      <w:bodyDiv w:val="1"/>
      <w:marLeft w:val="0"/>
      <w:marRight w:val="0"/>
      <w:marTop w:val="0"/>
      <w:marBottom w:val="0"/>
      <w:divBdr>
        <w:top w:val="none" w:sz="0" w:space="0" w:color="auto"/>
        <w:left w:val="none" w:sz="0" w:space="0" w:color="auto"/>
        <w:bottom w:val="none" w:sz="0" w:space="0" w:color="auto"/>
        <w:right w:val="none" w:sz="0" w:space="0" w:color="auto"/>
      </w:divBdr>
    </w:div>
    <w:div w:id="1480993725">
      <w:bodyDiv w:val="1"/>
      <w:marLeft w:val="0"/>
      <w:marRight w:val="0"/>
      <w:marTop w:val="0"/>
      <w:marBottom w:val="0"/>
      <w:divBdr>
        <w:top w:val="none" w:sz="0" w:space="0" w:color="auto"/>
        <w:left w:val="none" w:sz="0" w:space="0" w:color="auto"/>
        <w:bottom w:val="none" w:sz="0" w:space="0" w:color="auto"/>
        <w:right w:val="none" w:sz="0" w:space="0" w:color="auto"/>
      </w:divBdr>
    </w:div>
    <w:div w:id="1483740784">
      <w:bodyDiv w:val="1"/>
      <w:marLeft w:val="0"/>
      <w:marRight w:val="0"/>
      <w:marTop w:val="0"/>
      <w:marBottom w:val="0"/>
      <w:divBdr>
        <w:top w:val="none" w:sz="0" w:space="0" w:color="auto"/>
        <w:left w:val="none" w:sz="0" w:space="0" w:color="auto"/>
        <w:bottom w:val="none" w:sz="0" w:space="0" w:color="auto"/>
        <w:right w:val="none" w:sz="0" w:space="0" w:color="auto"/>
      </w:divBdr>
    </w:div>
    <w:div w:id="1485124699">
      <w:bodyDiv w:val="1"/>
      <w:marLeft w:val="0"/>
      <w:marRight w:val="0"/>
      <w:marTop w:val="0"/>
      <w:marBottom w:val="0"/>
      <w:divBdr>
        <w:top w:val="none" w:sz="0" w:space="0" w:color="auto"/>
        <w:left w:val="none" w:sz="0" w:space="0" w:color="auto"/>
        <w:bottom w:val="none" w:sz="0" w:space="0" w:color="auto"/>
        <w:right w:val="none" w:sz="0" w:space="0" w:color="auto"/>
      </w:divBdr>
    </w:div>
    <w:div w:id="1488745379">
      <w:bodyDiv w:val="1"/>
      <w:marLeft w:val="0"/>
      <w:marRight w:val="0"/>
      <w:marTop w:val="0"/>
      <w:marBottom w:val="0"/>
      <w:divBdr>
        <w:top w:val="none" w:sz="0" w:space="0" w:color="auto"/>
        <w:left w:val="none" w:sz="0" w:space="0" w:color="auto"/>
        <w:bottom w:val="none" w:sz="0" w:space="0" w:color="auto"/>
        <w:right w:val="none" w:sz="0" w:space="0" w:color="auto"/>
      </w:divBdr>
    </w:div>
    <w:div w:id="1492481754">
      <w:bodyDiv w:val="1"/>
      <w:marLeft w:val="0"/>
      <w:marRight w:val="0"/>
      <w:marTop w:val="0"/>
      <w:marBottom w:val="0"/>
      <w:divBdr>
        <w:top w:val="none" w:sz="0" w:space="0" w:color="auto"/>
        <w:left w:val="none" w:sz="0" w:space="0" w:color="auto"/>
        <w:bottom w:val="none" w:sz="0" w:space="0" w:color="auto"/>
        <w:right w:val="none" w:sz="0" w:space="0" w:color="auto"/>
      </w:divBdr>
    </w:div>
    <w:div w:id="1493715025">
      <w:bodyDiv w:val="1"/>
      <w:marLeft w:val="0"/>
      <w:marRight w:val="0"/>
      <w:marTop w:val="0"/>
      <w:marBottom w:val="0"/>
      <w:divBdr>
        <w:top w:val="none" w:sz="0" w:space="0" w:color="auto"/>
        <w:left w:val="none" w:sz="0" w:space="0" w:color="auto"/>
        <w:bottom w:val="none" w:sz="0" w:space="0" w:color="auto"/>
        <w:right w:val="none" w:sz="0" w:space="0" w:color="auto"/>
      </w:divBdr>
    </w:div>
    <w:div w:id="1496795510">
      <w:bodyDiv w:val="1"/>
      <w:marLeft w:val="0"/>
      <w:marRight w:val="0"/>
      <w:marTop w:val="0"/>
      <w:marBottom w:val="0"/>
      <w:divBdr>
        <w:top w:val="none" w:sz="0" w:space="0" w:color="auto"/>
        <w:left w:val="none" w:sz="0" w:space="0" w:color="auto"/>
        <w:bottom w:val="none" w:sz="0" w:space="0" w:color="auto"/>
        <w:right w:val="none" w:sz="0" w:space="0" w:color="auto"/>
      </w:divBdr>
    </w:div>
    <w:div w:id="1500078907">
      <w:bodyDiv w:val="1"/>
      <w:marLeft w:val="0"/>
      <w:marRight w:val="0"/>
      <w:marTop w:val="0"/>
      <w:marBottom w:val="0"/>
      <w:divBdr>
        <w:top w:val="none" w:sz="0" w:space="0" w:color="auto"/>
        <w:left w:val="none" w:sz="0" w:space="0" w:color="auto"/>
        <w:bottom w:val="none" w:sz="0" w:space="0" w:color="auto"/>
        <w:right w:val="none" w:sz="0" w:space="0" w:color="auto"/>
      </w:divBdr>
    </w:div>
    <w:div w:id="1500272324">
      <w:bodyDiv w:val="1"/>
      <w:marLeft w:val="0"/>
      <w:marRight w:val="0"/>
      <w:marTop w:val="0"/>
      <w:marBottom w:val="0"/>
      <w:divBdr>
        <w:top w:val="none" w:sz="0" w:space="0" w:color="auto"/>
        <w:left w:val="none" w:sz="0" w:space="0" w:color="auto"/>
        <w:bottom w:val="none" w:sz="0" w:space="0" w:color="auto"/>
        <w:right w:val="none" w:sz="0" w:space="0" w:color="auto"/>
      </w:divBdr>
    </w:div>
    <w:div w:id="1502697897">
      <w:bodyDiv w:val="1"/>
      <w:marLeft w:val="0"/>
      <w:marRight w:val="0"/>
      <w:marTop w:val="0"/>
      <w:marBottom w:val="0"/>
      <w:divBdr>
        <w:top w:val="none" w:sz="0" w:space="0" w:color="auto"/>
        <w:left w:val="none" w:sz="0" w:space="0" w:color="auto"/>
        <w:bottom w:val="none" w:sz="0" w:space="0" w:color="auto"/>
        <w:right w:val="none" w:sz="0" w:space="0" w:color="auto"/>
      </w:divBdr>
    </w:div>
    <w:div w:id="1505052997">
      <w:bodyDiv w:val="1"/>
      <w:marLeft w:val="0"/>
      <w:marRight w:val="0"/>
      <w:marTop w:val="0"/>
      <w:marBottom w:val="0"/>
      <w:divBdr>
        <w:top w:val="none" w:sz="0" w:space="0" w:color="auto"/>
        <w:left w:val="none" w:sz="0" w:space="0" w:color="auto"/>
        <w:bottom w:val="none" w:sz="0" w:space="0" w:color="auto"/>
        <w:right w:val="none" w:sz="0" w:space="0" w:color="auto"/>
      </w:divBdr>
    </w:div>
    <w:div w:id="1506045838">
      <w:bodyDiv w:val="1"/>
      <w:marLeft w:val="0"/>
      <w:marRight w:val="0"/>
      <w:marTop w:val="0"/>
      <w:marBottom w:val="0"/>
      <w:divBdr>
        <w:top w:val="none" w:sz="0" w:space="0" w:color="auto"/>
        <w:left w:val="none" w:sz="0" w:space="0" w:color="auto"/>
        <w:bottom w:val="none" w:sz="0" w:space="0" w:color="auto"/>
        <w:right w:val="none" w:sz="0" w:space="0" w:color="auto"/>
      </w:divBdr>
    </w:div>
    <w:div w:id="1506556156">
      <w:bodyDiv w:val="1"/>
      <w:marLeft w:val="0"/>
      <w:marRight w:val="0"/>
      <w:marTop w:val="0"/>
      <w:marBottom w:val="0"/>
      <w:divBdr>
        <w:top w:val="none" w:sz="0" w:space="0" w:color="auto"/>
        <w:left w:val="none" w:sz="0" w:space="0" w:color="auto"/>
        <w:bottom w:val="none" w:sz="0" w:space="0" w:color="auto"/>
        <w:right w:val="none" w:sz="0" w:space="0" w:color="auto"/>
      </w:divBdr>
    </w:div>
    <w:div w:id="1508978257">
      <w:bodyDiv w:val="1"/>
      <w:marLeft w:val="0"/>
      <w:marRight w:val="0"/>
      <w:marTop w:val="0"/>
      <w:marBottom w:val="0"/>
      <w:divBdr>
        <w:top w:val="none" w:sz="0" w:space="0" w:color="auto"/>
        <w:left w:val="none" w:sz="0" w:space="0" w:color="auto"/>
        <w:bottom w:val="none" w:sz="0" w:space="0" w:color="auto"/>
        <w:right w:val="none" w:sz="0" w:space="0" w:color="auto"/>
      </w:divBdr>
    </w:div>
    <w:div w:id="1510099808">
      <w:bodyDiv w:val="1"/>
      <w:marLeft w:val="0"/>
      <w:marRight w:val="0"/>
      <w:marTop w:val="0"/>
      <w:marBottom w:val="0"/>
      <w:divBdr>
        <w:top w:val="none" w:sz="0" w:space="0" w:color="auto"/>
        <w:left w:val="none" w:sz="0" w:space="0" w:color="auto"/>
        <w:bottom w:val="none" w:sz="0" w:space="0" w:color="auto"/>
        <w:right w:val="none" w:sz="0" w:space="0" w:color="auto"/>
      </w:divBdr>
    </w:div>
    <w:div w:id="1514344505">
      <w:bodyDiv w:val="1"/>
      <w:marLeft w:val="0"/>
      <w:marRight w:val="0"/>
      <w:marTop w:val="0"/>
      <w:marBottom w:val="0"/>
      <w:divBdr>
        <w:top w:val="none" w:sz="0" w:space="0" w:color="auto"/>
        <w:left w:val="none" w:sz="0" w:space="0" w:color="auto"/>
        <w:bottom w:val="none" w:sz="0" w:space="0" w:color="auto"/>
        <w:right w:val="none" w:sz="0" w:space="0" w:color="auto"/>
      </w:divBdr>
      <w:divsChild>
        <w:div w:id="938180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801851">
      <w:bodyDiv w:val="1"/>
      <w:marLeft w:val="0"/>
      <w:marRight w:val="0"/>
      <w:marTop w:val="0"/>
      <w:marBottom w:val="0"/>
      <w:divBdr>
        <w:top w:val="none" w:sz="0" w:space="0" w:color="auto"/>
        <w:left w:val="none" w:sz="0" w:space="0" w:color="auto"/>
        <w:bottom w:val="none" w:sz="0" w:space="0" w:color="auto"/>
        <w:right w:val="none" w:sz="0" w:space="0" w:color="auto"/>
      </w:divBdr>
    </w:div>
    <w:div w:id="1517886956">
      <w:bodyDiv w:val="1"/>
      <w:marLeft w:val="0"/>
      <w:marRight w:val="0"/>
      <w:marTop w:val="0"/>
      <w:marBottom w:val="0"/>
      <w:divBdr>
        <w:top w:val="none" w:sz="0" w:space="0" w:color="auto"/>
        <w:left w:val="none" w:sz="0" w:space="0" w:color="auto"/>
        <w:bottom w:val="none" w:sz="0" w:space="0" w:color="auto"/>
        <w:right w:val="none" w:sz="0" w:space="0" w:color="auto"/>
      </w:divBdr>
    </w:div>
    <w:div w:id="1519857213">
      <w:bodyDiv w:val="1"/>
      <w:marLeft w:val="0"/>
      <w:marRight w:val="0"/>
      <w:marTop w:val="0"/>
      <w:marBottom w:val="0"/>
      <w:divBdr>
        <w:top w:val="none" w:sz="0" w:space="0" w:color="auto"/>
        <w:left w:val="none" w:sz="0" w:space="0" w:color="auto"/>
        <w:bottom w:val="none" w:sz="0" w:space="0" w:color="auto"/>
        <w:right w:val="none" w:sz="0" w:space="0" w:color="auto"/>
      </w:divBdr>
    </w:div>
    <w:div w:id="1521504503">
      <w:bodyDiv w:val="1"/>
      <w:marLeft w:val="0"/>
      <w:marRight w:val="0"/>
      <w:marTop w:val="0"/>
      <w:marBottom w:val="0"/>
      <w:divBdr>
        <w:top w:val="none" w:sz="0" w:space="0" w:color="auto"/>
        <w:left w:val="none" w:sz="0" w:space="0" w:color="auto"/>
        <w:bottom w:val="none" w:sz="0" w:space="0" w:color="auto"/>
        <w:right w:val="none" w:sz="0" w:space="0" w:color="auto"/>
      </w:divBdr>
    </w:div>
    <w:div w:id="1521771550">
      <w:bodyDiv w:val="1"/>
      <w:marLeft w:val="0"/>
      <w:marRight w:val="0"/>
      <w:marTop w:val="0"/>
      <w:marBottom w:val="0"/>
      <w:divBdr>
        <w:top w:val="none" w:sz="0" w:space="0" w:color="auto"/>
        <w:left w:val="none" w:sz="0" w:space="0" w:color="auto"/>
        <w:bottom w:val="none" w:sz="0" w:space="0" w:color="auto"/>
        <w:right w:val="none" w:sz="0" w:space="0" w:color="auto"/>
      </w:divBdr>
    </w:div>
    <w:div w:id="1523738936">
      <w:bodyDiv w:val="1"/>
      <w:marLeft w:val="0"/>
      <w:marRight w:val="0"/>
      <w:marTop w:val="0"/>
      <w:marBottom w:val="0"/>
      <w:divBdr>
        <w:top w:val="none" w:sz="0" w:space="0" w:color="auto"/>
        <w:left w:val="none" w:sz="0" w:space="0" w:color="auto"/>
        <w:bottom w:val="none" w:sz="0" w:space="0" w:color="auto"/>
        <w:right w:val="none" w:sz="0" w:space="0" w:color="auto"/>
      </w:divBdr>
      <w:divsChild>
        <w:div w:id="1886404111">
          <w:marLeft w:val="0"/>
          <w:marRight w:val="0"/>
          <w:marTop w:val="0"/>
          <w:marBottom w:val="0"/>
          <w:divBdr>
            <w:top w:val="none" w:sz="0" w:space="0" w:color="auto"/>
            <w:left w:val="none" w:sz="0" w:space="0" w:color="auto"/>
            <w:bottom w:val="none" w:sz="0" w:space="0" w:color="auto"/>
            <w:right w:val="none" w:sz="0" w:space="0" w:color="auto"/>
          </w:divBdr>
          <w:divsChild>
            <w:div w:id="182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29565">
      <w:bodyDiv w:val="1"/>
      <w:marLeft w:val="0"/>
      <w:marRight w:val="0"/>
      <w:marTop w:val="0"/>
      <w:marBottom w:val="0"/>
      <w:divBdr>
        <w:top w:val="none" w:sz="0" w:space="0" w:color="auto"/>
        <w:left w:val="none" w:sz="0" w:space="0" w:color="auto"/>
        <w:bottom w:val="none" w:sz="0" w:space="0" w:color="auto"/>
        <w:right w:val="none" w:sz="0" w:space="0" w:color="auto"/>
      </w:divBdr>
    </w:div>
    <w:div w:id="1524250602">
      <w:bodyDiv w:val="1"/>
      <w:marLeft w:val="0"/>
      <w:marRight w:val="0"/>
      <w:marTop w:val="0"/>
      <w:marBottom w:val="0"/>
      <w:divBdr>
        <w:top w:val="none" w:sz="0" w:space="0" w:color="auto"/>
        <w:left w:val="none" w:sz="0" w:space="0" w:color="auto"/>
        <w:bottom w:val="none" w:sz="0" w:space="0" w:color="auto"/>
        <w:right w:val="none" w:sz="0" w:space="0" w:color="auto"/>
      </w:divBdr>
    </w:div>
    <w:div w:id="1525824172">
      <w:bodyDiv w:val="1"/>
      <w:marLeft w:val="0"/>
      <w:marRight w:val="0"/>
      <w:marTop w:val="0"/>
      <w:marBottom w:val="0"/>
      <w:divBdr>
        <w:top w:val="none" w:sz="0" w:space="0" w:color="auto"/>
        <w:left w:val="none" w:sz="0" w:space="0" w:color="auto"/>
        <w:bottom w:val="none" w:sz="0" w:space="0" w:color="auto"/>
        <w:right w:val="none" w:sz="0" w:space="0" w:color="auto"/>
      </w:divBdr>
    </w:div>
    <w:div w:id="1529223068">
      <w:bodyDiv w:val="1"/>
      <w:marLeft w:val="0"/>
      <w:marRight w:val="0"/>
      <w:marTop w:val="0"/>
      <w:marBottom w:val="0"/>
      <w:divBdr>
        <w:top w:val="none" w:sz="0" w:space="0" w:color="auto"/>
        <w:left w:val="none" w:sz="0" w:space="0" w:color="auto"/>
        <w:bottom w:val="none" w:sz="0" w:space="0" w:color="auto"/>
        <w:right w:val="none" w:sz="0" w:space="0" w:color="auto"/>
      </w:divBdr>
    </w:div>
    <w:div w:id="1530338831">
      <w:bodyDiv w:val="1"/>
      <w:marLeft w:val="0"/>
      <w:marRight w:val="0"/>
      <w:marTop w:val="0"/>
      <w:marBottom w:val="0"/>
      <w:divBdr>
        <w:top w:val="none" w:sz="0" w:space="0" w:color="auto"/>
        <w:left w:val="none" w:sz="0" w:space="0" w:color="auto"/>
        <w:bottom w:val="none" w:sz="0" w:space="0" w:color="auto"/>
        <w:right w:val="none" w:sz="0" w:space="0" w:color="auto"/>
      </w:divBdr>
    </w:div>
    <w:div w:id="1534683032">
      <w:bodyDiv w:val="1"/>
      <w:marLeft w:val="0"/>
      <w:marRight w:val="0"/>
      <w:marTop w:val="0"/>
      <w:marBottom w:val="0"/>
      <w:divBdr>
        <w:top w:val="none" w:sz="0" w:space="0" w:color="auto"/>
        <w:left w:val="none" w:sz="0" w:space="0" w:color="auto"/>
        <w:bottom w:val="none" w:sz="0" w:space="0" w:color="auto"/>
        <w:right w:val="none" w:sz="0" w:space="0" w:color="auto"/>
      </w:divBdr>
    </w:div>
    <w:div w:id="1537159771">
      <w:bodyDiv w:val="1"/>
      <w:marLeft w:val="0"/>
      <w:marRight w:val="0"/>
      <w:marTop w:val="0"/>
      <w:marBottom w:val="0"/>
      <w:divBdr>
        <w:top w:val="none" w:sz="0" w:space="0" w:color="auto"/>
        <w:left w:val="none" w:sz="0" w:space="0" w:color="auto"/>
        <w:bottom w:val="none" w:sz="0" w:space="0" w:color="auto"/>
        <w:right w:val="none" w:sz="0" w:space="0" w:color="auto"/>
      </w:divBdr>
    </w:div>
    <w:div w:id="1539852830">
      <w:bodyDiv w:val="1"/>
      <w:marLeft w:val="0"/>
      <w:marRight w:val="0"/>
      <w:marTop w:val="0"/>
      <w:marBottom w:val="0"/>
      <w:divBdr>
        <w:top w:val="none" w:sz="0" w:space="0" w:color="auto"/>
        <w:left w:val="none" w:sz="0" w:space="0" w:color="auto"/>
        <w:bottom w:val="none" w:sz="0" w:space="0" w:color="auto"/>
        <w:right w:val="none" w:sz="0" w:space="0" w:color="auto"/>
      </w:divBdr>
    </w:div>
    <w:div w:id="1543707227">
      <w:bodyDiv w:val="1"/>
      <w:marLeft w:val="0"/>
      <w:marRight w:val="0"/>
      <w:marTop w:val="0"/>
      <w:marBottom w:val="0"/>
      <w:divBdr>
        <w:top w:val="none" w:sz="0" w:space="0" w:color="auto"/>
        <w:left w:val="none" w:sz="0" w:space="0" w:color="auto"/>
        <w:bottom w:val="none" w:sz="0" w:space="0" w:color="auto"/>
        <w:right w:val="none" w:sz="0" w:space="0" w:color="auto"/>
      </w:divBdr>
    </w:div>
    <w:div w:id="1545867281">
      <w:bodyDiv w:val="1"/>
      <w:marLeft w:val="0"/>
      <w:marRight w:val="0"/>
      <w:marTop w:val="0"/>
      <w:marBottom w:val="0"/>
      <w:divBdr>
        <w:top w:val="none" w:sz="0" w:space="0" w:color="auto"/>
        <w:left w:val="none" w:sz="0" w:space="0" w:color="auto"/>
        <w:bottom w:val="none" w:sz="0" w:space="0" w:color="auto"/>
        <w:right w:val="none" w:sz="0" w:space="0" w:color="auto"/>
      </w:divBdr>
    </w:div>
    <w:div w:id="1546520963">
      <w:bodyDiv w:val="1"/>
      <w:marLeft w:val="0"/>
      <w:marRight w:val="0"/>
      <w:marTop w:val="0"/>
      <w:marBottom w:val="0"/>
      <w:divBdr>
        <w:top w:val="none" w:sz="0" w:space="0" w:color="auto"/>
        <w:left w:val="none" w:sz="0" w:space="0" w:color="auto"/>
        <w:bottom w:val="none" w:sz="0" w:space="0" w:color="auto"/>
        <w:right w:val="none" w:sz="0" w:space="0" w:color="auto"/>
      </w:divBdr>
    </w:div>
    <w:div w:id="1549758873">
      <w:bodyDiv w:val="1"/>
      <w:marLeft w:val="0"/>
      <w:marRight w:val="0"/>
      <w:marTop w:val="0"/>
      <w:marBottom w:val="0"/>
      <w:divBdr>
        <w:top w:val="none" w:sz="0" w:space="0" w:color="auto"/>
        <w:left w:val="none" w:sz="0" w:space="0" w:color="auto"/>
        <w:bottom w:val="none" w:sz="0" w:space="0" w:color="auto"/>
        <w:right w:val="none" w:sz="0" w:space="0" w:color="auto"/>
      </w:divBdr>
    </w:div>
    <w:div w:id="1555196571">
      <w:bodyDiv w:val="1"/>
      <w:marLeft w:val="0"/>
      <w:marRight w:val="0"/>
      <w:marTop w:val="0"/>
      <w:marBottom w:val="0"/>
      <w:divBdr>
        <w:top w:val="none" w:sz="0" w:space="0" w:color="auto"/>
        <w:left w:val="none" w:sz="0" w:space="0" w:color="auto"/>
        <w:bottom w:val="none" w:sz="0" w:space="0" w:color="auto"/>
        <w:right w:val="none" w:sz="0" w:space="0" w:color="auto"/>
      </w:divBdr>
    </w:div>
    <w:div w:id="1556620724">
      <w:bodyDiv w:val="1"/>
      <w:marLeft w:val="0"/>
      <w:marRight w:val="0"/>
      <w:marTop w:val="0"/>
      <w:marBottom w:val="0"/>
      <w:divBdr>
        <w:top w:val="none" w:sz="0" w:space="0" w:color="auto"/>
        <w:left w:val="none" w:sz="0" w:space="0" w:color="auto"/>
        <w:bottom w:val="none" w:sz="0" w:space="0" w:color="auto"/>
        <w:right w:val="none" w:sz="0" w:space="0" w:color="auto"/>
      </w:divBdr>
    </w:div>
    <w:div w:id="1562669707">
      <w:bodyDiv w:val="1"/>
      <w:marLeft w:val="0"/>
      <w:marRight w:val="0"/>
      <w:marTop w:val="0"/>
      <w:marBottom w:val="0"/>
      <w:divBdr>
        <w:top w:val="none" w:sz="0" w:space="0" w:color="auto"/>
        <w:left w:val="none" w:sz="0" w:space="0" w:color="auto"/>
        <w:bottom w:val="none" w:sz="0" w:space="0" w:color="auto"/>
        <w:right w:val="none" w:sz="0" w:space="0" w:color="auto"/>
      </w:divBdr>
    </w:div>
    <w:div w:id="1564101913">
      <w:bodyDiv w:val="1"/>
      <w:marLeft w:val="0"/>
      <w:marRight w:val="0"/>
      <w:marTop w:val="0"/>
      <w:marBottom w:val="0"/>
      <w:divBdr>
        <w:top w:val="none" w:sz="0" w:space="0" w:color="auto"/>
        <w:left w:val="none" w:sz="0" w:space="0" w:color="auto"/>
        <w:bottom w:val="none" w:sz="0" w:space="0" w:color="auto"/>
        <w:right w:val="none" w:sz="0" w:space="0" w:color="auto"/>
      </w:divBdr>
    </w:div>
    <w:div w:id="1569001316">
      <w:bodyDiv w:val="1"/>
      <w:marLeft w:val="0"/>
      <w:marRight w:val="0"/>
      <w:marTop w:val="0"/>
      <w:marBottom w:val="0"/>
      <w:divBdr>
        <w:top w:val="none" w:sz="0" w:space="0" w:color="auto"/>
        <w:left w:val="none" w:sz="0" w:space="0" w:color="auto"/>
        <w:bottom w:val="none" w:sz="0" w:space="0" w:color="auto"/>
        <w:right w:val="none" w:sz="0" w:space="0" w:color="auto"/>
      </w:divBdr>
    </w:div>
    <w:div w:id="1569077384">
      <w:bodyDiv w:val="1"/>
      <w:marLeft w:val="0"/>
      <w:marRight w:val="0"/>
      <w:marTop w:val="0"/>
      <w:marBottom w:val="0"/>
      <w:divBdr>
        <w:top w:val="none" w:sz="0" w:space="0" w:color="auto"/>
        <w:left w:val="none" w:sz="0" w:space="0" w:color="auto"/>
        <w:bottom w:val="none" w:sz="0" w:space="0" w:color="auto"/>
        <w:right w:val="none" w:sz="0" w:space="0" w:color="auto"/>
      </w:divBdr>
    </w:div>
    <w:div w:id="1569418980">
      <w:bodyDiv w:val="1"/>
      <w:marLeft w:val="0"/>
      <w:marRight w:val="0"/>
      <w:marTop w:val="0"/>
      <w:marBottom w:val="0"/>
      <w:divBdr>
        <w:top w:val="none" w:sz="0" w:space="0" w:color="auto"/>
        <w:left w:val="none" w:sz="0" w:space="0" w:color="auto"/>
        <w:bottom w:val="none" w:sz="0" w:space="0" w:color="auto"/>
        <w:right w:val="none" w:sz="0" w:space="0" w:color="auto"/>
      </w:divBdr>
    </w:div>
    <w:div w:id="1569655877">
      <w:bodyDiv w:val="1"/>
      <w:marLeft w:val="0"/>
      <w:marRight w:val="0"/>
      <w:marTop w:val="0"/>
      <w:marBottom w:val="0"/>
      <w:divBdr>
        <w:top w:val="none" w:sz="0" w:space="0" w:color="auto"/>
        <w:left w:val="none" w:sz="0" w:space="0" w:color="auto"/>
        <w:bottom w:val="none" w:sz="0" w:space="0" w:color="auto"/>
        <w:right w:val="none" w:sz="0" w:space="0" w:color="auto"/>
      </w:divBdr>
    </w:div>
    <w:div w:id="1571112883">
      <w:bodyDiv w:val="1"/>
      <w:marLeft w:val="0"/>
      <w:marRight w:val="0"/>
      <w:marTop w:val="0"/>
      <w:marBottom w:val="0"/>
      <w:divBdr>
        <w:top w:val="none" w:sz="0" w:space="0" w:color="auto"/>
        <w:left w:val="none" w:sz="0" w:space="0" w:color="auto"/>
        <w:bottom w:val="none" w:sz="0" w:space="0" w:color="auto"/>
        <w:right w:val="none" w:sz="0" w:space="0" w:color="auto"/>
      </w:divBdr>
    </w:div>
    <w:div w:id="1572696423">
      <w:bodyDiv w:val="1"/>
      <w:marLeft w:val="0"/>
      <w:marRight w:val="0"/>
      <w:marTop w:val="0"/>
      <w:marBottom w:val="0"/>
      <w:divBdr>
        <w:top w:val="none" w:sz="0" w:space="0" w:color="auto"/>
        <w:left w:val="none" w:sz="0" w:space="0" w:color="auto"/>
        <w:bottom w:val="none" w:sz="0" w:space="0" w:color="auto"/>
        <w:right w:val="none" w:sz="0" w:space="0" w:color="auto"/>
      </w:divBdr>
    </w:div>
    <w:div w:id="1573813360">
      <w:bodyDiv w:val="1"/>
      <w:marLeft w:val="0"/>
      <w:marRight w:val="0"/>
      <w:marTop w:val="0"/>
      <w:marBottom w:val="0"/>
      <w:divBdr>
        <w:top w:val="none" w:sz="0" w:space="0" w:color="auto"/>
        <w:left w:val="none" w:sz="0" w:space="0" w:color="auto"/>
        <w:bottom w:val="none" w:sz="0" w:space="0" w:color="auto"/>
        <w:right w:val="none" w:sz="0" w:space="0" w:color="auto"/>
      </w:divBdr>
    </w:div>
    <w:div w:id="1575965366">
      <w:bodyDiv w:val="1"/>
      <w:marLeft w:val="0"/>
      <w:marRight w:val="0"/>
      <w:marTop w:val="0"/>
      <w:marBottom w:val="0"/>
      <w:divBdr>
        <w:top w:val="none" w:sz="0" w:space="0" w:color="auto"/>
        <w:left w:val="none" w:sz="0" w:space="0" w:color="auto"/>
        <w:bottom w:val="none" w:sz="0" w:space="0" w:color="auto"/>
        <w:right w:val="none" w:sz="0" w:space="0" w:color="auto"/>
      </w:divBdr>
    </w:div>
    <w:div w:id="1575967021">
      <w:bodyDiv w:val="1"/>
      <w:marLeft w:val="0"/>
      <w:marRight w:val="0"/>
      <w:marTop w:val="0"/>
      <w:marBottom w:val="0"/>
      <w:divBdr>
        <w:top w:val="none" w:sz="0" w:space="0" w:color="auto"/>
        <w:left w:val="none" w:sz="0" w:space="0" w:color="auto"/>
        <w:bottom w:val="none" w:sz="0" w:space="0" w:color="auto"/>
        <w:right w:val="none" w:sz="0" w:space="0" w:color="auto"/>
      </w:divBdr>
    </w:div>
    <w:div w:id="1576553568">
      <w:bodyDiv w:val="1"/>
      <w:marLeft w:val="0"/>
      <w:marRight w:val="0"/>
      <w:marTop w:val="0"/>
      <w:marBottom w:val="0"/>
      <w:divBdr>
        <w:top w:val="none" w:sz="0" w:space="0" w:color="auto"/>
        <w:left w:val="none" w:sz="0" w:space="0" w:color="auto"/>
        <w:bottom w:val="none" w:sz="0" w:space="0" w:color="auto"/>
        <w:right w:val="none" w:sz="0" w:space="0" w:color="auto"/>
      </w:divBdr>
    </w:div>
    <w:div w:id="1581133953">
      <w:bodyDiv w:val="1"/>
      <w:marLeft w:val="0"/>
      <w:marRight w:val="0"/>
      <w:marTop w:val="0"/>
      <w:marBottom w:val="0"/>
      <w:divBdr>
        <w:top w:val="none" w:sz="0" w:space="0" w:color="auto"/>
        <w:left w:val="none" w:sz="0" w:space="0" w:color="auto"/>
        <w:bottom w:val="none" w:sz="0" w:space="0" w:color="auto"/>
        <w:right w:val="none" w:sz="0" w:space="0" w:color="auto"/>
      </w:divBdr>
    </w:div>
    <w:div w:id="1583441701">
      <w:bodyDiv w:val="1"/>
      <w:marLeft w:val="0"/>
      <w:marRight w:val="0"/>
      <w:marTop w:val="0"/>
      <w:marBottom w:val="0"/>
      <w:divBdr>
        <w:top w:val="none" w:sz="0" w:space="0" w:color="auto"/>
        <w:left w:val="none" w:sz="0" w:space="0" w:color="auto"/>
        <w:bottom w:val="none" w:sz="0" w:space="0" w:color="auto"/>
        <w:right w:val="none" w:sz="0" w:space="0" w:color="auto"/>
      </w:divBdr>
    </w:div>
    <w:div w:id="1585452930">
      <w:bodyDiv w:val="1"/>
      <w:marLeft w:val="0"/>
      <w:marRight w:val="0"/>
      <w:marTop w:val="0"/>
      <w:marBottom w:val="0"/>
      <w:divBdr>
        <w:top w:val="none" w:sz="0" w:space="0" w:color="auto"/>
        <w:left w:val="none" w:sz="0" w:space="0" w:color="auto"/>
        <w:bottom w:val="none" w:sz="0" w:space="0" w:color="auto"/>
        <w:right w:val="none" w:sz="0" w:space="0" w:color="auto"/>
      </w:divBdr>
    </w:div>
    <w:div w:id="1592005222">
      <w:bodyDiv w:val="1"/>
      <w:marLeft w:val="0"/>
      <w:marRight w:val="0"/>
      <w:marTop w:val="0"/>
      <w:marBottom w:val="0"/>
      <w:divBdr>
        <w:top w:val="none" w:sz="0" w:space="0" w:color="auto"/>
        <w:left w:val="none" w:sz="0" w:space="0" w:color="auto"/>
        <w:bottom w:val="none" w:sz="0" w:space="0" w:color="auto"/>
        <w:right w:val="none" w:sz="0" w:space="0" w:color="auto"/>
      </w:divBdr>
    </w:div>
    <w:div w:id="1592082688">
      <w:bodyDiv w:val="1"/>
      <w:marLeft w:val="0"/>
      <w:marRight w:val="0"/>
      <w:marTop w:val="0"/>
      <w:marBottom w:val="0"/>
      <w:divBdr>
        <w:top w:val="none" w:sz="0" w:space="0" w:color="auto"/>
        <w:left w:val="none" w:sz="0" w:space="0" w:color="auto"/>
        <w:bottom w:val="none" w:sz="0" w:space="0" w:color="auto"/>
        <w:right w:val="none" w:sz="0" w:space="0" w:color="auto"/>
      </w:divBdr>
    </w:div>
    <w:div w:id="1597976017">
      <w:bodyDiv w:val="1"/>
      <w:marLeft w:val="0"/>
      <w:marRight w:val="0"/>
      <w:marTop w:val="0"/>
      <w:marBottom w:val="0"/>
      <w:divBdr>
        <w:top w:val="none" w:sz="0" w:space="0" w:color="auto"/>
        <w:left w:val="none" w:sz="0" w:space="0" w:color="auto"/>
        <w:bottom w:val="none" w:sz="0" w:space="0" w:color="auto"/>
        <w:right w:val="none" w:sz="0" w:space="0" w:color="auto"/>
      </w:divBdr>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 w:id="1604679211">
      <w:bodyDiv w:val="1"/>
      <w:marLeft w:val="0"/>
      <w:marRight w:val="0"/>
      <w:marTop w:val="0"/>
      <w:marBottom w:val="0"/>
      <w:divBdr>
        <w:top w:val="none" w:sz="0" w:space="0" w:color="auto"/>
        <w:left w:val="none" w:sz="0" w:space="0" w:color="auto"/>
        <w:bottom w:val="none" w:sz="0" w:space="0" w:color="auto"/>
        <w:right w:val="none" w:sz="0" w:space="0" w:color="auto"/>
      </w:divBdr>
    </w:div>
    <w:div w:id="1605960000">
      <w:bodyDiv w:val="1"/>
      <w:marLeft w:val="0"/>
      <w:marRight w:val="0"/>
      <w:marTop w:val="0"/>
      <w:marBottom w:val="0"/>
      <w:divBdr>
        <w:top w:val="none" w:sz="0" w:space="0" w:color="auto"/>
        <w:left w:val="none" w:sz="0" w:space="0" w:color="auto"/>
        <w:bottom w:val="none" w:sz="0" w:space="0" w:color="auto"/>
        <w:right w:val="none" w:sz="0" w:space="0" w:color="auto"/>
      </w:divBdr>
    </w:div>
    <w:div w:id="1607731405">
      <w:bodyDiv w:val="1"/>
      <w:marLeft w:val="0"/>
      <w:marRight w:val="0"/>
      <w:marTop w:val="0"/>
      <w:marBottom w:val="0"/>
      <w:divBdr>
        <w:top w:val="none" w:sz="0" w:space="0" w:color="auto"/>
        <w:left w:val="none" w:sz="0" w:space="0" w:color="auto"/>
        <w:bottom w:val="none" w:sz="0" w:space="0" w:color="auto"/>
        <w:right w:val="none" w:sz="0" w:space="0" w:color="auto"/>
      </w:divBdr>
    </w:div>
    <w:div w:id="1607885830">
      <w:bodyDiv w:val="1"/>
      <w:marLeft w:val="0"/>
      <w:marRight w:val="0"/>
      <w:marTop w:val="0"/>
      <w:marBottom w:val="0"/>
      <w:divBdr>
        <w:top w:val="none" w:sz="0" w:space="0" w:color="auto"/>
        <w:left w:val="none" w:sz="0" w:space="0" w:color="auto"/>
        <w:bottom w:val="none" w:sz="0" w:space="0" w:color="auto"/>
        <w:right w:val="none" w:sz="0" w:space="0" w:color="auto"/>
      </w:divBdr>
    </w:div>
    <w:div w:id="1608006703">
      <w:bodyDiv w:val="1"/>
      <w:marLeft w:val="0"/>
      <w:marRight w:val="0"/>
      <w:marTop w:val="0"/>
      <w:marBottom w:val="0"/>
      <w:divBdr>
        <w:top w:val="none" w:sz="0" w:space="0" w:color="auto"/>
        <w:left w:val="none" w:sz="0" w:space="0" w:color="auto"/>
        <w:bottom w:val="none" w:sz="0" w:space="0" w:color="auto"/>
        <w:right w:val="none" w:sz="0" w:space="0" w:color="auto"/>
      </w:divBdr>
    </w:div>
    <w:div w:id="1612009175">
      <w:bodyDiv w:val="1"/>
      <w:marLeft w:val="0"/>
      <w:marRight w:val="0"/>
      <w:marTop w:val="0"/>
      <w:marBottom w:val="0"/>
      <w:divBdr>
        <w:top w:val="none" w:sz="0" w:space="0" w:color="auto"/>
        <w:left w:val="none" w:sz="0" w:space="0" w:color="auto"/>
        <w:bottom w:val="none" w:sz="0" w:space="0" w:color="auto"/>
        <w:right w:val="none" w:sz="0" w:space="0" w:color="auto"/>
      </w:divBdr>
    </w:div>
    <w:div w:id="1613051917">
      <w:bodyDiv w:val="1"/>
      <w:marLeft w:val="0"/>
      <w:marRight w:val="0"/>
      <w:marTop w:val="0"/>
      <w:marBottom w:val="0"/>
      <w:divBdr>
        <w:top w:val="none" w:sz="0" w:space="0" w:color="auto"/>
        <w:left w:val="none" w:sz="0" w:space="0" w:color="auto"/>
        <w:bottom w:val="none" w:sz="0" w:space="0" w:color="auto"/>
        <w:right w:val="none" w:sz="0" w:space="0" w:color="auto"/>
      </w:divBdr>
    </w:div>
    <w:div w:id="1615673450">
      <w:bodyDiv w:val="1"/>
      <w:marLeft w:val="0"/>
      <w:marRight w:val="0"/>
      <w:marTop w:val="0"/>
      <w:marBottom w:val="0"/>
      <w:divBdr>
        <w:top w:val="none" w:sz="0" w:space="0" w:color="auto"/>
        <w:left w:val="none" w:sz="0" w:space="0" w:color="auto"/>
        <w:bottom w:val="none" w:sz="0" w:space="0" w:color="auto"/>
        <w:right w:val="none" w:sz="0" w:space="0" w:color="auto"/>
      </w:divBdr>
    </w:div>
    <w:div w:id="1615819072">
      <w:bodyDiv w:val="1"/>
      <w:marLeft w:val="0"/>
      <w:marRight w:val="0"/>
      <w:marTop w:val="0"/>
      <w:marBottom w:val="0"/>
      <w:divBdr>
        <w:top w:val="none" w:sz="0" w:space="0" w:color="auto"/>
        <w:left w:val="none" w:sz="0" w:space="0" w:color="auto"/>
        <w:bottom w:val="none" w:sz="0" w:space="0" w:color="auto"/>
        <w:right w:val="none" w:sz="0" w:space="0" w:color="auto"/>
      </w:divBdr>
    </w:div>
    <w:div w:id="1616673947">
      <w:bodyDiv w:val="1"/>
      <w:marLeft w:val="0"/>
      <w:marRight w:val="0"/>
      <w:marTop w:val="0"/>
      <w:marBottom w:val="0"/>
      <w:divBdr>
        <w:top w:val="none" w:sz="0" w:space="0" w:color="auto"/>
        <w:left w:val="none" w:sz="0" w:space="0" w:color="auto"/>
        <w:bottom w:val="none" w:sz="0" w:space="0" w:color="auto"/>
        <w:right w:val="none" w:sz="0" w:space="0" w:color="auto"/>
      </w:divBdr>
    </w:div>
    <w:div w:id="1616936041">
      <w:bodyDiv w:val="1"/>
      <w:marLeft w:val="0"/>
      <w:marRight w:val="0"/>
      <w:marTop w:val="0"/>
      <w:marBottom w:val="0"/>
      <w:divBdr>
        <w:top w:val="none" w:sz="0" w:space="0" w:color="auto"/>
        <w:left w:val="none" w:sz="0" w:space="0" w:color="auto"/>
        <w:bottom w:val="none" w:sz="0" w:space="0" w:color="auto"/>
        <w:right w:val="none" w:sz="0" w:space="0" w:color="auto"/>
      </w:divBdr>
    </w:div>
    <w:div w:id="1618559452">
      <w:bodyDiv w:val="1"/>
      <w:marLeft w:val="0"/>
      <w:marRight w:val="0"/>
      <w:marTop w:val="0"/>
      <w:marBottom w:val="0"/>
      <w:divBdr>
        <w:top w:val="none" w:sz="0" w:space="0" w:color="auto"/>
        <w:left w:val="none" w:sz="0" w:space="0" w:color="auto"/>
        <w:bottom w:val="none" w:sz="0" w:space="0" w:color="auto"/>
        <w:right w:val="none" w:sz="0" w:space="0" w:color="auto"/>
      </w:divBdr>
    </w:div>
    <w:div w:id="1619676795">
      <w:bodyDiv w:val="1"/>
      <w:marLeft w:val="0"/>
      <w:marRight w:val="0"/>
      <w:marTop w:val="0"/>
      <w:marBottom w:val="0"/>
      <w:divBdr>
        <w:top w:val="none" w:sz="0" w:space="0" w:color="auto"/>
        <w:left w:val="none" w:sz="0" w:space="0" w:color="auto"/>
        <w:bottom w:val="none" w:sz="0" w:space="0" w:color="auto"/>
        <w:right w:val="none" w:sz="0" w:space="0" w:color="auto"/>
      </w:divBdr>
    </w:div>
    <w:div w:id="1622371368">
      <w:bodyDiv w:val="1"/>
      <w:marLeft w:val="0"/>
      <w:marRight w:val="0"/>
      <w:marTop w:val="0"/>
      <w:marBottom w:val="0"/>
      <w:divBdr>
        <w:top w:val="none" w:sz="0" w:space="0" w:color="auto"/>
        <w:left w:val="none" w:sz="0" w:space="0" w:color="auto"/>
        <w:bottom w:val="none" w:sz="0" w:space="0" w:color="auto"/>
        <w:right w:val="none" w:sz="0" w:space="0" w:color="auto"/>
      </w:divBdr>
    </w:div>
    <w:div w:id="1626350298">
      <w:bodyDiv w:val="1"/>
      <w:marLeft w:val="0"/>
      <w:marRight w:val="0"/>
      <w:marTop w:val="0"/>
      <w:marBottom w:val="0"/>
      <w:divBdr>
        <w:top w:val="none" w:sz="0" w:space="0" w:color="auto"/>
        <w:left w:val="none" w:sz="0" w:space="0" w:color="auto"/>
        <w:bottom w:val="none" w:sz="0" w:space="0" w:color="auto"/>
        <w:right w:val="none" w:sz="0" w:space="0" w:color="auto"/>
      </w:divBdr>
    </w:div>
    <w:div w:id="1627663292">
      <w:bodyDiv w:val="1"/>
      <w:marLeft w:val="0"/>
      <w:marRight w:val="0"/>
      <w:marTop w:val="0"/>
      <w:marBottom w:val="0"/>
      <w:divBdr>
        <w:top w:val="none" w:sz="0" w:space="0" w:color="auto"/>
        <w:left w:val="none" w:sz="0" w:space="0" w:color="auto"/>
        <w:bottom w:val="none" w:sz="0" w:space="0" w:color="auto"/>
        <w:right w:val="none" w:sz="0" w:space="0" w:color="auto"/>
      </w:divBdr>
    </w:div>
    <w:div w:id="1628049583">
      <w:bodyDiv w:val="1"/>
      <w:marLeft w:val="0"/>
      <w:marRight w:val="0"/>
      <w:marTop w:val="0"/>
      <w:marBottom w:val="0"/>
      <w:divBdr>
        <w:top w:val="none" w:sz="0" w:space="0" w:color="auto"/>
        <w:left w:val="none" w:sz="0" w:space="0" w:color="auto"/>
        <w:bottom w:val="none" w:sz="0" w:space="0" w:color="auto"/>
        <w:right w:val="none" w:sz="0" w:space="0" w:color="auto"/>
      </w:divBdr>
    </w:div>
    <w:div w:id="1633973124">
      <w:bodyDiv w:val="1"/>
      <w:marLeft w:val="0"/>
      <w:marRight w:val="0"/>
      <w:marTop w:val="0"/>
      <w:marBottom w:val="0"/>
      <w:divBdr>
        <w:top w:val="none" w:sz="0" w:space="0" w:color="auto"/>
        <w:left w:val="none" w:sz="0" w:space="0" w:color="auto"/>
        <w:bottom w:val="none" w:sz="0" w:space="0" w:color="auto"/>
        <w:right w:val="none" w:sz="0" w:space="0" w:color="auto"/>
      </w:divBdr>
    </w:div>
    <w:div w:id="1634604289">
      <w:bodyDiv w:val="1"/>
      <w:marLeft w:val="0"/>
      <w:marRight w:val="0"/>
      <w:marTop w:val="0"/>
      <w:marBottom w:val="0"/>
      <w:divBdr>
        <w:top w:val="none" w:sz="0" w:space="0" w:color="auto"/>
        <w:left w:val="none" w:sz="0" w:space="0" w:color="auto"/>
        <w:bottom w:val="none" w:sz="0" w:space="0" w:color="auto"/>
        <w:right w:val="none" w:sz="0" w:space="0" w:color="auto"/>
      </w:divBdr>
    </w:div>
    <w:div w:id="1635015836">
      <w:bodyDiv w:val="1"/>
      <w:marLeft w:val="0"/>
      <w:marRight w:val="0"/>
      <w:marTop w:val="0"/>
      <w:marBottom w:val="0"/>
      <w:divBdr>
        <w:top w:val="none" w:sz="0" w:space="0" w:color="auto"/>
        <w:left w:val="none" w:sz="0" w:space="0" w:color="auto"/>
        <w:bottom w:val="none" w:sz="0" w:space="0" w:color="auto"/>
        <w:right w:val="none" w:sz="0" w:space="0" w:color="auto"/>
      </w:divBdr>
    </w:div>
    <w:div w:id="1641300421">
      <w:bodyDiv w:val="1"/>
      <w:marLeft w:val="0"/>
      <w:marRight w:val="0"/>
      <w:marTop w:val="0"/>
      <w:marBottom w:val="0"/>
      <w:divBdr>
        <w:top w:val="none" w:sz="0" w:space="0" w:color="auto"/>
        <w:left w:val="none" w:sz="0" w:space="0" w:color="auto"/>
        <w:bottom w:val="none" w:sz="0" w:space="0" w:color="auto"/>
        <w:right w:val="none" w:sz="0" w:space="0" w:color="auto"/>
      </w:divBdr>
    </w:div>
    <w:div w:id="1641958236">
      <w:bodyDiv w:val="1"/>
      <w:marLeft w:val="0"/>
      <w:marRight w:val="0"/>
      <w:marTop w:val="0"/>
      <w:marBottom w:val="0"/>
      <w:divBdr>
        <w:top w:val="none" w:sz="0" w:space="0" w:color="auto"/>
        <w:left w:val="none" w:sz="0" w:space="0" w:color="auto"/>
        <w:bottom w:val="none" w:sz="0" w:space="0" w:color="auto"/>
        <w:right w:val="none" w:sz="0" w:space="0" w:color="auto"/>
      </w:divBdr>
    </w:div>
    <w:div w:id="1643538370">
      <w:bodyDiv w:val="1"/>
      <w:marLeft w:val="0"/>
      <w:marRight w:val="0"/>
      <w:marTop w:val="0"/>
      <w:marBottom w:val="0"/>
      <w:divBdr>
        <w:top w:val="none" w:sz="0" w:space="0" w:color="auto"/>
        <w:left w:val="none" w:sz="0" w:space="0" w:color="auto"/>
        <w:bottom w:val="none" w:sz="0" w:space="0" w:color="auto"/>
        <w:right w:val="none" w:sz="0" w:space="0" w:color="auto"/>
      </w:divBdr>
    </w:div>
    <w:div w:id="1643803268">
      <w:bodyDiv w:val="1"/>
      <w:marLeft w:val="0"/>
      <w:marRight w:val="0"/>
      <w:marTop w:val="0"/>
      <w:marBottom w:val="0"/>
      <w:divBdr>
        <w:top w:val="none" w:sz="0" w:space="0" w:color="auto"/>
        <w:left w:val="none" w:sz="0" w:space="0" w:color="auto"/>
        <w:bottom w:val="none" w:sz="0" w:space="0" w:color="auto"/>
        <w:right w:val="none" w:sz="0" w:space="0" w:color="auto"/>
      </w:divBdr>
    </w:div>
    <w:div w:id="1646353180">
      <w:bodyDiv w:val="1"/>
      <w:marLeft w:val="0"/>
      <w:marRight w:val="0"/>
      <w:marTop w:val="0"/>
      <w:marBottom w:val="0"/>
      <w:divBdr>
        <w:top w:val="none" w:sz="0" w:space="0" w:color="auto"/>
        <w:left w:val="none" w:sz="0" w:space="0" w:color="auto"/>
        <w:bottom w:val="none" w:sz="0" w:space="0" w:color="auto"/>
        <w:right w:val="none" w:sz="0" w:space="0" w:color="auto"/>
      </w:divBdr>
    </w:div>
    <w:div w:id="1647782703">
      <w:bodyDiv w:val="1"/>
      <w:marLeft w:val="0"/>
      <w:marRight w:val="0"/>
      <w:marTop w:val="0"/>
      <w:marBottom w:val="0"/>
      <w:divBdr>
        <w:top w:val="none" w:sz="0" w:space="0" w:color="auto"/>
        <w:left w:val="none" w:sz="0" w:space="0" w:color="auto"/>
        <w:bottom w:val="none" w:sz="0" w:space="0" w:color="auto"/>
        <w:right w:val="none" w:sz="0" w:space="0" w:color="auto"/>
      </w:divBdr>
    </w:div>
    <w:div w:id="1648436148">
      <w:bodyDiv w:val="1"/>
      <w:marLeft w:val="0"/>
      <w:marRight w:val="0"/>
      <w:marTop w:val="0"/>
      <w:marBottom w:val="0"/>
      <w:divBdr>
        <w:top w:val="none" w:sz="0" w:space="0" w:color="auto"/>
        <w:left w:val="none" w:sz="0" w:space="0" w:color="auto"/>
        <w:bottom w:val="none" w:sz="0" w:space="0" w:color="auto"/>
        <w:right w:val="none" w:sz="0" w:space="0" w:color="auto"/>
      </w:divBdr>
    </w:div>
    <w:div w:id="1654330119">
      <w:bodyDiv w:val="1"/>
      <w:marLeft w:val="0"/>
      <w:marRight w:val="0"/>
      <w:marTop w:val="0"/>
      <w:marBottom w:val="0"/>
      <w:divBdr>
        <w:top w:val="none" w:sz="0" w:space="0" w:color="auto"/>
        <w:left w:val="none" w:sz="0" w:space="0" w:color="auto"/>
        <w:bottom w:val="none" w:sz="0" w:space="0" w:color="auto"/>
        <w:right w:val="none" w:sz="0" w:space="0" w:color="auto"/>
      </w:divBdr>
    </w:div>
    <w:div w:id="1654870342">
      <w:bodyDiv w:val="1"/>
      <w:marLeft w:val="0"/>
      <w:marRight w:val="0"/>
      <w:marTop w:val="0"/>
      <w:marBottom w:val="0"/>
      <w:divBdr>
        <w:top w:val="none" w:sz="0" w:space="0" w:color="auto"/>
        <w:left w:val="none" w:sz="0" w:space="0" w:color="auto"/>
        <w:bottom w:val="none" w:sz="0" w:space="0" w:color="auto"/>
        <w:right w:val="none" w:sz="0" w:space="0" w:color="auto"/>
      </w:divBdr>
    </w:div>
    <w:div w:id="1655065384">
      <w:bodyDiv w:val="1"/>
      <w:marLeft w:val="0"/>
      <w:marRight w:val="0"/>
      <w:marTop w:val="0"/>
      <w:marBottom w:val="0"/>
      <w:divBdr>
        <w:top w:val="none" w:sz="0" w:space="0" w:color="auto"/>
        <w:left w:val="none" w:sz="0" w:space="0" w:color="auto"/>
        <w:bottom w:val="none" w:sz="0" w:space="0" w:color="auto"/>
        <w:right w:val="none" w:sz="0" w:space="0" w:color="auto"/>
      </w:divBdr>
    </w:div>
    <w:div w:id="1655253744">
      <w:bodyDiv w:val="1"/>
      <w:marLeft w:val="0"/>
      <w:marRight w:val="0"/>
      <w:marTop w:val="0"/>
      <w:marBottom w:val="0"/>
      <w:divBdr>
        <w:top w:val="none" w:sz="0" w:space="0" w:color="auto"/>
        <w:left w:val="none" w:sz="0" w:space="0" w:color="auto"/>
        <w:bottom w:val="none" w:sz="0" w:space="0" w:color="auto"/>
        <w:right w:val="none" w:sz="0" w:space="0" w:color="auto"/>
      </w:divBdr>
    </w:div>
    <w:div w:id="1657226110">
      <w:bodyDiv w:val="1"/>
      <w:marLeft w:val="0"/>
      <w:marRight w:val="0"/>
      <w:marTop w:val="0"/>
      <w:marBottom w:val="0"/>
      <w:divBdr>
        <w:top w:val="none" w:sz="0" w:space="0" w:color="auto"/>
        <w:left w:val="none" w:sz="0" w:space="0" w:color="auto"/>
        <w:bottom w:val="none" w:sz="0" w:space="0" w:color="auto"/>
        <w:right w:val="none" w:sz="0" w:space="0" w:color="auto"/>
      </w:divBdr>
    </w:div>
    <w:div w:id="1658609353">
      <w:bodyDiv w:val="1"/>
      <w:marLeft w:val="0"/>
      <w:marRight w:val="0"/>
      <w:marTop w:val="0"/>
      <w:marBottom w:val="0"/>
      <w:divBdr>
        <w:top w:val="none" w:sz="0" w:space="0" w:color="auto"/>
        <w:left w:val="none" w:sz="0" w:space="0" w:color="auto"/>
        <w:bottom w:val="none" w:sz="0" w:space="0" w:color="auto"/>
        <w:right w:val="none" w:sz="0" w:space="0" w:color="auto"/>
      </w:divBdr>
    </w:div>
    <w:div w:id="1659191462">
      <w:bodyDiv w:val="1"/>
      <w:marLeft w:val="0"/>
      <w:marRight w:val="0"/>
      <w:marTop w:val="0"/>
      <w:marBottom w:val="0"/>
      <w:divBdr>
        <w:top w:val="none" w:sz="0" w:space="0" w:color="auto"/>
        <w:left w:val="none" w:sz="0" w:space="0" w:color="auto"/>
        <w:bottom w:val="none" w:sz="0" w:space="0" w:color="auto"/>
        <w:right w:val="none" w:sz="0" w:space="0" w:color="auto"/>
      </w:divBdr>
    </w:div>
    <w:div w:id="1661500861">
      <w:bodyDiv w:val="1"/>
      <w:marLeft w:val="0"/>
      <w:marRight w:val="0"/>
      <w:marTop w:val="0"/>
      <w:marBottom w:val="0"/>
      <w:divBdr>
        <w:top w:val="none" w:sz="0" w:space="0" w:color="auto"/>
        <w:left w:val="none" w:sz="0" w:space="0" w:color="auto"/>
        <w:bottom w:val="none" w:sz="0" w:space="0" w:color="auto"/>
        <w:right w:val="none" w:sz="0" w:space="0" w:color="auto"/>
      </w:divBdr>
    </w:div>
    <w:div w:id="1661541498">
      <w:bodyDiv w:val="1"/>
      <w:marLeft w:val="0"/>
      <w:marRight w:val="0"/>
      <w:marTop w:val="0"/>
      <w:marBottom w:val="0"/>
      <w:divBdr>
        <w:top w:val="none" w:sz="0" w:space="0" w:color="auto"/>
        <w:left w:val="none" w:sz="0" w:space="0" w:color="auto"/>
        <w:bottom w:val="none" w:sz="0" w:space="0" w:color="auto"/>
        <w:right w:val="none" w:sz="0" w:space="0" w:color="auto"/>
      </w:divBdr>
    </w:div>
    <w:div w:id="1662274519">
      <w:bodyDiv w:val="1"/>
      <w:marLeft w:val="0"/>
      <w:marRight w:val="0"/>
      <w:marTop w:val="0"/>
      <w:marBottom w:val="0"/>
      <w:divBdr>
        <w:top w:val="none" w:sz="0" w:space="0" w:color="auto"/>
        <w:left w:val="none" w:sz="0" w:space="0" w:color="auto"/>
        <w:bottom w:val="none" w:sz="0" w:space="0" w:color="auto"/>
        <w:right w:val="none" w:sz="0" w:space="0" w:color="auto"/>
      </w:divBdr>
    </w:div>
    <w:div w:id="1662931606">
      <w:bodyDiv w:val="1"/>
      <w:marLeft w:val="0"/>
      <w:marRight w:val="0"/>
      <w:marTop w:val="0"/>
      <w:marBottom w:val="0"/>
      <w:divBdr>
        <w:top w:val="none" w:sz="0" w:space="0" w:color="auto"/>
        <w:left w:val="none" w:sz="0" w:space="0" w:color="auto"/>
        <w:bottom w:val="none" w:sz="0" w:space="0" w:color="auto"/>
        <w:right w:val="none" w:sz="0" w:space="0" w:color="auto"/>
      </w:divBdr>
    </w:div>
    <w:div w:id="1664508950">
      <w:bodyDiv w:val="1"/>
      <w:marLeft w:val="0"/>
      <w:marRight w:val="0"/>
      <w:marTop w:val="0"/>
      <w:marBottom w:val="0"/>
      <w:divBdr>
        <w:top w:val="none" w:sz="0" w:space="0" w:color="auto"/>
        <w:left w:val="none" w:sz="0" w:space="0" w:color="auto"/>
        <w:bottom w:val="none" w:sz="0" w:space="0" w:color="auto"/>
        <w:right w:val="none" w:sz="0" w:space="0" w:color="auto"/>
      </w:divBdr>
    </w:div>
    <w:div w:id="1667631159">
      <w:bodyDiv w:val="1"/>
      <w:marLeft w:val="0"/>
      <w:marRight w:val="0"/>
      <w:marTop w:val="0"/>
      <w:marBottom w:val="0"/>
      <w:divBdr>
        <w:top w:val="none" w:sz="0" w:space="0" w:color="auto"/>
        <w:left w:val="none" w:sz="0" w:space="0" w:color="auto"/>
        <w:bottom w:val="none" w:sz="0" w:space="0" w:color="auto"/>
        <w:right w:val="none" w:sz="0" w:space="0" w:color="auto"/>
      </w:divBdr>
    </w:div>
    <w:div w:id="1667900573">
      <w:bodyDiv w:val="1"/>
      <w:marLeft w:val="0"/>
      <w:marRight w:val="0"/>
      <w:marTop w:val="0"/>
      <w:marBottom w:val="0"/>
      <w:divBdr>
        <w:top w:val="none" w:sz="0" w:space="0" w:color="auto"/>
        <w:left w:val="none" w:sz="0" w:space="0" w:color="auto"/>
        <w:bottom w:val="none" w:sz="0" w:space="0" w:color="auto"/>
        <w:right w:val="none" w:sz="0" w:space="0" w:color="auto"/>
      </w:divBdr>
    </w:div>
    <w:div w:id="1671179837">
      <w:bodyDiv w:val="1"/>
      <w:marLeft w:val="0"/>
      <w:marRight w:val="0"/>
      <w:marTop w:val="0"/>
      <w:marBottom w:val="0"/>
      <w:divBdr>
        <w:top w:val="none" w:sz="0" w:space="0" w:color="auto"/>
        <w:left w:val="none" w:sz="0" w:space="0" w:color="auto"/>
        <w:bottom w:val="none" w:sz="0" w:space="0" w:color="auto"/>
        <w:right w:val="none" w:sz="0" w:space="0" w:color="auto"/>
      </w:divBdr>
    </w:div>
    <w:div w:id="1672642194">
      <w:bodyDiv w:val="1"/>
      <w:marLeft w:val="0"/>
      <w:marRight w:val="0"/>
      <w:marTop w:val="0"/>
      <w:marBottom w:val="0"/>
      <w:divBdr>
        <w:top w:val="none" w:sz="0" w:space="0" w:color="auto"/>
        <w:left w:val="none" w:sz="0" w:space="0" w:color="auto"/>
        <w:bottom w:val="none" w:sz="0" w:space="0" w:color="auto"/>
        <w:right w:val="none" w:sz="0" w:space="0" w:color="auto"/>
      </w:divBdr>
    </w:div>
    <w:div w:id="1678725402">
      <w:bodyDiv w:val="1"/>
      <w:marLeft w:val="0"/>
      <w:marRight w:val="0"/>
      <w:marTop w:val="0"/>
      <w:marBottom w:val="0"/>
      <w:divBdr>
        <w:top w:val="none" w:sz="0" w:space="0" w:color="auto"/>
        <w:left w:val="none" w:sz="0" w:space="0" w:color="auto"/>
        <w:bottom w:val="none" w:sz="0" w:space="0" w:color="auto"/>
        <w:right w:val="none" w:sz="0" w:space="0" w:color="auto"/>
      </w:divBdr>
    </w:div>
    <w:div w:id="1685743771">
      <w:bodyDiv w:val="1"/>
      <w:marLeft w:val="0"/>
      <w:marRight w:val="0"/>
      <w:marTop w:val="0"/>
      <w:marBottom w:val="0"/>
      <w:divBdr>
        <w:top w:val="none" w:sz="0" w:space="0" w:color="auto"/>
        <w:left w:val="none" w:sz="0" w:space="0" w:color="auto"/>
        <w:bottom w:val="none" w:sz="0" w:space="0" w:color="auto"/>
        <w:right w:val="none" w:sz="0" w:space="0" w:color="auto"/>
      </w:divBdr>
    </w:div>
    <w:div w:id="1690719641">
      <w:bodyDiv w:val="1"/>
      <w:marLeft w:val="0"/>
      <w:marRight w:val="0"/>
      <w:marTop w:val="0"/>
      <w:marBottom w:val="0"/>
      <w:divBdr>
        <w:top w:val="none" w:sz="0" w:space="0" w:color="auto"/>
        <w:left w:val="none" w:sz="0" w:space="0" w:color="auto"/>
        <w:bottom w:val="none" w:sz="0" w:space="0" w:color="auto"/>
        <w:right w:val="none" w:sz="0" w:space="0" w:color="auto"/>
      </w:divBdr>
    </w:div>
    <w:div w:id="1692759899">
      <w:bodyDiv w:val="1"/>
      <w:marLeft w:val="0"/>
      <w:marRight w:val="0"/>
      <w:marTop w:val="0"/>
      <w:marBottom w:val="0"/>
      <w:divBdr>
        <w:top w:val="none" w:sz="0" w:space="0" w:color="auto"/>
        <w:left w:val="none" w:sz="0" w:space="0" w:color="auto"/>
        <w:bottom w:val="none" w:sz="0" w:space="0" w:color="auto"/>
        <w:right w:val="none" w:sz="0" w:space="0" w:color="auto"/>
      </w:divBdr>
    </w:div>
    <w:div w:id="1695686235">
      <w:bodyDiv w:val="1"/>
      <w:marLeft w:val="0"/>
      <w:marRight w:val="0"/>
      <w:marTop w:val="0"/>
      <w:marBottom w:val="0"/>
      <w:divBdr>
        <w:top w:val="none" w:sz="0" w:space="0" w:color="auto"/>
        <w:left w:val="none" w:sz="0" w:space="0" w:color="auto"/>
        <w:bottom w:val="none" w:sz="0" w:space="0" w:color="auto"/>
        <w:right w:val="none" w:sz="0" w:space="0" w:color="auto"/>
      </w:divBdr>
    </w:div>
    <w:div w:id="1695956724">
      <w:bodyDiv w:val="1"/>
      <w:marLeft w:val="0"/>
      <w:marRight w:val="0"/>
      <w:marTop w:val="0"/>
      <w:marBottom w:val="0"/>
      <w:divBdr>
        <w:top w:val="none" w:sz="0" w:space="0" w:color="auto"/>
        <w:left w:val="none" w:sz="0" w:space="0" w:color="auto"/>
        <w:bottom w:val="none" w:sz="0" w:space="0" w:color="auto"/>
        <w:right w:val="none" w:sz="0" w:space="0" w:color="auto"/>
      </w:divBdr>
    </w:div>
    <w:div w:id="1696229339">
      <w:bodyDiv w:val="1"/>
      <w:marLeft w:val="0"/>
      <w:marRight w:val="0"/>
      <w:marTop w:val="0"/>
      <w:marBottom w:val="0"/>
      <w:divBdr>
        <w:top w:val="none" w:sz="0" w:space="0" w:color="auto"/>
        <w:left w:val="none" w:sz="0" w:space="0" w:color="auto"/>
        <w:bottom w:val="none" w:sz="0" w:space="0" w:color="auto"/>
        <w:right w:val="none" w:sz="0" w:space="0" w:color="auto"/>
      </w:divBdr>
    </w:div>
    <w:div w:id="1696344649">
      <w:bodyDiv w:val="1"/>
      <w:marLeft w:val="0"/>
      <w:marRight w:val="0"/>
      <w:marTop w:val="0"/>
      <w:marBottom w:val="0"/>
      <w:divBdr>
        <w:top w:val="none" w:sz="0" w:space="0" w:color="auto"/>
        <w:left w:val="none" w:sz="0" w:space="0" w:color="auto"/>
        <w:bottom w:val="none" w:sz="0" w:space="0" w:color="auto"/>
        <w:right w:val="none" w:sz="0" w:space="0" w:color="auto"/>
      </w:divBdr>
    </w:div>
    <w:div w:id="1696613085">
      <w:bodyDiv w:val="1"/>
      <w:marLeft w:val="0"/>
      <w:marRight w:val="0"/>
      <w:marTop w:val="0"/>
      <w:marBottom w:val="0"/>
      <w:divBdr>
        <w:top w:val="none" w:sz="0" w:space="0" w:color="auto"/>
        <w:left w:val="none" w:sz="0" w:space="0" w:color="auto"/>
        <w:bottom w:val="none" w:sz="0" w:space="0" w:color="auto"/>
        <w:right w:val="none" w:sz="0" w:space="0" w:color="auto"/>
      </w:divBdr>
    </w:div>
    <w:div w:id="1697074817">
      <w:bodyDiv w:val="1"/>
      <w:marLeft w:val="0"/>
      <w:marRight w:val="0"/>
      <w:marTop w:val="0"/>
      <w:marBottom w:val="0"/>
      <w:divBdr>
        <w:top w:val="none" w:sz="0" w:space="0" w:color="auto"/>
        <w:left w:val="none" w:sz="0" w:space="0" w:color="auto"/>
        <w:bottom w:val="none" w:sz="0" w:space="0" w:color="auto"/>
        <w:right w:val="none" w:sz="0" w:space="0" w:color="auto"/>
      </w:divBdr>
      <w:divsChild>
        <w:div w:id="762917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384950">
      <w:bodyDiv w:val="1"/>
      <w:marLeft w:val="0"/>
      <w:marRight w:val="0"/>
      <w:marTop w:val="0"/>
      <w:marBottom w:val="0"/>
      <w:divBdr>
        <w:top w:val="none" w:sz="0" w:space="0" w:color="auto"/>
        <w:left w:val="none" w:sz="0" w:space="0" w:color="auto"/>
        <w:bottom w:val="none" w:sz="0" w:space="0" w:color="auto"/>
        <w:right w:val="none" w:sz="0" w:space="0" w:color="auto"/>
      </w:divBdr>
    </w:div>
    <w:div w:id="1698041964">
      <w:bodyDiv w:val="1"/>
      <w:marLeft w:val="0"/>
      <w:marRight w:val="0"/>
      <w:marTop w:val="0"/>
      <w:marBottom w:val="0"/>
      <w:divBdr>
        <w:top w:val="none" w:sz="0" w:space="0" w:color="auto"/>
        <w:left w:val="none" w:sz="0" w:space="0" w:color="auto"/>
        <w:bottom w:val="none" w:sz="0" w:space="0" w:color="auto"/>
        <w:right w:val="none" w:sz="0" w:space="0" w:color="auto"/>
      </w:divBdr>
    </w:div>
    <w:div w:id="1700004137">
      <w:bodyDiv w:val="1"/>
      <w:marLeft w:val="0"/>
      <w:marRight w:val="0"/>
      <w:marTop w:val="0"/>
      <w:marBottom w:val="0"/>
      <w:divBdr>
        <w:top w:val="none" w:sz="0" w:space="0" w:color="auto"/>
        <w:left w:val="none" w:sz="0" w:space="0" w:color="auto"/>
        <w:bottom w:val="none" w:sz="0" w:space="0" w:color="auto"/>
        <w:right w:val="none" w:sz="0" w:space="0" w:color="auto"/>
      </w:divBdr>
    </w:div>
    <w:div w:id="1700398704">
      <w:bodyDiv w:val="1"/>
      <w:marLeft w:val="0"/>
      <w:marRight w:val="0"/>
      <w:marTop w:val="0"/>
      <w:marBottom w:val="0"/>
      <w:divBdr>
        <w:top w:val="none" w:sz="0" w:space="0" w:color="auto"/>
        <w:left w:val="none" w:sz="0" w:space="0" w:color="auto"/>
        <w:bottom w:val="none" w:sz="0" w:space="0" w:color="auto"/>
        <w:right w:val="none" w:sz="0" w:space="0" w:color="auto"/>
      </w:divBdr>
    </w:div>
    <w:div w:id="1704600124">
      <w:bodyDiv w:val="1"/>
      <w:marLeft w:val="0"/>
      <w:marRight w:val="0"/>
      <w:marTop w:val="0"/>
      <w:marBottom w:val="0"/>
      <w:divBdr>
        <w:top w:val="none" w:sz="0" w:space="0" w:color="auto"/>
        <w:left w:val="none" w:sz="0" w:space="0" w:color="auto"/>
        <w:bottom w:val="none" w:sz="0" w:space="0" w:color="auto"/>
        <w:right w:val="none" w:sz="0" w:space="0" w:color="auto"/>
      </w:divBdr>
    </w:div>
    <w:div w:id="1705061728">
      <w:bodyDiv w:val="1"/>
      <w:marLeft w:val="0"/>
      <w:marRight w:val="0"/>
      <w:marTop w:val="0"/>
      <w:marBottom w:val="0"/>
      <w:divBdr>
        <w:top w:val="none" w:sz="0" w:space="0" w:color="auto"/>
        <w:left w:val="none" w:sz="0" w:space="0" w:color="auto"/>
        <w:bottom w:val="none" w:sz="0" w:space="0" w:color="auto"/>
        <w:right w:val="none" w:sz="0" w:space="0" w:color="auto"/>
      </w:divBdr>
    </w:div>
    <w:div w:id="1706558610">
      <w:bodyDiv w:val="1"/>
      <w:marLeft w:val="0"/>
      <w:marRight w:val="0"/>
      <w:marTop w:val="0"/>
      <w:marBottom w:val="0"/>
      <w:divBdr>
        <w:top w:val="none" w:sz="0" w:space="0" w:color="auto"/>
        <w:left w:val="none" w:sz="0" w:space="0" w:color="auto"/>
        <w:bottom w:val="none" w:sz="0" w:space="0" w:color="auto"/>
        <w:right w:val="none" w:sz="0" w:space="0" w:color="auto"/>
      </w:divBdr>
    </w:div>
    <w:div w:id="1709060463">
      <w:bodyDiv w:val="1"/>
      <w:marLeft w:val="0"/>
      <w:marRight w:val="0"/>
      <w:marTop w:val="0"/>
      <w:marBottom w:val="0"/>
      <w:divBdr>
        <w:top w:val="none" w:sz="0" w:space="0" w:color="auto"/>
        <w:left w:val="none" w:sz="0" w:space="0" w:color="auto"/>
        <w:bottom w:val="none" w:sz="0" w:space="0" w:color="auto"/>
        <w:right w:val="none" w:sz="0" w:space="0" w:color="auto"/>
      </w:divBdr>
    </w:div>
    <w:div w:id="1712001378">
      <w:bodyDiv w:val="1"/>
      <w:marLeft w:val="0"/>
      <w:marRight w:val="0"/>
      <w:marTop w:val="0"/>
      <w:marBottom w:val="0"/>
      <w:divBdr>
        <w:top w:val="none" w:sz="0" w:space="0" w:color="auto"/>
        <w:left w:val="none" w:sz="0" w:space="0" w:color="auto"/>
        <w:bottom w:val="none" w:sz="0" w:space="0" w:color="auto"/>
        <w:right w:val="none" w:sz="0" w:space="0" w:color="auto"/>
      </w:divBdr>
    </w:div>
    <w:div w:id="1712876584">
      <w:bodyDiv w:val="1"/>
      <w:marLeft w:val="0"/>
      <w:marRight w:val="0"/>
      <w:marTop w:val="0"/>
      <w:marBottom w:val="0"/>
      <w:divBdr>
        <w:top w:val="none" w:sz="0" w:space="0" w:color="auto"/>
        <w:left w:val="none" w:sz="0" w:space="0" w:color="auto"/>
        <w:bottom w:val="none" w:sz="0" w:space="0" w:color="auto"/>
        <w:right w:val="none" w:sz="0" w:space="0" w:color="auto"/>
      </w:divBdr>
    </w:div>
    <w:div w:id="1718431945">
      <w:bodyDiv w:val="1"/>
      <w:marLeft w:val="0"/>
      <w:marRight w:val="0"/>
      <w:marTop w:val="0"/>
      <w:marBottom w:val="0"/>
      <w:divBdr>
        <w:top w:val="none" w:sz="0" w:space="0" w:color="auto"/>
        <w:left w:val="none" w:sz="0" w:space="0" w:color="auto"/>
        <w:bottom w:val="none" w:sz="0" w:space="0" w:color="auto"/>
        <w:right w:val="none" w:sz="0" w:space="0" w:color="auto"/>
      </w:divBdr>
    </w:div>
    <w:div w:id="1721828835">
      <w:bodyDiv w:val="1"/>
      <w:marLeft w:val="0"/>
      <w:marRight w:val="0"/>
      <w:marTop w:val="0"/>
      <w:marBottom w:val="0"/>
      <w:divBdr>
        <w:top w:val="none" w:sz="0" w:space="0" w:color="auto"/>
        <w:left w:val="none" w:sz="0" w:space="0" w:color="auto"/>
        <w:bottom w:val="none" w:sz="0" w:space="0" w:color="auto"/>
        <w:right w:val="none" w:sz="0" w:space="0" w:color="auto"/>
      </w:divBdr>
    </w:div>
    <w:div w:id="1722167465">
      <w:bodyDiv w:val="1"/>
      <w:marLeft w:val="0"/>
      <w:marRight w:val="0"/>
      <w:marTop w:val="0"/>
      <w:marBottom w:val="0"/>
      <w:divBdr>
        <w:top w:val="none" w:sz="0" w:space="0" w:color="auto"/>
        <w:left w:val="none" w:sz="0" w:space="0" w:color="auto"/>
        <w:bottom w:val="none" w:sz="0" w:space="0" w:color="auto"/>
        <w:right w:val="none" w:sz="0" w:space="0" w:color="auto"/>
      </w:divBdr>
    </w:div>
    <w:div w:id="1722361455">
      <w:bodyDiv w:val="1"/>
      <w:marLeft w:val="0"/>
      <w:marRight w:val="0"/>
      <w:marTop w:val="0"/>
      <w:marBottom w:val="0"/>
      <w:divBdr>
        <w:top w:val="none" w:sz="0" w:space="0" w:color="auto"/>
        <w:left w:val="none" w:sz="0" w:space="0" w:color="auto"/>
        <w:bottom w:val="none" w:sz="0" w:space="0" w:color="auto"/>
        <w:right w:val="none" w:sz="0" w:space="0" w:color="auto"/>
      </w:divBdr>
    </w:div>
    <w:div w:id="1722509382">
      <w:bodyDiv w:val="1"/>
      <w:marLeft w:val="0"/>
      <w:marRight w:val="0"/>
      <w:marTop w:val="0"/>
      <w:marBottom w:val="0"/>
      <w:divBdr>
        <w:top w:val="none" w:sz="0" w:space="0" w:color="auto"/>
        <w:left w:val="none" w:sz="0" w:space="0" w:color="auto"/>
        <w:bottom w:val="none" w:sz="0" w:space="0" w:color="auto"/>
        <w:right w:val="none" w:sz="0" w:space="0" w:color="auto"/>
      </w:divBdr>
    </w:div>
    <w:div w:id="1723360098">
      <w:bodyDiv w:val="1"/>
      <w:marLeft w:val="0"/>
      <w:marRight w:val="0"/>
      <w:marTop w:val="0"/>
      <w:marBottom w:val="0"/>
      <w:divBdr>
        <w:top w:val="none" w:sz="0" w:space="0" w:color="auto"/>
        <w:left w:val="none" w:sz="0" w:space="0" w:color="auto"/>
        <w:bottom w:val="none" w:sz="0" w:space="0" w:color="auto"/>
        <w:right w:val="none" w:sz="0" w:space="0" w:color="auto"/>
      </w:divBdr>
    </w:div>
    <w:div w:id="1729259409">
      <w:bodyDiv w:val="1"/>
      <w:marLeft w:val="0"/>
      <w:marRight w:val="0"/>
      <w:marTop w:val="0"/>
      <w:marBottom w:val="0"/>
      <w:divBdr>
        <w:top w:val="none" w:sz="0" w:space="0" w:color="auto"/>
        <w:left w:val="none" w:sz="0" w:space="0" w:color="auto"/>
        <w:bottom w:val="none" w:sz="0" w:space="0" w:color="auto"/>
        <w:right w:val="none" w:sz="0" w:space="0" w:color="auto"/>
      </w:divBdr>
    </w:div>
    <w:div w:id="1729304574">
      <w:bodyDiv w:val="1"/>
      <w:marLeft w:val="0"/>
      <w:marRight w:val="0"/>
      <w:marTop w:val="0"/>
      <w:marBottom w:val="0"/>
      <w:divBdr>
        <w:top w:val="none" w:sz="0" w:space="0" w:color="auto"/>
        <w:left w:val="none" w:sz="0" w:space="0" w:color="auto"/>
        <w:bottom w:val="none" w:sz="0" w:space="0" w:color="auto"/>
        <w:right w:val="none" w:sz="0" w:space="0" w:color="auto"/>
      </w:divBdr>
    </w:div>
    <w:div w:id="1731879926">
      <w:bodyDiv w:val="1"/>
      <w:marLeft w:val="0"/>
      <w:marRight w:val="0"/>
      <w:marTop w:val="0"/>
      <w:marBottom w:val="0"/>
      <w:divBdr>
        <w:top w:val="none" w:sz="0" w:space="0" w:color="auto"/>
        <w:left w:val="none" w:sz="0" w:space="0" w:color="auto"/>
        <w:bottom w:val="none" w:sz="0" w:space="0" w:color="auto"/>
        <w:right w:val="none" w:sz="0" w:space="0" w:color="auto"/>
      </w:divBdr>
    </w:div>
    <w:div w:id="1733305204">
      <w:bodyDiv w:val="1"/>
      <w:marLeft w:val="0"/>
      <w:marRight w:val="0"/>
      <w:marTop w:val="0"/>
      <w:marBottom w:val="0"/>
      <w:divBdr>
        <w:top w:val="none" w:sz="0" w:space="0" w:color="auto"/>
        <w:left w:val="none" w:sz="0" w:space="0" w:color="auto"/>
        <w:bottom w:val="none" w:sz="0" w:space="0" w:color="auto"/>
        <w:right w:val="none" w:sz="0" w:space="0" w:color="auto"/>
      </w:divBdr>
    </w:div>
    <w:div w:id="1735809479">
      <w:bodyDiv w:val="1"/>
      <w:marLeft w:val="0"/>
      <w:marRight w:val="0"/>
      <w:marTop w:val="0"/>
      <w:marBottom w:val="0"/>
      <w:divBdr>
        <w:top w:val="none" w:sz="0" w:space="0" w:color="auto"/>
        <w:left w:val="none" w:sz="0" w:space="0" w:color="auto"/>
        <w:bottom w:val="none" w:sz="0" w:space="0" w:color="auto"/>
        <w:right w:val="none" w:sz="0" w:space="0" w:color="auto"/>
      </w:divBdr>
    </w:div>
    <w:div w:id="1736010430">
      <w:bodyDiv w:val="1"/>
      <w:marLeft w:val="0"/>
      <w:marRight w:val="0"/>
      <w:marTop w:val="0"/>
      <w:marBottom w:val="0"/>
      <w:divBdr>
        <w:top w:val="none" w:sz="0" w:space="0" w:color="auto"/>
        <w:left w:val="none" w:sz="0" w:space="0" w:color="auto"/>
        <w:bottom w:val="none" w:sz="0" w:space="0" w:color="auto"/>
        <w:right w:val="none" w:sz="0" w:space="0" w:color="auto"/>
      </w:divBdr>
    </w:div>
    <w:div w:id="1736584990">
      <w:bodyDiv w:val="1"/>
      <w:marLeft w:val="0"/>
      <w:marRight w:val="0"/>
      <w:marTop w:val="0"/>
      <w:marBottom w:val="0"/>
      <w:divBdr>
        <w:top w:val="none" w:sz="0" w:space="0" w:color="auto"/>
        <w:left w:val="none" w:sz="0" w:space="0" w:color="auto"/>
        <w:bottom w:val="none" w:sz="0" w:space="0" w:color="auto"/>
        <w:right w:val="none" w:sz="0" w:space="0" w:color="auto"/>
      </w:divBdr>
    </w:div>
    <w:div w:id="1737513772">
      <w:bodyDiv w:val="1"/>
      <w:marLeft w:val="0"/>
      <w:marRight w:val="0"/>
      <w:marTop w:val="0"/>
      <w:marBottom w:val="0"/>
      <w:divBdr>
        <w:top w:val="none" w:sz="0" w:space="0" w:color="auto"/>
        <w:left w:val="none" w:sz="0" w:space="0" w:color="auto"/>
        <w:bottom w:val="none" w:sz="0" w:space="0" w:color="auto"/>
        <w:right w:val="none" w:sz="0" w:space="0" w:color="auto"/>
      </w:divBdr>
    </w:div>
    <w:div w:id="1738436667">
      <w:bodyDiv w:val="1"/>
      <w:marLeft w:val="0"/>
      <w:marRight w:val="0"/>
      <w:marTop w:val="0"/>
      <w:marBottom w:val="0"/>
      <w:divBdr>
        <w:top w:val="none" w:sz="0" w:space="0" w:color="auto"/>
        <w:left w:val="none" w:sz="0" w:space="0" w:color="auto"/>
        <w:bottom w:val="none" w:sz="0" w:space="0" w:color="auto"/>
        <w:right w:val="none" w:sz="0" w:space="0" w:color="auto"/>
      </w:divBdr>
    </w:div>
    <w:div w:id="1743527898">
      <w:bodyDiv w:val="1"/>
      <w:marLeft w:val="0"/>
      <w:marRight w:val="0"/>
      <w:marTop w:val="0"/>
      <w:marBottom w:val="0"/>
      <w:divBdr>
        <w:top w:val="none" w:sz="0" w:space="0" w:color="auto"/>
        <w:left w:val="none" w:sz="0" w:space="0" w:color="auto"/>
        <w:bottom w:val="none" w:sz="0" w:space="0" w:color="auto"/>
        <w:right w:val="none" w:sz="0" w:space="0" w:color="auto"/>
      </w:divBdr>
    </w:div>
    <w:div w:id="1746604871">
      <w:bodyDiv w:val="1"/>
      <w:marLeft w:val="0"/>
      <w:marRight w:val="0"/>
      <w:marTop w:val="0"/>
      <w:marBottom w:val="0"/>
      <w:divBdr>
        <w:top w:val="none" w:sz="0" w:space="0" w:color="auto"/>
        <w:left w:val="none" w:sz="0" w:space="0" w:color="auto"/>
        <w:bottom w:val="none" w:sz="0" w:space="0" w:color="auto"/>
        <w:right w:val="none" w:sz="0" w:space="0" w:color="auto"/>
      </w:divBdr>
    </w:div>
    <w:div w:id="1748308381">
      <w:bodyDiv w:val="1"/>
      <w:marLeft w:val="0"/>
      <w:marRight w:val="0"/>
      <w:marTop w:val="0"/>
      <w:marBottom w:val="0"/>
      <w:divBdr>
        <w:top w:val="none" w:sz="0" w:space="0" w:color="auto"/>
        <w:left w:val="none" w:sz="0" w:space="0" w:color="auto"/>
        <w:bottom w:val="none" w:sz="0" w:space="0" w:color="auto"/>
        <w:right w:val="none" w:sz="0" w:space="0" w:color="auto"/>
      </w:divBdr>
    </w:div>
    <w:div w:id="1754861260">
      <w:bodyDiv w:val="1"/>
      <w:marLeft w:val="0"/>
      <w:marRight w:val="0"/>
      <w:marTop w:val="0"/>
      <w:marBottom w:val="0"/>
      <w:divBdr>
        <w:top w:val="none" w:sz="0" w:space="0" w:color="auto"/>
        <w:left w:val="none" w:sz="0" w:space="0" w:color="auto"/>
        <w:bottom w:val="none" w:sz="0" w:space="0" w:color="auto"/>
        <w:right w:val="none" w:sz="0" w:space="0" w:color="auto"/>
      </w:divBdr>
    </w:div>
    <w:div w:id="1755858909">
      <w:bodyDiv w:val="1"/>
      <w:marLeft w:val="0"/>
      <w:marRight w:val="0"/>
      <w:marTop w:val="0"/>
      <w:marBottom w:val="0"/>
      <w:divBdr>
        <w:top w:val="none" w:sz="0" w:space="0" w:color="auto"/>
        <w:left w:val="none" w:sz="0" w:space="0" w:color="auto"/>
        <w:bottom w:val="none" w:sz="0" w:space="0" w:color="auto"/>
        <w:right w:val="none" w:sz="0" w:space="0" w:color="auto"/>
      </w:divBdr>
    </w:div>
    <w:div w:id="1757242086">
      <w:bodyDiv w:val="1"/>
      <w:marLeft w:val="0"/>
      <w:marRight w:val="0"/>
      <w:marTop w:val="0"/>
      <w:marBottom w:val="0"/>
      <w:divBdr>
        <w:top w:val="none" w:sz="0" w:space="0" w:color="auto"/>
        <w:left w:val="none" w:sz="0" w:space="0" w:color="auto"/>
        <w:bottom w:val="none" w:sz="0" w:space="0" w:color="auto"/>
        <w:right w:val="none" w:sz="0" w:space="0" w:color="auto"/>
      </w:divBdr>
    </w:div>
    <w:div w:id="1758166444">
      <w:bodyDiv w:val="1"/>
      <w:marLeft w:val="0"/>
      <w:marRight w:val="0"/>
      <w:marTop w:val="0"/>
      <w:marBottom w:val="0"/>
      <w:divBdr>
        <w:top w:val="none" w:sz="0" w:space="0" w:color="auto"/>
        <w:left w:val="none" w:sz="0" w:space="0" w:color="auto"/>
        <w:bottom w:val="none" w:sz="0" w:space="0" w:color="auto"/>
        <w:right w:val="none" w:sz="0" w:space="0" w:color="auto"/>
      </w:divBdr>
    </w:div>
    <w:div w:id="1761028853">
      <w:bodyDiv w:val="1"/>
      <w:marLeft w:val="0"/>
      <w:marRight w:val="0"/>
      <w:marTop w:val="0"/>
      <w:marBottom w:val="0"/>
      <w:divBdr>
        <w:top w:val="none" w:sz="0" w:space="0" w:color="auto"/>
        <w:left w:val="none" w:sz="0" w:space="0" w:color="auto"/>
        <w:bottom w:val="none" w:sz="0" w:space="0" w:color="auto"/>
        <w:right w:val="none" w:sz="0" w:space="0" w:color="auto"/>
      </w:divBdr>
    </w:div>
    <w:div w:id="1762026573">
      <w:bodyDiv w:val="1"/>
      <w:marLeft w:val="0"/>
      <w:marRight w:val="0"/>
      <w:marTop w:val="0"/>
      <w:marBottom w:val="0"/>
      <w:divBdr>
        <w:top w:val="none" w:sz="0" w:space="0" w:color="auto"/>
        <w:left w:val="none" w:sz="0" w:space="0" w:color="auto"/>
        <w:bottom w:val="none" w:sz="0" w:space="0" w:color="auto"/>
        <w:right w:val="none" w:sz="0" w:space="0" w:color="auto"/>
      </w:divBdr>
    </w:div>
    <w:div w:id="1770004652">
      <w:bodyDiv w:val="1"/>
      <w:marLeft w:val="0"/>
      <w:marRight w:val="0"/>
      <w:marTop w:val="0"/>
      <w:marBottom w:val="0"/>
      <w:divBdr>
        <w:top w:val="none" w:sz="0" w:space="0" w:color="auto"/>
        <w:left w:val="none" w:sz="0" w:space="0" w:color="auto"/>
        <w:bottom w:val="none" w:sz="0" w:space="0" w:color="auto"/>
        <w:right w:val="none" w:sz="0" w:space="0" w:color="auto"/>
      </w:divBdr>
    </w:div>
    <w:div w:id="1770931328">
      <w:bodyDiv w:val="1"/>
      <w:marLeft w:val="0"/>
      <w:marRight w:val="0"/>
      <w:marTop w:val="0"/>
      <w:marBottom w:val="0"/>
      <w:divBdr>
        <w:top w:val="none" w:sz="0" w:space="0" w:color="auto"/>
        <w:left w:val="none" w:sz="0" w:space="0" w:color="auto"/>
        <w:bottom w:val="none" w:sz="0" w:space="0" w:color="auto"/>
        <w:right w:val="none" w:sz="0" w:space="0" w:color="auto"/>
      </w:divBdr>
    </w:div>
    <w:div w:id="1778794225">
      <w:bodyDiv w:val="1"/>
      <w:marLeft w:val="0"/>
      <w:marRight w:val="0"/>
      <w:marTop w:val="0"/>
      <w:marBottom w:val="0"/>
      <w:divBdr>
        <w:top w:val="none" w:sz="0" w:space="0" w:color="auto"/>
        <w:left w:val="none" w:sz="0" w:space="0" w:color="auto"/>
        <w:bottom w:val="none" w:sz="0" w:space="0" w:color="auto"/>
        <w:right w:val="none" w:sz="0" w:space="0" w:color="auto"/>
      </w:divBdr>
    </w:div>
    <w:div w:id="1779639895">
      <w:bodyDiv w:val="1"/>
      <w:marLeft w:val="0"/>
      <w:marRight w:val="0"/>
      <w:marTop w:val="0"/>
      <w:marBottom w:val="0"/>
      <w:divBdr>
        <w:top w:val="none" w:sz="0" w:space="0" w:color="auto"/>
        <w:left w:val="none" w:sz="0" w:space="0" w:color="auto"/>
        <w:bottom w:val="none" w:sz="0" w:space="0" w:color="auto"/>
        <w:right w:val="none" w:sz="0" w:space="0" w:color="auto"/>
      </w:divBdr>
    </w:div>
    <w:div w:id="1782146491">
      <w:bodyDiv w:val="1"/>
      <w:marLeft w:val="0"/>
      <w:marRight w:val="0"/>
      <w:marTop w:val="0"/>
      <w:marBottom w:val="0"/>
      <w:divBdr>
        <w:top w:val="none" w:sz="0" w:space="0" w:color="auto"/>
        <w:left w:val="none" w:sz="0" w:space="0" w:color="auto"/>
        <w:bottom w:val="none" w:sz="0" w:space="0" w:color="auto"/>
        <w:right w:val="none" w:sz="0" w:space="0" w:color="auto"/>
      </w:divBdr>
    </w:div>
    <w:div w:id="1784374167">
      <w:bodyDiv w:val="1"/>
      <w:marLeft w:val="0"/>
      <w:marRight w:val="0"/>
      <w:marTop w:val="0"/>
      <w:marBottom w:val="0"/>
      <w:divBdr>
        <w:top w:val="none" w:sz="0" w:space="0" w:color="auto"/>
        <w:left w:val="none" w:sz="0" w:space="0" w:color="auto"/>
        <w:bottom w:val="none" w:sz="0" w:space="0" w:color="auto"/>
        <w:right w:val="none" w:sz="0" w:space="0" w:color="auto"/>
      </w:divBdr>
    </w:div>
    <w:div w:id="1786580888">
      <w:bodyDiv w:val="1"/>
      <w:marLeft w:val="0"/>
      <w:marRight w:val="0"/>
      <w:marTop w:val="0"/>
      <w:marBottom w:val="0"/>
      <w:divBdr>
        <w:top w:val="none" w:sz="0" w:space="0" w:color="auto"/>
        <w:left w:val="none" w:sz="0" w:space="0" w:color="auto"/>
        <w:bottom w:val="none" w:sz="0" w:space="0" w:color="auto"/>
        <w:right w:val="none" w:sz="0" w:space="0" w:color="auto"/>
      </w:divBdr>
    </w:div>
    <w:div w:id="1787695560">
      <w:bodyDiv w:val="1"/>
      <w:marLeft w:val="0"/>
      <w:marRight w:val="0"/>
      <w:marTop w:val="0"/>
      <w:marBottom w:val="0"/>
      <w:divBdr>
        <w:top w:val="none" w:sz="0" w:space="0" w:color="auto"/>
        <w:left w:val="none" w:sz="0" w:space="0" w:color="auto"/>
        <w:bottom w:val="none" w:sz="0" w:space="0" w:color="auto"/>
        <w:right w:val="none" w:sz="0" w:space="0" w:color="auto"/>
      </w:divBdr>
    </w:div>
    <w:div w:id="1789009220">
      <w:bodyDiv w:val="1"/>
      <w:marLeft w:val="0"/>
      <w:marRight w:val="0"/>
      <w:marTop w:val="0"/>
      <w:marBottom w:val="0"/>
      <w:divBdr>
        <w:top w:val="none" w:sz="0" w:space="0" w:color="auto"/>
        <w:left w:val="none" w:sz="0" w:space="0" w:color="auto"/>
        <w:bottom w:val="none" w:sz="0" w:space="0" w:color="auto"/>
        <w:right w:val="none" w:sz="0" w:space="0" w:color="auto"/>
      </w:divBdr>
    </w:div>
    <w:div w:id="1789230755">
      <w:bodyDiv w:val="1"/>
      <w:marLeft w:val="0"/>
      <w:marRight w:val="0"/>
      <w:marTop w:val="0"/>
      <w:marBottom w:val="0"/>
      <w:divBdr>
        <w:top w:val="none" w:sz="0" w:space="0" w:color="auto"/>
        <w:left w:val="none" w:sz="0" w:space="0" w:color="auto"/>
        <w:bottom w:val="none" w:sz="0" w:space="0" w:color="auto"/>
        <w:right w:val="none" w:sz="0" w:space="0" w:color="auto"/>
      </w:divBdr>
    </w:div>
    <w:div w:id="1791581729">
      <w:bodyDiv w:val="1"/>
      <w:marLeft w:val="0"/>
      <w:marRight w:val="0"/>
      <w:marTop w:val="0"/>
      <w:marBottom w:val="0"/>
      <w:divBdr>
        <w:top w:val="none" w:sz="0" w:space="0" w:color="auto"/>
        <w:left w:val="none" w:sz="0" w:space="0" w:color="auto"/>
        <w:bottom w:val="none" w:sz="0" w:space="0" w:color="auto"/>
        <w:right w:val="none" w:sz="0" w:space="0" w:color="auto"/>
      </w:divBdr>
    </w:div>
    <w:div w:id="1791969580">
      <w:bodyDiv w:val="1"/>
      <w:marLeft w:val="0"/>
      <w:marRight w:val="0"/>
      <w:marTop w:val="0"/>
      <w:marBottom w:val="0"/>
      <w:divBdr>
        <w:top w:val="none" w:sz="0" w:space="0" w:color="auto"/>
        <w:left w:val="none" w:sz="0" w:space="0" w:color="auto"/>
        <w:bottom w:val="none" w:sz="0" w:space="0" w:color="auto"/>
        <w:right w:val="none" w:sz="0" w:space="0" w:color="auto"/>
      </w:divBdr>
    </w:div>
    <w:div w:id="1795706233">
      <w:bodyDiv w:val="1"/>
      <w:marLeft w:val="0"/>
      <w:marRight w:val="0"/>
      <w:marTop w:val="0"/>
      <w:marBottom w:val="0"/>
      <w:divBdr>
        <w:top w:val="none" w:sz="0" w:space="0" w:color="auto"/>
        <w:left w:val="none" w:sz="0" w:space="0" w:color="auto"/>
        <w:bottom w:val="none" w:sz="0" w:space="0" w:color="auto"/>
        <w:right w:val="none" w:sz="0" w:space="0" w:color="auto"/>
      </w:divBdr>
    </w:div>
    <w:div w:id="1799294400">
      <w:bodyDiv w:val="1"/>
      <w:marLeft w:val="0"/>
      <w:marRight w:val="0"/>
      <w:marTop w:val="0"/>
      <w:marBottom w:val="0"/>
      <w:divBdr>
        <w:top w:val="none" w:sz="0" w:space="0" w:color="auto"/>
        <w:left w:val="none" w:sz="0" w:space="0" w:color="auto"/>
        <w:bottom w:val="none" w:sz="0" w:space="0" w:color="auto"/>
        <w:right w:val="none" w:sz="0" w:space="0" w:color="auto"/>
      </w:divBdr>
    </w:div>
    <w:div w:id="1799491547">
      <w:bodyDiv w:val="1"/>
      <w:marLeft w:val="0"/>
      <w:marRight w:val="0"/>
      <w:marTop w:val="0"/>
      <w:marBottom w:val="0"/>
      <w:divBdr>
        <w:top w:val="none" w:sz="0" w:space="0" w:color="auto"/>
        <w:left w:val="none" w:sz="0" w:space="0" w:color="auto"/>
        <w:bottom w:val="none" w:sz="0" w:space="0" w:color="auto"/>
        <w:right w:val="none" w:sz="0" w:space="0" w:color="auto"/>
      </w:divBdr>
    </w:div>
    <w:div w:id="1802382937">
      <w:bodyDiv w:val="1"/>
      <w:marLeft w:val="0"/>
      <w:marRight w:val="0"/>
      <w:marTop w:val="0"/>
      <w:marBottom w:val="0"/>
      <w:divBdr>
        <w:top w:val="none" w:sz="0" w:space="0" w:color="auto"/>
        <w:left w:val="none" w:sz="0" w:space="0" w:color="auto"/>
        <w:bottom w:val="none" w:sz="0" w:space="0" w:color="auto"/>
        <w:right w:val="none" w:sz="0" w:space="0" w:color="auto"/>
      </w:divBdr>
    </w:div>
    <w:div w:id="1802773085">
      <w:bodyDiv w:val="1"/>
      <w:marLeft w:val="0"/>
      <w:marRight w:val="0"/>
      <w:marTop w:val="0"/>
      <w:marBottom w:val="0"/>
      <w:divBdr>
        <w:top w:val="none" w:sz="0" w:space="0" w:color="auto"/>
        <w:left w:val="none" w:sz="0" w:space="0" w:color="auto"/>
        <w:bottom w:val="none" w:sz="0" w:space="0" w:color="auto"/>
        <w:right w:val="none" w:sz="0" w:space="0" w:color="auto"/>
      </w:divBdr>
    </w:div>
    <w:div w:id="1803227188">
      <w:bodyDiv w:val="1"/>
      <w:marLeft w:val="0"/>
      <w:marRight w:val="0"/>
      <w:marTop w:val="0"/>
      <w:marBottom w:val="0"/>
      <w:divBdr>
        <w:top w:val="none" w:sz="0" w:space="0" w:color="auto"/>
        <w:left w:val="none" w:sz="0" w:space="0" w:color="auto"/>
        <w:bottom w:val="none" w:sz="0" w:space="0" w:color="auto"/>
        <w:right w:val="none" w:sz="0" w:space="0" w:color="auto"/>
      </w:divBdr>
    </w:div>
    <w:div w:id="1806579131">
      <w:bodyDiv w:val="1"/>
      <w:marLeft w:val="0"/>
      <w:marRight w:val="0"/>
      <w:marTop w:val="0"/>
      <w:marBottom w:val="0"/>
      <w:divBdr>
        <w:top w:val="none" w:sz="0" w:space="0" w:color="auto"/>
        <w:left w:val="none" w:sz="0" w:space="0" w:color="auto"/>
        <w:bottom w:val="none" w:sz="0" w:space="0" w:color="auto"/>
        <w:right w:val="none" w:sz="0" w:space="0" w:color="auto"/>
      </w:divBdr>
    </w:div>
    <w:div w:id="1813059398">
      <w:bodyDiv w:val="1"/>
      <w:marLeft w:val="0"/>
      <w:marRight w:val="0"/>
      <w:marTop w:val="0"/>
      <w:marBottom w:val="0"/>
      <w:divBdr>
        <w:top w:val="none" w:sz="0" w:space="0" w:color="auto"/>
        <w:left w:val="none" w:sz="0" w:space="0" w:color="auto"/>
        <w:bottom w:val="none" w:sz="0" w:space="0" w:color="auto"/>
        <w:right w:val="none" w:sz="0" w:space="0" w:color="auto"/>
      </w:divBdr>
    </w:div>
    <w:div w:id="1815826816">
      <w:bodyDiv w:val="1"/>
      <w:marLeft w:val="0"/>
      <w:marRight w:val="0"/>
      <w:marTop w:val="0"/>
      <w:marBottom w:val="0"/>
      <w:divBdr>
        <w:top w:val="none" w:sz="0" w:space="0" w:color="auto"/>
        <w:left w:val="none" w:sz="0" w:space="0" w:color="auto"/>
        <w:bottom w:val="none" w:sz="0" w:space="0" w:color="auto"/>
        <w:right w:val="none" w:sz="0" w:space="0" w:color="auto"/>
      </w:divBdr>
    </w:div>
    <w:div w:id="1816023457">
      <w:bodyDiv w:val="1"/>
      <w:marLeft w:val="0"/>
      <w:marRight w:val="0"/>
      <w:marTop w:val="0"/>
      <w:marBottom w:val="0"/>
      <w:divBdr>
        <w:top w:val="none" w:sz="0" w:space="0" w:color="auto"/>
        <w:left w:val="none" w:sz="0" w:space="0" w:color="auto"/>
        <w:bottom w:val="none" w:sz="0" w:space="0" w:color="auto"/>
        <w:right w:val="none" w:sz="0" w:space="0" w:color="auto"/>
      </w:divBdr>
    </w:div>
    <w:div w:id="1817531487">
      <w:bodyDiv w:val="1"/>
      <w:marLeft w:val="0"/>
      <w:marRight w:val="0"/>
      <w:marTop w:val="0"/>
      <w:marBottom w:val="0"/>
      <w:divBdr>
        <w:top w:val="none" w:sz="0" w:space="0" w:color="auto"/>
        <w:left w:val="none" w:sz="0" w:space="0" w:color="auto"/>
        <w:bottom w:val="none" w:sz="0" w:space="0" w:color="auto"/>
        <w:right w:val="none" w:sz="0" w:space="0" w:color="auto"/>
      </w:divBdr>
    </w:div>
    <w:div w:id="1817795619">
      <w:bodyDiv w:val="1"/>
      <w:marLeft w:val="0"/>
      <w:marRight w:val="0"/>
      <w:marTop w:val="0"/>
      <w:marBottom w:val="0"/>
      <w:divBdr>
        <w:top w:val="none" w:sz="0" w:space="0" w:color="auto"/>
        <w:left w:val="none" w:sz="0" w:space="0" w:color="auto"/>
        <w:bottom w:val="none" w:sz="0" w:space="0" w:color="auto"/>
        <w:right w:val="none" w:sz="0" w:space="0" w:color="auto"/>
      </w:divBdr>
    </w:div>
    <w:div w:id="1820345955">
      <w:bodyDiv w:val="1"/>
      <w:marLeft w:val="0"/>
      <w:marRight w:val="0"/>
      <w:marTop w:val="0"/>
      <w:marBottom w:val="0"/>
      <w:divBdr>
        <w:top w:val="none" w:sz="0" w:space="0" w:color="auto"/>
        <w:left w:val="none" w:sz="0" w:space="0" w:color="auto"/>
        <w:bottom w:val="none" w:sz="0" w:space="0" w:color="auto"/>
        <w:right w:val="none" w:sz="0" w:space="0" w:color="auto"/>
      </w:divBdr>
      <w:divsChild>
        <w:div w:id="1879199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2191280">
      <w:bodyDiv w:val="1"/>
      <w:marLeft w:val="0"/>
      <w:marRight w:val="0"/>
      <w:marTop w:val="0"/>
      <w:marBottom w:val="0"/>
      <w:divBdr>
        <w:top w:val="none" w:sz="0" w:space="0" w:color="auto"/>
        <w:left w:val="none" w:sz="0" w:space="0" w:color="auto"/>
        <w:bottom w:val="none" w:sz="0" w:space="0" w:color="auto"/>
        <w:right w:val="none" w:sz="0" w:space="0" w:color="auto"/>
      </w:divBdr>
    </w:div>
    <w:div w:id="1822576503">
      <w:bodyDiv w:val="1"/>
      <w:marLeft w:val="0"/>
      <w:marRight w:val="0"/>
      <w:marTop w:val="0"/>
      <w:marBottom w:val="0"/>
      <w:divBdr>
        <w:top w:val="none" w:sz="0" w:space="0" w:color="auto"/>
        <w:left w:val="none" w:sz="0" w:space="0" w:color="auto"/>
        <w:bottom w:val="none" w:sz="0" w:space="0" w:color="auto"/>
        <w:right w:val="none" w:sz="0" w:space="0" w:color="auto"/>
      </w:divBdr>
    </w:div>
    <w:div w:id="1825001711">
      <w:bodyDiv w:val="1"/>
      <w:marLeft w:val="0"/>
      <w:marRight w:val="0"/>
      <w:marTop w:val="0"/>
      <w:marBottom w:val="0"/>
      <w:divBdr>
        <w:top w:val="none" w:sz="0" w:space="0" w:color="auto"/>
        <w:left w:val="none" w:sz="0" w:space="0" w:color="auto"/>
        <w:bottom w:val="none" w:sz="0" w:space="0" w:color="auto"/>
        <w:right w:val="none" w:sz="0" w:space="0" w:color="auto"/>
      </w:divBdr>
    </w:div>
    <w:div w:id="1825007575">
      <w:bodyDiv w:val="1"/>
      <w:marLeft w:val="0"/>
      <w:marRight w:val="0"/>
      <w:marTop w:val="0"/>
      <w:marBottom w:val="0"/>
      <w:divBdr>
        <w:top w:val="none" w:sz="0" w:space="0" w:color="auto"/>
        <w:left w:val="none" w:sz="0" w:space="0" w:color="auto"/>
        <w:bottom w:val="none" w:sz="0" w:space="0" w:color="auto"/>
        <w:right w:val="none" w:sz="0" w:space="0" w:color="auto"/>
      </w:divBdr>
    </w:div>
    <w:div w:id="1828591687">
      <w:bodyDiv w:val="1"/>
      <w:marLeft w:val="0"/>
      <w:marRight w:val="0"/>
      <w:marTop w:val="0"/>
      <w:marBottom w:val="0"/>
      <w:divBdr>
        <w:top w:val="none" w:sz="0" w:space="0" w:color="auto"/>
        <w:left w:val="none" w:sz="0" w:space="0" w:color="auto"/>
        <w:bottom w:val="none" w:sz="0" w:space="0" w:color="auto"/>
        <w:right w:val="none" w:sz="0" w:space="0" w:color="auto"/>
      </w:divBdr>
    </w:div>
    <w:div w:id="1833638128">
      <w:bodyDiv w:val="1"/>
      <w:marLeft w:val="0"/>
      <w:marRight w:val="0"/>
      <w:marTop w:val="0"/>
      <w:marBottom w:val="0"/>
      <w:divBdr>
        <w:top w:val="none" w:sz="0" w:space="0" w:color="auto"/>
        <w:left w:val="none" w:sz="0" w:space="0" w:color="auto"/>
        <w:bottom w:val="none" w:sz="0" w:space="0" w:color="auto"/>
        <w:right w:val="none" w:sz="0" w:space="0" w:color="auto"/>
      </w:divBdr>
    </w:div>
    <w:div w:id="1834296367">
      <w:bodyDiv w:val="1"/>
      <w:marLeft w:val="0"/>
      <w:marRight w:val="0"/>
      <w:marTop w:val="0"/>
      <w:marBottom w:val="0"/>
      <w:divBdr>
        <w:top w:val="none" w:sz="0" w:space="0" w:color="auto"/>
        <w:left w:val="none" w:sz="0" w:space="0" w:color="auto"/>
        <w:bottom w:val="none" w:sz="0" w:space="0" w:color="auto"/>
        <w:right w:val="none" w:sz="0" w:space="0" w:color="auto"/>
      </w:divBdr>
    </w:div>
    <w:div w:id="1836191110">
      <w:bodyDiv w:val="1"/>
      <w:marLeft w:val="0"/>
      <w:marRight w:val="0"/>
      <w:marTop w:val="0"/>
      <w:marBottom w:val="0"/>
      <w:divBdr>
        <w:top w:val="none" w:sz="0" w:space="0" w:color="auto"/>
        <w:left w:val="none" w:sz="0" w:space="0" w:color="auto"/>
        <w:bottom w:val="none" w:sz="0" w:space="0" w:color="auto"/>
        <w:right w:val="none" w:sz="0" w:space="0" w:color="auto"/>
      </w:divBdr>
    </w:div>
    <w:div w:id="1836875127">
      <w:bodyDiv w:val="1"/>
      <w:marLeft w:val="0"/>
      <w:marRight w:val="0"/>
      <w:marTop w:val="0"/>
      <w:marBottom w:val="0"/>
      <w:divBdr>
        <w:top w:val="none" w:sz="0" w:space="0" w:color="auto"/>
        <w:left w:val="none" w:sz="0" w:space="0" w:color="auto"/>
        <w:bottom w:val="none" w:sz="0" w:space="0" w:color="auto"/>
        <w:right w:val="none" w:sz="0" w:space="0" w:color="auto"/>
      </w:divBdr>
    </w:div>
    <w:div w:id="1836920591">
      <w:bodyDiv w:val="1"/>
      <w:marLeft w:val="0"/>
      <w:marRight w:val="0"/>
      <w:marTop w:val="0"/>
      <w:marBottom w:val="0"/>
      <w:divBdr>
        <w:top w:val="none" w:sz="0" w:space="0" w:color="auto"/>
        <w:left w:val="none" w:sz="0" w:space="0" w:color="auto"/>
        <w:bottom w:val="none" w:sz="0" w:space="0" w:color="auto"/>
        <w:right w:val="none" w:sz="0" w:space="0" w:color="auto"/>
      </w:divBdr>
      <w:divsChild>
        <w:div w:id="1468543421">
          <w:marLeft w:val="480"/>
          <w:marRight w:val="0"/>
          <w:marTop w:val="0"/>
          <w:marBottom w:val="0"/>
          <w:divBdr>
            <w:top w:val="none" w:sz="0" w:space="0" w:color="auto"/>
            <w:left w:val="none" w:sz="0" w:space="0" w:color="auto"/>
            <w:bottom w:val="none" w:sz="0" w:space="0" w:color="auto"/>
            <w:right w:val="none" w:sz="0" w:space="0" w:color="auto"/>
          </w:divBdr>
        </w:div>
        <w:div w:id="1050612760">
          <w:marLeft w:val="480"/>
          <w:marRight w:val="0"/>
          <w:marTop w:val="0"/>
          <w:marBottom w:val="0"/>
          <w:divBdr>
            <w:top w:val="none" w:sz="0" w:space="0" w:color="auto"/>
            <w:left w:val="none" w:sz="0" w:space="0" w:color="auto"/>
            <w:bottom w:val="none" w:sz="0" w:space="0" w:color="auto"/>
            <w:right w:val="none" w:sz="0" w:space="0" w:color="auto"/>
          </w:divBdr>
        </w:div>
        <w:div w:id="1677419344">
          <w:marLeft w:val="480"/>
          <w:marRight w:val="0"/>
          <w:marTop w:val="0"/>
          <w:marBottom w:val="0"/>
          <w:divBdr>
            <w:top w:val="none" w:sz="0" w:space="0" w:color="auto"/>
            <w:left w:val="none" w:sz="0" w:space="0" w:color="auto"/>
            <w:bottom w:val="none" w:sz="0" w:space="0" w:color="auto"/>
            <w:right w:val="none" w:sz="0" w:space="0" w:color="auto"/>
          </w:divBdr>
        </w:div>
        <w:div w:id="197007769">
          <w:marLeft w:val="480"/>
          <w:marRight w:val="0"/>
          <w:marTop w:val="0"/>
          <w:marBottom w:val="0"/>
          <w:divBdr>
            <w:top w:val="none" w:sz="0" w:space="0" w:color="auto"/>
            <w:left w:val="none" w:sz="0" w:space="0" w:color="auto"/>
            <w:bottom w:val="none" w:sz="0" w:space="0" w:color="auto"/>
            <w:right w:val="none" w:sz="0" w:space="0" w:color="auto"/>
          </w:divBdr>
        </w:div>
        <w:div w:id="81028354">
          <w:marLeft w:val="480"/>
          <w:marRight w:val="0"/>
          <w:marTop w:val="0"/>
          <w:marBottom w:val="0"/>
          <w:divBdr>
            <w:top w:val="none" w:sz="0" w:space="0" w:color="auto"/>
            <w:left w:val="none" w:sz="0" w:space="0" w:color="auto"/>
            <w:bottom w:val="none" w:sz="0" w:space="0" w:color="auto"/>
            <w:right w:val="none" w:sz="0" w:space="0" w:color="auto"/>
          </w:divBdr>
        </w:div>
        <w:div w:id="525676564">
          <w:marLeft w:val="480"/>
          <w:marRight w:val="0"/>
          <w:marTop w:val="0"/>
          <w:marBottom w:val="0"/>
          <w:divBdr>
            <w:top w:val="none" w:sz="0" w:space="0" w:color="auto"/>
            <w:left w:val="none" w:sz="0" w:space="0" w:color="auto"/>
            <w:bottom w:val="none" w:sz="0" w:space="0" w:color="auto"/>
            <w:right w:val="none" w:sz="0" w:space="0" w:color="auto"/>
          </w:divBdr>
        </w:div>
        <w:div w:id="1960916635">
          <w:marLeft w:val="480"/>
          <w:marRight w:val="0"/>
          <w:marTop w:val="0"/>
          <w:marBottom w:val="0"/>
          <w:divBdr>
            <w:top w:val="none" w:sz="0" w:space="0" w:color="auto"/>
            <w:left w:val="none" w:sz="0" w:space="0" w:color="auto"/>
            <w:bottom w:val="none" w:sz="0" w:space="0" w:color="auto"/>
            <w:right w:val="none" w:sz="0" w:space="0" w:color="auto"/>
          </w:divBdr>
        </w:div>
        <w:div w:id="1777024386">
          <w:marLeft w:val="480"/>
          <w:marRight w:val="0"/>
          <w:marTop w:val="0"/>
          <w:marBottom w:val="0"/>
          <w:divBdr>
            <w:top w:val="none" w:sz="0" w:space="0" w:color="auto"/>
            <w:left w:val="none" w:sz="0" w:space="0" w:color="auto"/>
            <w:bottom w:val="none" w:sz="0" w:space="0" w:color="auto"/>
            <w:right w:val="none" w:sz="0" w:space="0" w:color="auto"/>
          </w:divBdr>
        </w:div>
        <w:div w:id="862354666">
          <w:marLeft w:val="480"/>
          <w:marRight w:val="0"/>
          <w:marTop w:val="0"/>
          <w:marBottom w:val="0"/>
          <w:divBdr>
            <w:top w:val="none" w:sz="0" w:space="0" w:color="auto"/>
            <w:left w:val="none" w:sz="0" w:space="0" w:color="auto"/>
            <w:bottom w:val="none" w:sz="0" w:space="0" w:color="auto"/>
            <w:right w:val="none" w:sz="0" w:space="0" w:color="auto"/>
          </w:divBdr>
        </w:div>
        <w:div w:id="1463886962">
          <w:marLeft w:val="480"/>
          <w:marRight w:val="0"/>
          <w:marTop w:val="0"/>
          <w:marBottom w:val="0"/>
          <w:divBdr>
            <w:top w:val="none" w:sz="0" w:space="0" w:color="auto"/>
            <w:left w:val="none" w:sz="0" w:space="0" w:color="auto"/>
            <w:bottom w:val="none" w:sz="0" w:space="0" w:color="auto"/>
            <w:right w:val="none" w:sz="0" w:space="0" w:color="auto"/>
          </w:divBdr>
        </w:div>
        <w:div w:id="904023768">
          <w:marLeft w:val="480"/>
          <w:marRight w:val="0"/>
          <w:marTop w:val="0"/>
          <w:marBottom w:val="0"/>
          <w:divBdr>
            <w:top w:val="none" w:sz="0" w:space="0" w:color="auto"/>
            <w:left w:val="none" w:sz="0" w:space="0" w:color="auto"/>
            <w:bottom w:val="none" w:sz="0" w:space="0" w:color="auto"/>
            <w:right w:val="none" w:sz="0" w:space="0" w:color="auto"/>
          </w:divBdr>
        </w:div>
        <w:div w:id="1300264597">
          <w:marLeft w:val="480"/>
          <w:marRight w:val="0"/>
          <w:marTop w:val="0"/>
          <w:marBottom w:val="0"/>
          <w:divBdr>
            <w:top w:val="none" w:sz="0" w:space="0" w:color="auto"/>
            <w:left w:val="none" w:sz="0" w:space="0" w:color="auto"/>
            <w:bottom w:val="none" w:sz="0" w:space="0" w:color="auto"/>
            <w:right w:val="none" w:sz="0" w:space="0" w:color="auto"/>
          </w:divBdr>
        </w:div>
        <w:div w:id="1607887344">
          <w:marLeft w:val="480"/>
          <w:marRight w:val="0"/>
          <w:marTop w:val="0"/>
          <w:marBottom w:val="0"/>
          <w:divBdr>
            <w:top w:val="none" w:sz="0" w:space="0" w:color="auto"/>
            <w:left w:val="none" w:sz="0" w:space="0" w:color="auto"/>
            <w:bottom w:val="none" w:sz="0" w:space="0" w:color="auto"/>
            <w:right w:val="none" w:sz="0" w:space="0" w:color="auto"/>
          </w:divBdr>
        </w:div>
        <w:div w:id="1099718982">
          <w:marLeft w:val="480"/>
          <w:marRight w:val="0"/>
          <w:marTop w:val="0"/>
          <w:marBottom w:val="0"/>
          <w:divBdr>
            <w:top w:val="none" w:sz="0" w:space="0" w:color="auto"/>
            <w:left w:val="none" w:sz="0" w:space="0" w:color="auto"/>
            <w:bottom w:val="none" w:sz="0" w:space="0" w:color="auto"/>
            <w:right w:val="none" w:sz="0" w:space="0" w:color="auto"/>
          </w:divBdr>
        </w:div>
        <w:div w:id="1916863749">
          <w:marLeft w:val="480"/>
          <w:marRight w:val="0"/>
          <w:marTop w:val="0"/>
          <w:marBottom w:val="0"/>
          <w:divBdr>
            <w:top w:val="none" w:sz="0" w:space="0" w:color="auto"/>
            <w:left w:val="none" w:sz="0" w:space="0" w:color="auto"/>
            <w:bottom w:val="none" w:sz="0" w:space="0" w:color="auto"/>
            <w:right w:val="none" w:sz="0" w:space="0" w:color="auto"/>
          </w:divBdr>
        </w:div>
        <w:div w:id="620764395">
          <w:marLeft w:val="480"/>
          <w:marRight w:val="0"/>
          <w:marTop w:val="0"/>
          <w:marBottom w:val="0"/>
          <w:divBdr>
            <w:top w:val="none" w:sz="0" w:space="0" w:color="auto"/>
            <w:left w:val="none" w:sz="0" w:space="0" w:color="auto"/>
            <w:bottom w:val="none" w:sz="0" w:space="0" w:color="auto"/>
            <w:right w:val="none" w:sz="0" w:space="0" w:color="auto"/>
          </w:divBdr>
        </w:div>
        <w:div w:id="1898127318">
          <w:marLeft w:val="480"/>
          <w:marRight w:val="0"/>
          <w:marTop w:val="0"/>
          <w:marBottom w:val="0"/>
          <w:divBdr>
            <w:top w:val="none" w:sz="0" w:space="0" w:color="auto"/>
            <w:left w:val="none" w:sz="0" w:space="0" w:color="auto"/>
            <w:bottom w:val="none" w:sz="0" w:space="0" w:color="auto"/>
            <w:right w:val="none" w:sz="0" w:space="0" w:color="auto"/>
          </w:divBdr>
        </w:div>
        <w:div w:id="1492863988">
          <w:marLeft w:val="480"/>
          <w:marRight w:val="0"/>
          <w:marTop w:val="0"/>
          <w:marBottom w:val="0"/>
          <w:divBdr>
            <w:top w:val="none" w:sz="0" w:space="0" w:color="auto"/>
            <w:left w:val="none" w:sz="0" w:space="0" w:color="auto"/>
            <w:bottom w:val="none" w:sz="0" w:space="0" w:color="auto"/>
            <w:right w:val="none" w:sz="0" w:space="0" w:color="auto"/>
          </w:divBdr>
        </w:div>
        <w:div w:id="1904753170">
          <w:marLeft w:val="480"/>
          <w:marRight w:val="0"/>
          <w:marTop w:val="0"/>
          <w:marBottom w:val="0"/>
          <w:divBdr>
            <w:top w:val="none" w:sz="0" w:space="0" w:color="auto"/>
            <w:left w:val="none" w:sz="0" w:space="0" w:color="auto"/>
            <w:bottom w:val="none" w:sz="0" w:space="0" w:color="auto"/>
            <w:right w:val="none" w:sz="0" w:space="0" w:color="auto"/>
          </w:divBdr>
        </w:div>
        <w:div w:id="1576623294">
          <w:marLeft w:val="480"/>
          <w:marRight w:val="0"/>
          <w:marTop w:val="0"/>
          <w:marBottom w:val="0"/>
          <w:divBdr>
            <w:top w:val="none" w:sz="0" w:space="0" w:color="auto"/>
            <w:left w:val="none" w:sz="0" w:space="0" w:color="auto"/>
            <w:bottom w:val="none" w:sz="0" w:space="0" w:color="auto"/>
            <w:right w:val="none" w:sz="0" w:space="0" w:color="auto"/>
          </w:divBdr>
        </w:div>
        <w:div w:id="2061662703">
          <w:marLeft w:val="480"/>
          <w:marRight w:val="0"/>
          <w:marTop w:val="0"/>
          <w:marBottom w:val="0"/>
          <w:divBdr>
            <w:top w:val="none" w:sz="0" w:space="0" w:color="auto"/>
            <w:left w:val="none" w:sz="0" w:space="0" w:color="auto"/>
            <w:bottom w:val="none" w:sz="0" w:space="0" w:color="auto"/>
            <w:right w:val="none" w:sz="0" w:space="0" w:color="auto"/>
          </w:divBdr>
        </w:div>
        <w:div w:id="2015112952">
          <w:marLeft w:val="480"/>
          <w:marRight w:val="0"/>
          <w:marTop w:val="0"/>
          <w:marBottom w:val="0"/>
          <w:divBdr>
            <w:top w:val="none" w:sz="0" w:space="0" w:color="auto"/>
            <w:left w:val="none" w:sz="0" w:space="0" w:color="auto"/>
            <w:bottom w:val="none" w:sz="0" w:space="0" w:color="auto"/>
            <w:right w:val="none" w:sz="0" w:space="0" w:color="auto"/>
          </w:divBdr>
        </w:div>
        <w:div w:id="2114284146">
          <w:marLeft w:val="480"/>
          <w:marRight w:val="0"/>
          <w:marTop w:val="0"/>
          <w:marBottom w:val="0"/>
          <w:divBdr>
            <w:top w:val="none" w:sz="0" w:space="0" w:color="auto"/>
            <w:left w:val="none" w:sz="0" w:space="0" w:color="auto"/>
            <w:bottom w:val="none" w:sz="0" w:space="0" w:color="auto"/>
            <w:right w:val="none" w:sz="0" w:space="0" w:color="auto"/>
          </w:divBdr>
        </w:div>
        <w:div w:id="827356694">
          <w:marLeft w:val="480"/>
          <w:marRight w:val="0"/>
          <w:marTop w:val="0"/>
          <w:marBottom w:val="0"/>
          <w:divBdr>
            <w:top w:val="none" w:sz="0" w:space="0" w:color="auto"/>
            <w:left w:val="none" w:sz="0" w:space="0" w:color="auto"/>
            <w:bottom w:val="none" w:sz="0" w:space="0" w:color="auto"/>
            <w:right w:val="none" w:sz="0" w:space="0" w:color="auto"/>
          </w:divBdr>
        </w:div>
        <w:div w:id="1491560055">
          <w:marLeft w:val="480"/>
          <w:marRight w:val="0"/>
          <w:marTop w:val="0"/>
          <w:marBottom w:val="0"/>
          <w:divBdr>
            <w:top w:val="none" w:sz="0" w:space="0" w:color="auto"/>
            <w:left w:val="none" w:sz="0" w:space="0" w:color="auto"/>
            <w:bottom w:val="none" w:sz="0" w:space="0" w:color="auto"/>
            <w:right w:val="none" w:sz="0" w:space="0" w:color="auto"/>
          </w:divBdr>
        </w:div>
        <w:div w:id="290407717">
          <w:marLeft w:val="480"/>
          <w:marRight w:val="0"/>
          <w:marTop w:val="0"/>
          <w:marBottom w:val="0"/>
          <w:divBdr>
            <w:top w:val="none" w:sz="0" w:space="0" w:color="auto"/>
            <w:left w:val="none" w:sz="0" w:space="0" w:color="auto"/>
            <w:bottom w:val="none" w:sz="0" w:space="0" w:color="auto"/>
            <w:right w:val="none" w:sz="0" w:space="0" w:color="auto"/>
          </w:divBdr>
        </w:div>
        <w:div w:id="890583012">
          <w:marLeft w:val="480"/>
          <w:marRight w:val="0"/>
          <w:marTop w:val="0"/>
          <w:marBottom w:val="0"/>
          <w:divBdr>
            <w:top w:val="none" w:sz="0" w:space="0" w:color="auto"/>
            <w:left w:val="none" w:sz="0" w:space="0" w:color="auto"/>
            <w:bottom w:val="none" w:sz="0" w:space="0" w:color="auto"/>
            <w:right w:val="none" w:sz="0" w:space="0" w:color="auto"/>
          </w:divBdr>
        </w:div>
        <w:div w:id="1241599283">
          <w:marLeft w:val="480"/>
          <w:marRight w:val="0"/>
          <w:marTop w:val="0"/>
          <w:marBottom w:val="0"/>
          <w:divBdr>
            <w:top w:val="none" w:sz="0" w:space="0" w:color="auto"/>
            <w:left w:val="none" w:sz="0" w:space="0" w:color="auto"/>
            <w:bottom w:val="none" w:sz="0" w:space="0" w:color="auto"/>
            <w:right w:val="none" w:sz="0" w:space="0" w:color="auto"/>
          </w:divBdr>
        </w:div>
        <w:div w:id="745078984">
          <w:marLeft w:val="480"/>
          <w:marRight w:val="0"/>
          <w:marTop w:val="0"/>
          <w:marBottom w:val="0"/>
          <w:divBdr>
            <w:top w:val="none" w:sz="0" w:space="0" w:color="auto"/>
            <w:left w:val="none" w:sz="0" w:space="0" w:color="auto"/>
            <w:bottom w:val="none" w:sz="0" w:space="0" w:color="auto"/>
            <w:right w:val="none" w:sz="0" w:space="0" w:color="auto"/>
          </w:divBdr>
        </w:div>
        <w:div w:id="113331052">
          <w:marLeft w:val="480"/>
          <w:marRight w:val="0"/>
          <w:marTop w:val="0"/>
          <w:marBottom w:val="0"/>
          <w:divBdr>
            <w:top w:val="none" w:sz="0" w:space="0" w:color="auto"/>
            <w:left w:val="none" w:sz="0" w:space="0" w:color="auto"/>
            <w:bottom w:val="none" w:sz="0" w:space="0" w:color="auto"/>
            <w:right w:val="none" w:sz="0" w:space="0" w:color="auto"/>
          </w:divBdr>
        </w:div>
        <w:div w:id="404765739">
          <w:marLeft w:val="480"/>
          <w:marRight w:val="0"/>
          <w:marTop w:val="0"/>
          <w:marBottom w:val="0"/>
          <w:divBdr>
            <w:top w:val="none" w:sz="0" w:space="0" w:color="auto"/>
            <w:left w:val="none" w:sz="0" w:space="0" w:color="auto"/>
            <w:bottom w:val="none" w:sz="0" w:space="0" w:color="auto"/>
            <w:right w:val="none" w:sz="0" w:space="0" w:color="auto"/>
          </w:divBdr>
        </w:div>
        <w:div w:id="1273435794">
          <w:marLeft w:val="480"/>
          <w:marRight w:val="0"/>
          <w:marTop w:val="0"/>
          <w:marBottom w:val="0"/>
          <w:divBdr>
            <w:top w:val="none" w:sz="0" w:space="0" w:color="auto"/>
            <w:left w:val="none" w:sz="0" w:space="0" w:color="auto"/>
            <w:bottom w:val="none" w:sz="0" w:space="0" w:color="auto"/>
            <w:right w:val="none" w:sz="0" w:space="0" w:color="auto"/>
          </w:divBdr>
        </w:div>
        <w:div w:id="1736009333">
          <w:marLeft w:val="480"/>
          <w:marRight w:val="0"/>
          <w:marTop w:val="0"/>
          <w:marBottom w:val="0"/>
          <w:divBdr>
            <w:top w:val="none" w:sz="0" w:space="0" w:color="auto"/>
            <w:left w:val="none" w:sz="0" w:space="0" w:color="auto"/>
            <w:bottom w:val="none" w:sz="0" w:space="0" w:color="auto"/>
            <w:right w:val="none" w:sz="0" w:space="0" w:color="auto"/>
          </w:divBdr>
        </w:div>
        <w:div w:id="1247617522">
          <w:marLeft w:val="480"/>
          <w:marRight w:val="0"/>
          <w:marTop w:val="0"/>
          <w:marBottom w:val="0"/>
          <w:divBdr>
            <w:top w:val="none" w:sz="0" w:space="0" w:color="auto"/>
            <w:left w:val="none" w:sz="0" w:space="0" w:color="auto"/>
            <w:bottom w:val="none" w:sz="0" w:space="0" w:color="auto"/>
            <w:right w:val="none" w:sz="0" w:space="0" w:color="auto"/>
          </w:divBdr>
        </w:div>
        <w:div w:id="1495994600">
          <w:marLeft w:val="480"/>
          <w:marRight w:val="0"/>
          <w:marTop w:val="0"/>
          <w:marBottom w:val="0"/>
          <w:divBdr>
            <w:top w:val="none" w:sz="0" w:space="0" w:color="auto"/>
            <w:left w:val="none" w:sz="0" w:space="0" w:color="auto"/>
            <w:bottom w:val="none" w:sz="0" w:space="0" w:color="auto"/>
            <w:right w:val="none" w:sz="0" w:space="0" w:color="auto"/>
          </w:divBdr>
        </w:div>
        <w:div w:id="504783184">
          <w:marLeft w:val="480"/>
          <w:marRight w:val="0"/>
          <w:marTop w:val="0"/>
          <w:marBottom w:val="0"/>
          <w:divBdr>
            <w:top w:val="none" w:sz="0" w:space="0" w:color="auto"/>
            <w:left w:val="none" w:sz="0" w:space="0" w:color="auto"/>
            <w:bottom w:val="none" w:sz="0" w:space="0" w:color="auto"/>
            <w:right w:val="none" w:sz="0" w:space="0" w:color="auto"/>
          </w:divBdr>
        </w:div>
        <w:div w:id="1408767572">
          <w:marLeft w:val="480"/>
          <w:marRight w:val="0"/>
          <w:marTop w:val="0"/>
          <w:marBottom w:val="0"/>
          <w:divBdr>
            <w:top w:val="none" w:sz="0" w:space="0" w:color="auto"/>
            <w:left w:val="none" w:sz="0" w:space="0" w:color="auto"/>
            <w:bottom w:val="none" w:sz="0" w:space="0" w:color="auto"/>
            <w:right w:val="none" w:sz="0" w:space="0" w:color="auto"/>
          </w:divBdr>
        </w:div>
        <w:div w:id="271398874">
          <w:marLeft w:val="480"/>
          <w:marRight w:val="0"/>
          <w:marTop w:val="0"/>
          <w:marBottom w:val="0"/>
          <w:divBdr>
            <w:top w:val="none" w:sz="0" w:space="0" w:color="auto"/>
            <w:left w:val="none" w:sz="0" w:space="0" w:color="auto"/>
            <w:bottom w:val="none" w:sz="0" w:space="0" w:color="auto"/>
            <w:right w:val="none" w:sz="0" w:space="0" w:color="auto"/>
          </w:divBdr>
        </w:div>
        <w:div w:id="812068053">
          <w:marLeft w:val="480"/>
          <w:marRight w:val="0"/>
          <w:marTop w:val="0"/>
          <w:marBottom w:val="0"/>
          <w:divBdr>
            <w:top w:val="none" w:sz="0" w:space="0" w:color="auto"/>
            <w:left w:val="none" w:sz="0" w:space="0" w:color="auto"/>
            <w:bottom w:val="none" w:sz="0" w:space="0" w:color="auto"/>
            <w:right w:val="none" w:sz="0" w:space="0" w:color="auto"/>
          </w:divBdr>
        </w:div>
        <w:div w:id="97910976">
          <w:marLeft w:val="480"/>
          <w:marRight w:val="0"/>
          <w:marTop w:val="0"/>
          <w:marBottom w:val="0"/>
          <w:divBdr>
            <w:top w:val="none" w:sz="0" w:space="0" w:color="auto"/>
            <w:left w:val="none" w:sz="0" w:space="0" w:color="auto"/>
            <w:bottom w:val="none" w:sz="0" w:space="0" w:color="auto"/>
            <w:right w:val="none" w:sz="0" w:space="0" w:color="auto"/>
          </w:divBdr>
        </w:div>
        <w:div w:id="1245602161">
          <w:marLeft w:val="480"/>
          <w:marRight w:val="0"/>
          <w:marTop w:val="0"/>
          <w:marBottom w:val="0"/>
          <w:divBdr>
            <w:top w:val="none" w:sz="0" w:space="0" w:color="auto"/>
            <w:left w:val="none" w:sz="0" w:space="0" w:color="auto"/>
            <w:bottom w:val="none" w:sz="0" w:space="0" w:color="auto"/>
            <w:right w:val="none" w:sz="0" w:space="0" w:color="auto"/>
          </w:divBdr>
        </w:div>
        <w:div w:id="1078359839">
          <w:marLeft w:val="480"/>
          <w:marRight w:val="0"/>
          <w:marTop w:val="0"/>
          <w:marBottom w:val="0"/>
          <w:divBdr>
            <w:top w:val="none" w:sz="0" w:space="0" w:color="auto"/>
            <w:left w:val="none" w:sz="0" w:space="0" w:color="auto"/>
            <w:bottom w:val="none" w:sz="0" w:space="0" w:color="auto"/>
            <w:right w:val="none" w:sz="0" w:space="0" w:color="auto"/>
          </w:divBdr>
        </w:div>
        <w:div w:id="339083678">
          <w:marLeft w:val="480"/>
          <w:marRight w:val="0"/>
          <w:marTop w:val="0"/>
          <w:marBottom w:val="0"/>
          <w:divBdr>
            <w:top w:val="none" w:sz="0" w:space="0" w:color="auto"/>
            <w:left w:val="none" w:sz="0" w:space="0" w:color="auto"/>
            <w:bottom w:val="none" w:sz="0" w:space="0" w:color="auto"/>
            <w:right w:val="none" w:sz="0" w:space="0" w:color="auto"/>
          </w:divBdr>
        </w:div>
        <w:div w:id="468480277">
          <w:marLeft w:val="480"/>
          <w:marRight w:val="0"/>
          <w:marTop w:val="0"/>
          <w:marBottom w:val="0"/>
          <w:divBdr>
            <w:top w:val="none" w:sz="0" w:space="0" w:color="auto"/>
            <w:left w:val="none" w:sz="0" w:space="0" w:color="auto"/>
            <w:bottom w:val="none" w:sz="0" w:space="0" w:color="auto"/>
            <w:right w:val="none" w:sz="0" w:space="0" w:color="auto"/>
          </w:divBdr>
        </w:div>
        <w:div w:id="1356270380">
          <w:marLeft w:val="480"/>
          <w:marRight w:val="0"/>
          <w:marTop w:val="0"/>
          <w:marBottom w:val="0"/>
          <w:divBdr>
            <w:top w:val="none" w:sz="0" w:space="0" w:color="auto"/>
            <w:left w:val="none" w:sz="0" w:space="0" w:color="auto"/>
            <w:bottom w:val="none" w:sz="0" w:space="0" w:color="auto"/>
            <w:right w:val="none" w:sz="0" w:space="0" w:color="auto"/>
          </w:divBdr>
        </w:div>
        <w:div w:id="305285025">
          <w:marLeft w:val="480"/>
          <w:marRight w:val="0"/>
          <w:marTop w:val="0"/>
          <w:marBottom w:val="0"/>
          <w:divBdr>
            <w:top w:val="none" w:sz="0" w:space="0" w:color="auto"/>
            <w:left w:val="none" w:sz="0" w:space="0" w:color="auto"/>
            <w:bottom w:val="none" w:sz="0" w:space="0" w:color="auto"/>
            <w:right w:val="none" w:sz="0" w:space="0" w:color="auto"/>
          </w:divBdr>
        </w:div>
        <w:div w:id="230309775">
          <w:marLeft w:val="480"/>
          <w:marRight w:val="0"/>
          <w:marTop w:val="0"/>
          <w:marBottom w:val="0"/>
          <w:divBdr>
            <w:top w:val="none" w:sz="0" w:space="0" w:color="auto"/>
            <w:left w:val="none" w:sz="0" w:space="0" w:color="auto"/>
            <w:bottom w:val="none" w:sz="0" w:space="0" w:color="auto"/>
            <w:right w:val="none" w:sz="0" w:space="0" w:color="auto"/>
          </w:divBdr>
        </w:div>
        <w:div w:id="1566988384">
          <w:marLeft w:val="480"/>
          <w:marRight w:val="0"/>
          <w:marTop w:val="0"/>
          <w:marBottom w:val="0"/>
          <w:divBdr>
            <w:top w:val="none" w:sz="0" w:space="0" w:color="auto"/>
            <w:left w:val="none" w:sz="0" w:space="0" w:color="auto"/>
            <w:bottom w:val="none" w:sz="0" w:space="0" w:color="auto"/>
            <w:right w:val="none" w:sz="0" w:space="0" w:color="auto"/>
          </w:divBdr>
        </w:div>
        <w:div w:id="192354129">
          <w:marLeft w:val="480"/>
          <w:marRight w:val="0"/>
          <w:marTop w:val="0"/>
          <w:marBottom w:val="0"/>
          <w:divBdr>
            <w:top w:val="none" w:sz="0" w:space="0" w:color="auto"/>
            <w:left w:val="none" w:sz="0" w:space="0" w:color="auto"/>
            <w:bottom w:val="none" w:sz="0" w:space="0" w:color="auto"/>
            <w:right w:val="none" w:sz="0" w:space="0" w:color="auto"/>
          </w:divBdr>
        </w:div>
        <w:div w:id="136846114">
          <w:marLeft w:val="480"/>
          <w:marRight w:val="0"/>
          <w:marTop w:val="0"/>
          <w:marBottom w:val="0"/>
          <w:divBdr>
            <w:top w:val="none" w:sz="0" w:space="0" w:color="auto"/>
            <w:left w:val="none" w:sz="0" w:space="0" w:color="auto"/>
            <w:bottom w:val="none" w:sz="0" w:space="0" w:color="auto"/>
            <w:right w:val="none" w:sz="0" w:space="0" w:color="auto"/>
          </w:divBdr>
        </w:div>
        <w:div w:id="137842450">
          <w:marLeft w:val="480"/>
          <w:marRight w:val="0"/>
          <w:marTop w:val="0"/>
          <w:marBottom w:val="0"/>
          <w:divBdr>
            <w:top w:val="none" w:sz="0" w:space="0" w:color="auto"/>
            <w:left w:val="none" w:sz="0" w:space="0" w:color="auto"/>
            <w:bottom w:val="none" w:sz="0" w:space="0" w:color="auto"/>
            <w:right w:val="none" w:sz="0" w:space="0" w:color="auto"/>
          </w:divBdr>
        </w:div>
        <w:div w:id="58290433">
          <w:marLeft w:val="480"/>
          <w:marRight w:val="0"/>
          <w:marTop w:val="0"/>
          <w:marBottom w:val="0"/>
          <w:divBdr>
            <w:top w:val="none" w:sz="0" w:space="0" w:color="auto"/>
            <w:left w:val="none" w:sz="0" w:space="0" w:color="auto"/>
            <w:bottom w:val="none" w:sz="0" w:space="0" w:color="auto"/>
            <w:right w:val="none" w:sz="0" w:space="0" w:color="auto"/>
          </w:divBdr>
        </w:div>
        <w:div w:id="1732969408">
          <w:marLeft w:val="480"/>
          <w:marRight w:val="0"/>
          <w:marTop w:val="0"/>
          <w:marBottom w:val="0"/>
          <w:divBdr>
            <w:top w:val="none" w:sz="0" w:space="0" w:color="auto"/>
            <w:left w:val="none" w:sz="0" w:space="0" w:color="auto"/>
            <w:bottom w:val="none" w:sz="0" w:space="0" w:color="auto"/>
            <w:right w:val="none" w:sz="0" w:space="0" w:color="auto"/>
          </w:divBdr>
        </w:div>
        <w:div w:id="1832210959">
          <w:marLeft w:val="480"/>
          <w:marRight w:val="0"/>
          <w:marTop w:val="0"/>
          <w:marBottom w:val="0"/>
          <w:divBdr>
            <w:top w:val="none" w:sz="0" w:space="0" w:color="auto"/>
            <w:left w:val="none" w:sz="0" w:space="0" w:color="auto"/>
            <w:bottom w:val="none" w:sz="0" w:space="0" w:color="auto"/>
            <w:right w:val="none" w:sz="0" w:space="0" w:color="auto"/>
          </w:divBdr>
        </w:div>
        <w:div w:id="691952318">
          <w:marLeft w:val="480"/>
          <w:marRight w:val="0"/>
          <w:marTop w:val="0"/>
          <w:marBottom w:val="0"/>
          <w:divBdr>
            <w:top w:val="none" w:sz="0" w:space="0" w:color="auto"/>
            <w:left w:val="none" w:sz="0" w:space="0" w:color="auto"/>
            <w:bottom w:val="none" w:sz="0" w:space="0" w:color="auto"/>
            <w:right w:val="none" w:sz="0" w:space="0" w:color="auto"/>
          </w:divBdr>
        </w:div>
        <w:div w:id="1032224318">
          <w:marLeft w:val="480"/>
          <w:marRight w:val="0"/>
          <w:marTop w:val="0"/>
          <w:marBottom w:val="0"/>
          <w:divBdr>
            <w:top w:val="none" w:sz="0" w:space="0" w:color="auto"/>
            <w:left w:val="none" w:sz="0" w:space="0" w:color="auto"/>
            <w:bottom w:val="none" w:sz="0" w:space="0" w:color="auto"/>
            <w:right w:val="none" w:sz="0" w:space="0" w:color="auto"/>
          </w:divBdr>
        </w:div>
        <w:div w:id="813958195">
          <w:marLeft w:val="480"/>
          <w:marRight w:val="0"/>
          <w:marTop w:val="0"/>
          <w:marBottom w:val="0"/>
          <w:divBdr>
            <w:top w:val="none" w:sz="0" w:space="0" w:color="auto"/>
            <w:left w:val="none" w:sz="0" w:space="0" w:color="auto"/>
            <w:bottom w:val="none" w:sz="0" w:space="0" w:color="auto"/>
            <w:right w:val="none" w:sz="0" w:space="0" w:color="auto"/>
          </w:divBdr>
        </w:div>
        <w:div w:id="714549099">
          <w:marLeft w:val="480"/>
          <w:marRight w:val="0"/>
          <w:marTop w:val="0"/>
          <w:marBottom w:val="0"/>
          <w:divBdr>
            <w:top w:val="none" w:sz="0" w:space="0" w:color="auto"/>
            <w:left w:val="none" w:sz="0" w:space="0" w:color="auto"/>
            <w:bottom w:val="none" w:sz="0" w:space="0" w:color="auto"/>
            <w:right w:val="none" w:sz="0" w:space="0" w:color="auto"/>
          </w:divBdr>
        </w:div>
        <w:div w:id="1411196583">
          <w:marLeft w:val="480"/>
          <w:marRight w:val="0"/>
          <w:marTop w:val="0"/>
          <w:marBottom w:val="0"/>
          <w:divBdr>
            <w:top w:val="none" w:sz="0" w:space="0" w:color="auto"/>
            <w:left w:val="none" w:sz="0" w:space="0" w:color="auto"/>
            <w:bottom w:val="none" w:sz="0" w:space="0" w:color="auto"/>
            <w:right w:val="none" w:sz="0" w:space="0" w:color="auto"/>
          </w:divBdr>
        </w:div>
        <w:div w:id="2049643372">
          <w:marLeft w:val="480"/>
          <w:marRight w:val="0"/>
          <w:marTop w:val="0"/>
          <w:marBottom w:val="0"/>
          <w:divBdr>
            <w:top w:val="none" w:sz="0" w:space="0" w:color="auto"/>
            <w:left w:val="none" w:sz="0" w:space="0" w:color="auto"/>
            <w:bottom w:val="none" w:sz="0" w:space="0" w:color="auto"/>
            <w:right w:val="none" w:sz="0" w:space="0" w:color="auto"/>
          </w:divBdr>
        </w:div>
        <w:div w:id="554705999">
          <w:marLeft w:val="480"/>
          <w:marRight w:val="0"/>
          <w:marTop w:val="0"/>
          <w:marBottom w:val="0"/>
          <w:divBdr>
            <w:top w:val="none" w:sz="0" w:space="0" w:color="auto"/>
            <w:left w:val="none" w:sz="0" w:space="0" w:color="auto"/>
            <w:bottom w:val="none" w:sz="0" w:space="0" w:color="auto"/>
            <w:right w:val="none" w:sz="0" w:space="0" w:color="auto"/>
          </w:divBdr>
        </w:div>
        <w:div w:id="59014541">
          <w:marLeft w:val="480"/>
          <w:marRight w:val="0"/>
          <w:marTop w:val="0"/>
          <w:marBottom w:val="0"/>
          <w:divBdr>
            <w:top w:val="none" w:sz="0" w:space="0" w:color="auto"/>
            <w:left w:val="none" w:sz="0" w:space="0" w:color="auto"/>
            <w:bottom w:val="none" w:sz="0" w:space="0" w:color="auto"/>
            <w:right w:val="none" w:sz="0" w:space="0" w:color="auto"/>
          </w:divBdr>
        </w:div>
        <w:div w:id="929432643">
          <w:marLeft w:val="480"/>
          <w:marRight w:val="0"/>
          <w:marTop w:val="0"/>
          <w:marBottom w:val="0"/>
          <w:divBdr>
            <w:top w:val="none" w:sz="0" w:space="0" w:color="auto"/>
            <w:left w:val="none" w:sz="0" w:space="0" w:color="auto"/>
            <w:bottom w:val="none" w:sz="0" w:space="0" w:color="auto"/>
            <w:right w:val="none" w:sz="0" w:space="0" w:color="auto"/>
          </w:divBdr>
        </w:div>
        <w:div w:id="312217430">
          <w:marLeft w:val="480"/>
          <w:marRight w:val="0"/>
          <w:marTop w:val="0"/>
          <w:marBottom w:val="0"/>
          <w:divBdr>
            <w:top w:val="none" w:sz="0" w:space="0" w:color="auto"/>
            <w:left w:val="none" w:sz="0" w:space="0" w:color="auto"/>
            <w:bottom w:val="none" w:sz="0" w:space="0" w:color="auto"/>
            <w:right w:val="none" w:sz="0" w:space="0" w:color="auto"/>
          </w:divBdr>
        </w:div>
        <w:div w:id="1342930553">
          <w:marLeft w:val="480"/>
          <w:marRight w:val="0"/>
          <w:marTop w:val="0"/>
          <w:marBottom w:val="0"/>
          <w:divBdr>
            <w:top w:val="none" w:sz="0" w:space="0" w:color="auto"/>
            <w:left w:val="none" w:sz="0" w:space="0" w:color="auto"/>
            <w:bottom w:val="none" w:sz="0" w:space="0" w:color="auto"/>
            <w:right w:val="none" w:sz="0" w:space="0" w:color="auto"/>
          </w:divBdr>
        </w:div>
        <w:div w:id="447043648">
          <w:marLeft w:val="480"/>
          <w:marRight w:val="0"/>
          <w:marTop w:val="0"/>
          <w:marBottom w:val="0"/>
          <w:divBdr>
            <w:top w:val="none" w:sz="0" w:space="0" w:color="auto"/>
            <w:left w:val="none" w:sz="0" w:space="0" w:color="auto"/>
            <w:bottom w:val="none" w:sz="0" w:space="0" w:color="auto"/>
            <w:right w:val="none" w:sz="0" w:space="0" w:color="auto"/>
          </w:divBdr>
        </w:div>
        <w:div w:id="686718101">
          <w:marLeft w:val="480"/>
          <w:marRight w:val="0"/>
          <w:marTop w:val="0"/>
          <w:marBottom w:val="0"/>
          <w:divBdr>
            <w:top w:val="none" w:sz="0" w:space="0" w:color="auto"/>
            <w:left w:val="none" w:sz="0" w:space="0" w:color="auto"/>
            <w:bottom w:val="none" w:sz="0" w:space="0" w:color="auto"/>
            <w:right w:val="none" w:sz="0" w:space="0" w:color="auto"/>
          </w:divBdr>
        </w:div>
        <w:div w:id="526911132">
          <w:marLeft w:val="480"/>
          <w:marRight w:val="0"/>
          <w:marTop w:val="0"/>
          <w:marBottom w:val="0"/>
          <w:divBdr>
            <w:top w:val="none" w:sz="0" w:space="0" w:color="auto"/>
            <w:left w:val="none" w:sz="0" w:space="0" w:color="auto"/>
            <w:bottom w:val="none" w:sz="0" w:space="0" w:color="auto"/>
            <w:right w:val="none" w:sz="0" w:space="0" w:color="auto"/>
          </w:divBdr>
        </w:div>
        <w:div w:id="225381007">
          <w:marLeft w:val="480"/>
          <w:marRight w:val="0"/>
          <w:marTop w:val="0"/>
          <w:marBottom w:val="0"/>
          <w:divBdr>
            <w:top w:val="none" w:sz="0" w:space="0" w:color="auto"/>
            <w:left w:val="none" w:sz="0" w:space="0" w:color="auto"/>
            <w:bottom w:val="none" w:sz="0" w:space="0" w:color="auto"/>
            <w:right w:val="none" w:sz="0" w:space="0" w:color="auto"/>
          </w:divBdr>
        </w:div>
        <w:div w:id="391851366">
          <w:marLeft w:val="480"/>
          <w:marRight w:val="0"/>
          <w:marTop w:val="0"/>
          <w:marBottom w:val="0"/>
          <w:divBdr>
            <w:top w:val="none" w:sz="0" w:space="0" w:color="auto"/>
            <w:left w:val="none" w:sz="0" w:space="0" w:color="auto"/>
            <w:bottom w:val="none" w:sz="0" w:space="0" w:color="auto"/>
            <w:right w:val="none" w:sz="0" w:space="0" w:color="auto"/>
          </w:divBdr>
        </w:div>
        <w:div w:id="771315377">
          <w:marLeft w:val="480"/>
          <w:marRight w:val="0"/>
          <w:marTop w:val="0"/>
          <w:marBottom w:val="0"/>
          <w:divBdr>
            <w:top w:val="none" w:sz="0" w:space="0" w:color="auto"/>
            <w:left w:val="none" w:sz="0" w:space="0" w:color="auto"/>
            <w:bottom w:val="none" w:sz="0" w:space="0" w:color="auto"/>
            <w:right w:val="none" w:sz="0" w:space="0" w:color="auto"/>
          </w:divBdr>
        </w:div>
        <w:div w:id="1551840486">
          <w:marLeft w:val="480"/>
          <w:marRight w:val="0"/>
          <w:marTop w:val="0"/>
          <w:marBottom w:val="0"/>
          <w:divBdr>
            <w:top w:val="none" w:sz="0" w:space="0" w:color="auto"/>
            <w:left w:val="none" w:sz="0" w:space="0" w:color="auto"/>
            <w:bottom w:val="none" w:sz="0" w:space="0" w:color="auto"/>
            <w:right w:val="none" w:sz="0" w:space="0" w:color="auto"/>
          </w:divBdr>
        </w:div>
        <w:div w:id="1985813810">
          <w:marLeft w:val="480"/>
          <w:marRight w:val="0"/>
          <w:marTop w:val="0"/>
          <w:marBottom w:val="0"/>
          <w:divBdr>
            <w:top w:val="none" w:sz="0" w:space="0" w:color="auto"/>
            <w:left w:val="none" w:sz="0" w:space="0" w:color="auto"/>
            <w:bottom w:val="none" w:sz="0" w:space="0" w:color="auto"/>
            <w:right w:val="none" w:sz="0" w:space="0" w:color="auto"/>
          </w:divBdr>
        </w:div>
        <w:div w:id="183982695">
          <w:marLeft w:val="480"/>
          <w:marRight w:val="0"/>
          <w:marTop w:val="0"/>
          <w:marBottom w:val="0"/>
          <w:divBdr>
            <w:top w:val="none" w:sz="0" w:space="0" w:color="auto"/>
            <w:left w:val="none" w:sz="0" w:space="0" w:color="auto"/>
            <w:bottom w:val="none" w:sz="0" w:space="0" w:color="auto"/>
            <w:right w:val="none" w:sz="0" w:space="0" w:color="auto"/>
          </w:divBdr>
        </w:div>
        <w:div w:id="1229606463">
          <w:marLeft w:val="480"/>
          <w:marRight w:val="0"/>
          <w:marTop w:val="0"/>
          <w:marBottom w:val="0"/>
          <w:divBdr>
            <w:top w:val="none" w:sz="0" w:space="0" w:color="auto"/>
            <w:left w:val="none" w:sz="0" w:space="0" w:color="auto"/>
            <w:bottom w:val="none" w:sz="0" w:space="0" w:color="auto"/>
            <w:right w:val="none" w:sz="0" w:space="0" w:color="auto"/>
          </w:divBdr>
        </w:div>
        <w:div w:id="1866598316">
          <w:marLeft w:val="480"/>
          <w:marRight w:val="0"/>
          <w:marTop w:val="0"/>
          <w:marBottom w:val="0"/>
          <w:divBdr>
            <w:top w:val="none" w:sz="0" w:space="0" w:color="auto"/>
            <w:left w:val="none" w:sz="0" w:space="0" w:color="auto"/>
            <w:bottom w:val="none" w:sz="0" w:space="0" w:color="auto"/>
            <w:right w:val="none" w:sz="0" w:space="0" w:color="auto"/>
          </w:divBdr>
        </w:div>
        <w:div w:id="1695577148">
          <w:marLeft w:val="480"/>
          <w:marRight w:val="0"/>
          <w:marTop w:val="0"/>
          <w:marBottom w:val="0"/>
          <w:divBdr>
            <w:top w:val="none" w:sz="0" w:space="0" w:color="auto"/>
            <w:left w:val="none" w:sz="0" w:space="0" w:color="auto"/>
            <w:bottom w:val="none" w:sz="0" w:space="0" w:color="auto"/>
            <w:right w:val="none" w:sz="0" w:space="0" w:color="auto"/>
          </w:divBdr>
        </w:div>
        <w:div w:id="1314140267">
          <w:marLeft w:val="480"/>
          <w:marRight w:val="0"/>
          <w:marTop w:val="0"/>
          <w:marBottom w:val="0"/>
          <w:divBdr>
            <w:top w:val="none" w:sz="0" w:space="0" w:color="auto"/>
            <w:left w:val="none" w:sz="0" w:space="0" w:color="auto"/>
            <w:bottom w:val="none" w:sz="0" w:space="0" w:color="auto"/>
            <w:right w:val="none" w:sz="0" w:space="0" w:color="auto"/>
          </w:divBdr>
        </w:div>
        <w:div w:id="138696540">
          <w:marLeft w:val="480"/>
          <w:marRight w:val="0"/>
          <w:marTop w:val="0"/>
          <w:marBottom w:val="0"/>
          <w:divBdr>
            <w:top w:val="none" w:sz="0" w:space="0" w:color="auto"/>
            <w:left w:val="none" w:sz="0" w:space="0" w:color="auto"/>
            <w:bottom w:val="none" w:sz="0" w:space="0" w:color="auto"/>
            <w:right w:val="none" w:sz="0" w:space="0" w:color="auto"/>
          </w:divBdr>
        </w:div>
        <w:div w:id="155849396">
          <w:marLeft w:val="480"/>
          <w:marRight w:val="0"/>
          <w:marTop w:val="0"/>
          <w:marBottom w:val="0"/>
          <w:divBdr>
            <w:top w:val="none" w:sz="0" w:space="0" w:color="auto"/>
            <w:left w:val="none" w:sz="0" w:space="0" w:color="auto"/>
            <w:bottom w:val="none" w:sz="0" w:space="0" w:color="auto"/>
            <w:right w:val="none" w:sz="0" w:space="0" w:color="auto"/>
          </w:divBdr>
        </w:div>
        <w:div w:id="229006180">
          <w:marLeft w:val="480"/>
          <w:marRight w:val="0"/>
          <w:marTop w:val="0"/>
          <w:marBottom w:val="0"/>
          <w:divBdr>
            <w:top w:val="none" w:sz="0" w:space="0" w:color="auto"/>
            <w:left w:val="none" w:sz="0" w:space="0" w:color="auto"/>
            <w:bottom w:val="none" w:sz="0" w:space="0" w:color="auto"/>
            <w:right w:val="none" w:sz="0" w:space="0" w:color="auto"/>
          </w:divBdr>
        </w:div>
        <w:div w:id="827595597">
          <w:marLeft w:val="480"/>
          <w:marRight w:val="0"/>
          <w:marTop w:val="0"/>
          <w:marBottom w:val="0"/>
          <w:divBdr>
            <w:top w:val="none" w:sz="0" w:space="0" w:color="auto"/>
            <w:left w:val="none" w:sz="0" w:space="0" w:color="auto"/>
            <w:bottom w:val="none" w:sz="0" w:space="0" w:color="auto"/>
            <w:right w:val="none" w:sz="0" w:space="0" w:color="auto"/>
          </w:divBdr>
        </w:div>
        <w:div w:id="1612010501">
          <w:marLeft w:val="480"/>
          <w:marRight w:val="0"/>
          <w:marTop w:val="0"/>
          <w:marBottom w:val="0"/>
          <w:divBdr>
            <w:top w:val="none" w:sz="0" w:space="0" w:color="auto"/>
            <w:left w:val="none" w:sz="0" w:space="0" w:color="auto"/>
            <w:bottom w:val="none" w:sz="0" w:space="0" w:color="auto"/>
            <w:right w:val="none" w:sz="0" w:space="0" w:color="auto"/>
          </w:divBdr>
        </w:div>
        <w:div w:id="1838763883">
          <w:marLeft w:val="480"/>
          <w:marRight w:val="0"/>
          <w:marTop w:val="0"/>
          <w:marBottom w:val="0"/>
          <w:divBdr>
            <w:top w:val="none" w:sz="0" w:space="0" w:color="auto"/>
            <w:left w:val="none" w:sz="0" w:space="0" w:color="auto"/>
            <w:bottom w:val="none" w:sz="0" w:space="0" w:color="auto"/>
            <w:right w:val="none" w:sz="0" w:space="0" w:color="auto"/>
          </w:divBdr>
        </w:div>
        <w:div w:id="1747606578">
          <w:marLeft w:val="480"/>
          <w:marRight w:val="0"/>
          <w:marTop w:val="0"/>
          <w:marBottom w:val="0"/>
          <w:divBdr>
            <w:top w:val="none" w:sz="0" w:space="0" w:color="auto"/>
            <w:left w:val="none" w:sz="0" w:space="0" w:color="auto"/>
            <w:bottom w:val="none" w:sz="0" w:space="0" w:color="auto"/>
            <w:right w:val="none" w:sz="0" w:space="0" w:color="auto"/>
          </w:divBdr>
        </w:div>
        <w:div w:id="251594148">
          <w:marLeft w:val="480"/>
          <w:marRight w:val="0"/>
          <w:marTop w:val="0"/>
          <w:marBottom w:val="0"/>
          <w:divBdr>
            <w:top w:val="none" w:sz="0" w:space="0" w:color="auto"/>
            <w:left w:val="none" w:sz="0" w:space="0" w:color="auto"/>
            <w:bottom w:val="none" w:sz="0" w:space="0" w:color="auto"/>
            <w:right w:val="none" w:sz="0" w:space="0" w:color="auto"/>
          </w:divBdr>
        </w:div>
        <w:div w:id="1737704114">
          <w:marLeft w:val="480"/>
          <w:marRight w:val="0"/>
          <w:marTop w:val="0"/>
          <w:marBottom w:val="0"/>
          <w:divBdr>
            <w:top w:val="none" w:sz="0" w:space="0" w:color="auto"/>
            <w:left w:val="none" w:sz="0" w:space="0" w:color="auto"/>
            <w:bottom w:val="none" w:sz="0" w:space="0" w:color="auto"/>
            <w:right w:val="none" w:sz="0" w:space="0" w:color="auto"/>
          </w:divBdr>
        </w:div>
        <w:div w:id="875048639">
          <w:marLeft w:val="480"/>
          <w:marRight w:val="0"/>
          <w:marTop w:val="0"/>
          <w:marBottom w:val="0"/>
          <w:divBdr>
            <w:top w:val="none" w:sz="0" w:space="0" w:color="auto"/>
            <w:left w:val="none" w:sz="0" w:space="0" w:color="auto"/>
            <w:bottom w:val="none" w:sz="0" w:space="0" w:color="auto"/>
            <w:right w:val="none" w:sz="0" w:space="0" w:color="auto"/>
          </w:divBdr>
        </w:div>
        <w:div w:id="1777366695">
          <w:marLeft w:val="480"/>
          <w:marRight w:val="0"/>
          <w:marTop w:val="0"/>
          <w:marBottom w:val="0"/>
          <w:divBdr>
            <w:top w:val="none" w:sz="0" w:space="0" w:color="auto"/>
            <w:left w:val="none" w:sz="0" w:space="0" w:color="auto"/>
            <w:bottom w:val="none" w:sz="0" w:space="0" w:color="auto"/>
            <w:right w:val="none" w:sz="0" w:space="0" w:color="auto"/>
          </w:divBdr>
        </w:div>
        <w:div w:id="37749252">
          <w:marLeft w:val="480"/>
          <w:marRight w:val="0"/>
          <w:marTop w:val="0"/>
          <w:marBottom w:val="0"/>
          <w:divBdr>
            <w:top w:val="none" w:sz="0" w:space="0" w:color="auto"/>
            <w:left w:val="none" w:sz="0" w:space="0" w:color="auto"/>
            <w:bottom w:val="none" w:sz="0" w:space="0" w:color="auto"/>
            <w:right w:val="none" w:sz="0" w:space="0" w:color="auto"/>
          </w:divBdr>
        </w:div>
        <w:div w:id="1333483420">
          <w:marLeft w:val="480"/>
          <w:marRight w:val="0"/>
          <w:marTop w:val="0"/>
          <w:marBottom w:val="0"/>
          <w:divBdr>
            <w:top w:val="none" w:sz="0" w:space="0" w:color="auto"/>
            <w:left w:val="none" w:sz="0" w:space="0" w:color="auto"/>
            <w:bottom w:val="none" w:sz="0" w:space="0" w:color="auto"/>
            <w:right w:val="none" w:sz="0" w:space="0" w:color="auto"/>
          </w:divBdr>
        </w:div>
        <w:div w:id="685863800">
          <w:marLeft w:val="480"/>
          <w:marRight w:val="0"/>
          <w:marTop w:val="0"/>
          <w:marBottom w:val="0"/>
          <w:divBdr>
            <w:top w:val="none" w:sz="0" w:space="0" w:color="auto"/>
            <w:left w:val="none" w:sz="0" w:space="0" w:color="auto"/>
            <w:bottom w:val="none" w:sz="0" w:space="0" w:color="auto"/>
            <w:right w:val="none" w:sz="0" w:space="0" w:color="auto"/>
          </w:divBdr>
        </w:div>
        <w:div w:id="2102723341">
          <w:marLeft w:val="480"/>
          <w:marRight w:val="0"/>
          <w:marTop w:val="0"/>
          <w:marBottom w:val="0"/>
          <w:divBdr>
            <w:top w:val="none" w:sz="0" w:space="0" w:color="auto"/>
            <w:left w:val="none" w:sz="0" w:space="0" w:color="auto"/>
            <w:bottom w:val="none" w:sz="0" w:space="0" w:color="auto"/>
            <w:right w:val="none" w:sz="0" w:space="0" w:color="auto"/>
          </w:divBdr>
        </w:div>
        <w:div w:id="529611826">
          <w:marLeft w:val="480"/>
          <w:marRight w:val="0"/>
          <w:marTop w:val="0"/>
          <w:marBottom w:val="0"/>
          <w:divBdr>
            <w:top w:val="none" w:sz="0" w:space="0" w:color="auto"/>
            <w:left w:val="none" w:sz="0" w:space="0" w:color="auto"/>
            <w:bottom w:val="none" w:sz="0" w:space="0" w:color="auto"/>
            <w:right w:val="none" w:sz="0" w:space="0" w:color="auto"/>
          </w:divBdr>
        </w:div>
        <w:div w:id="1871066524">
          <w:marLeft w:val="480"/>
          <w:marRight w:val="0"/>
          <w:marTop w:val="0"/>
          <w:marBottom w:val="0"/>
          <w:divBdr>
            <w:top w:val="none" w:sz="0" w:space="0" w:color="auto"/>
            <w:left w:val="none" w:sz="0" w:space="0" w:color="auto"/>
            <w:bottom w:val="none" w:sz="0" w:space="0" w:color="auto"/>
            <w:right w:val="none" w:sz="0" w:space="0" w:color="auto"/>
          </w:divBdr>
        </w:div>
        <w:div w:id="1209952447">
          <w:marLeft w:val="480"/>
          <w:marRight w:val="0"/>
          <w:marTop w:val="0"/>
          <w:marBottom w:val="0"/>
          <w:divBdr>
            <w:top w:val="none" w:sz="0" w:space="0" w:color="auto"/>
            <w:left w:val="none" w:sz="0" w:space="0" w:color="auto"/>
            <w:bottom w:val="none" w:sz="0" w:space="0" w:color="auto"/>
            <w:right w:val="none" w:sz="0" w:space="0" w:color="auto"/>
          </w:divBdr>
        </w:div>
        <w:div w:id="452098363">
          <w:marLeft w:val="480"/>
          <w:marRight w:val="0"/>
          <w:marTop w:val="0"/>
          <w:marBottom w:val="0"/>
          <w:divBdr>
            <w:top w:val="none" w:sz="0" w:space="0" w:color="auto"/>
            <w:left w:val="none" w:sz="0" w:space="0" w:color="auto"/>
            <w:bottom w:val="none" w:sz="0" w:space="0" w:color="auto"/>
            <w:right w:val="none" w:sz="0" w:space="0" w:color="auto"/>
          </w:divBdr>
        </w:div>
      </w:divsChild>
    </w:div>
    <w:div w:id="1837989692">
      <w:bodyDiv w:val="1"/>
      <w:marLeft w:val="0"/>
      <w:marRight w:val="0"/>
      <w:marTop w:val="0"/>
      <w:marBottom w:val="0"/>
      <w:divBdr>
        <w:top w:val="none" w:sz="0" w:space="0" w:color="auto"/>
        <w:left w:val="none" w:sz="0" w:space="0" w:color="auto"/>
        <w:bottom w:val="none" w:sz="0" w:space="0" w:color="auto"/>
        <w:right w:val="none" w:sz="0" w:space="0" w:color="auto"/>
      </w:divBdr>
    </w:div>
    <w:div w:id="1839298672">
      <w:bodyDiv w:val="1"/>
      <w:marLeft w:val="0"/>
      <w:marRight w:val="0"/>
      <w:marTop w:val="0"/>
      <w:marBottom w:val="0"/>
      <w:divBdr>
        <w:top w:val="none" w:sz="0" w:space="0" w:color="auto"/>
        <w:left w:val="none" w:sz="0" w:space="0" w:color="auto"/>
        <w:bottom w:val="none" w:sz="0" w:space="0" w:color="auto"/>
        <w:right w:val="none" w:sz="0" w:space="0" w:color="auto"/>
      </w:divBdr>
    </w:div>
    <w:div w:id="1841042117">
      <w:bodyDiv w:val="1"/>
      <w:marLeft w:val="0"/>
      <w:marRight w:val="0"/>
      <w:marTop w:val="0"/>
      <w:marBottom w:val="0"/>
      <w:divBdr>
        <w:top w:val="none" w:sz="0" w:space="0" w:color="auto"/>
        <w:left w:val="none" w:sz="0" w:space="0" w:color="auto"/>
        <w:bottom w:val="none" w:sz="0" w:space="0" w:color="auto"/>
        <w:right w:val="none" w:sz="0" w:space="0" w:color="auto"/>
      </w:divBdr>
    </w:div>
    <w:div w:id="1844516905">
      <w:bodyDiv w:val="1"/>
      <w:marLeft w:val="0"/>
      <w:marRight w:val="0"/>
      <w:marTop w:val="0"/>
      <w:marBottom w:val="0"/>
      <w:divBdr>
        <w:top w:val="none" w:sz="0" w:space="0" w:color="auto"/>
        <w:left w:val="none" w:sz="0" w:space="0" w:color="auto"/>
        <w:bottom w:val="none" w:sz="0" w:space="0" w:color="auto"/>
        <w:right w:val="none" w:sz="0" w:space="0" w:color="auto"/>
      </w:divBdr>
    </w:div>
    <w:div w:id="1844584518">
      <w:bodyDiv w:val="1"/>
      <w:marLeft w:val="0"/>
      <w:marRight w:val="0"/>
      <w:marTop w:val="0"/>
      <w:marBottom w:val="0"/>
      <w:divBdr>
        <w:top w:val="none" w:sz="0" w:space="0" w:color="auto"/>
        <w:left w:val="none" w:sz="0" w:space="0" w:color="auto"/>
        <w:bottom w:val="none" w:sz="0" w:space="0" w:color="auto"/>
        <w:right w:val="none" w:sz="0" w:space="0" w:color="auto"/>
      </w:divBdr>
    </w:div>
    <w:div w:id="1846702121">
      <w:bodyDiv w:val="1"/>
      <w:marLeft w:val="0"/>
      <w:marRight w:val="0"/>
      <w:marTop w:val="0"/>
      <w:marBottom w:val="0"/>
      <w:divBdr>
        <w:top w:val="none" w:sz="0" w:space="0" w:color="auto"/>
        <w:left w:val="none" w:sz="0" w:space="0" w:color="auto"/>
        <w:bottom w:val="none" w:sz="0" w:space="0" w:color="auto"/>
        <w:right w:val="none" w:sz="0" w:space="0" w:color="auto"/>
      </w:divBdr>
    </w:div>
    <w:div w:id="1851293500">
      <w:bodyDiv w:val="1"/>
      <w:marLeft w:val="0"/>
      <w:marRight w:val="0"/>
      <w:marTop w:val="0"/>
      <w:marBottom w:val="0"/>
      <w:divBdr>
        <w:top w:val="none" w:sz="0" w:space="0" w:color="auto"/>
        <w:left w:val="none" w:sz="0" w:space="0" w:color="auto"/>
        <w:bottom w:val="none" w:sz="0" w:space="0" w:color="auto"/>
        <w:right w:val="none" w:sz="0" w:space="0" w:color="auto"/>
      </w:divBdr>
    </w:div>
    <w:div w:id="1858616112">
      <w:bodyDiv w:val="1"/>
      <w:marLeft w:val="0"/>
      <w:marRight w:val="0"/>
      <w:marTop w:val="0"/>
      <w:marBottom w:val="0"/>
      <w:divBdr>
        <w:top w:val="none" w:sz="0" w:space="0" w:color="auto"/>
        <w:left w:val="none" w:sz="0" w:space="0" w:color="auto"/>
        <w:bottom w:val="none" w:sz="0" w:space="0" w:color="auto"/>
        <w:right w:val="none" w:sz="0" w:space="0" w:color="auto"/>
      </w:divBdr>
    </w:div>
    <w:div w:id="1861041037">
      <w:bodyDiv w:val="1"/>
      <w:marLeft w:val="0"/>
      <w:marRight w:val="0"/>
      <w:marTop w:val="0"/>
      <w:marBottom w:val="0"/>
      <w:divBdr>
        <w:top w:val="none" w:sz="0" w:space="0" w:color="auto"/>
        <w:left w:val="none" w:sz="0" w:space="0" w:color="auto"/>
        <w:bottom w:val="none" w:sz="0" w:space="0" w:color="auto"/>
        <w:right w:val="none" w:sz="0" w:space="0" w:color="auto"/>
      </w:divBdr>
    </w:div>
    <w:div w:id="1861964427">
      <w:bodyDiv w:val="1"/>
      <w:marLeft w:val="0"/>
      <w:marRight w:val="0"/>
      <w:marTop w:val="0"/>
      <w:marBottom w:val="0"/>
      <w:divBdr>
        <w:top w:val="none" w:sz="0" w:space="0" w:color="auto"/>
        <w:left w:val="none" w:sz="0" w:space="0" w:color="auto"/>
        <w:bottom w:val="none" w:sz="0" w:space="0" w:color="auto"/>
        <w:right w:val="none" w:sz="0" w:space="0" w:color="auto"/>
      </w:divBdr>
    </w:div>
    <w:div w:id="1870409618">
      <w:bodyDiv w:val="1"/>
      <w:marLeft w:val="0"/>
      <w:marRight w:val="0"/>
      <w:marTop w:val="0"/>
      <w:marBottom w:val="0"/>
      <w:divBdr>
        <w:top w:val="none" w:sz="0" w:space="0" w:color="auto"/>
        <w:left w:val="none" w:sz="0" w:space="0" w:color="auto"/>
        <w:bottom w:val="none" w:sz="0" w:space="0" w:color="auto"/>
        <w:right w:val="none" w:sz="0" w:space="0" w:color="auto"/>
      </w:divBdr>
    </w:div>
    <w:div w:id="1874996246">
      <w:bodyDiv w:val="1"/>
      <w:marLeft w:val="0"/>
      <w:marRight w:val="0"/>
      <w:marTop w:val="0"/>
      <w:marBottom w:val="0"/>
      <w:divBdr>
        <w:top w:val="none" w:sz="0" w:space="0" w:color="auto"/>
        <w:left w:val="none" w:sz="0" w:space="0" w:color="auto"/>
        <w:bottom w:val="none" w:sz="0" w:space="0" w:color="auto"/>
        <w:right w:val="none" w:sz="0" w:space="0" w:color="auto"/>
      </w:divBdr>
    </w:div>
    <w:div w:id="1874996420">
      <w:bodyDiv w:val="1"/>
      <w:marLeft w:val="0"/>
      <w:marRight w:val="0"/>
      <w:marTop w:val="0"/>
      <w:marBottom w:val="0"/>
      <w:divBdr>
        <w:top w:val="none" w:sz="0" w:space="0" w:color="auto"/>
        <w:left w:val="none" w:sz="0" w:space="0" w:color="auto"/>
        <w:bottom w:val="none" w:sz="0" w:space="0" w:color="auto"/>
        <w:right w:val="none" w:sz="0" w:space="0" w:color="auto"/>
      </w:divBdr>
    </w:div>
    <w:div w:id="1875968486">
      <w:bodyDiv w:val="1"/>
      <w:marLeft w:val="0"/>
      <w:marRight w:val="0"/>
      <w:marTop w:val="0"/>
      <w:marBottom w:val="0"/>
      <w:divBdr>
        <w:top w:val="none" w:sz="0" w:space="0" w:color="auto"/>
        <w:left w:val="none" w:sz="0" w:space="0" w:color="auto"/>
        <w:bottom w:val="none" w:sz="0" w:space="0" w:color="auto"/>
        <w:right w:val="none" w:sz="0" w:space="0" w:color="auto"/>
      </w:divBdr>
    </w:div>
    <w:div w:id="1878353266">
      <w:bodyDiv w:val="1"/>
      <w:marLeft w:val="0"/>
      <w:marRight w:val="0"/>
      <w:marTop w:val="0"/>
      <w:marBottom w:val="0"/>
      <w:divBdr>
        <w:top w:val="none" w:sz="0" w:space="0" w:color="auto"/>
        <w:left w:val="none" w:sz="0" w:space="0" w:color="auto"/>
        <w:bottom w:val="none" w:sz="0" w:space="0" w:color="auto"/>
        <w:right w:val="none" w:sz="0" w:space="0" w:color="auto"/>
      </w:divBdr>
    </w:div>
    <w:div w:id="1879124020">
      <w:bodyDiv w:val="1"/>
      <w:marLeft w:val="0"/>
      <w:marRight w:val="0"/>
      <w:marTop w:val="0"/>
      <w:marBottom w:val="0"/>
      <w:divBdr>
        <w:top w:val="none" w:sz="0" w:space="0" w:color="auto"/>
        <w:left w:val="none" w:sz="0" w:space="0" w:color="auto"/>
        <w:bottom w:val="none" w:sz="0" w:space="0" w:color="auto"/>
        <w:right w:val="none" w:sz="0" w:space="0" w:color="auto"/>
      </w:divBdr>
    </w:div>
    <w:div w:id="1884174110">
      <w:bodyDiv w:val="1"/>
      <w:marLeft w:val="0"/>
      <w:marRight w:val="0"/>
      <w:marTop w:val="0"/>
      <w:marBottom w:val="0"/>
      <w:divBdr>
        <w:top w:val="none" w:sz="0" w:space="0" w:color="auto"/>
        <w:left w:val="none" w:sz="0" w:space="0" w:color="auto"/>
        <w:bottom w:val="none" w:sz="0" w:space="0" w:color="auto"/>
        <w:right w:val="none" w:sz="0" w:space="0" w:color="auto"/>
      </w:divBdr>
    </w:div>
    <w:div w:id="1885023061">
      <w:bodyDiv w:val="1"/>
      <w:marLeft w:val="0"/>
      <w:marRight w:val="0"/>
      <w:marTop w:val="0"/>
      <w:marBottom w:val="0"/>
      <w:divBdr>
        <w:top w:val="none" w:sz="0" w:space="0" w:color="auto"/>
        <w:left w:val="none" w:sz="0" w:space="0" w:color="auto"/>
        <w:bottom w:val="none" w:sz="0" w:space="0" w:color="auto"/>
        <w:right w:val="none" w:sz="0" w:space="0" w:color="auto"/>
      </w:divBdr>
    </w:div>
    <w:div w:id="1885293680">
      <w:bodyDiv w:val="1"/>
      <w:marLeft w:val="0"/>
      <w:marRight w:val="0"/>
      <w:marTop w:val="0"/>
      <w:marBottom w:val="0"/>
      <w:divBdr>
        <w:top w:val="none" w:sz="0" w:space="0" w:color="auto"/>
        <w:left w:val="none" w:sz="0" w:space="0" w:color="auto"/>
        <w:bottom w:val="none" w:sz="0" w:space="0" w:color="auto"/>
        <w:right w:val="none" w:sz="0" w:space="0" w:color="auto"/>
      </w:divBdr>
    </w:div>
    <w:div w:id="1888688081">
      <w:bodyDiv w:val="1"/>
      <w:marLeft w:val="0"/>
      <w:marRight w:val="0"/>
      <w:marTop w:val="0"/>
      <w:marBottom w:val="0"/>
      <w:divBdr>
        <w:top w:val="none" w:sz="0" w:space="0" w:color="auto"/>
        <w:left w:val="none" w:sz="0" w:space="0" w:color="auto"/>
        <w:bottom w:val="none" w:sz="0" w:space="0" w:color="auto"/>
        <w:right w:val="none" w:sz="0" w:space="0" w:color="auto"/>
      </w:divBdr>
    </w:div>
    <w:div w:id="1891377006">
      <w:bodyDiv w:val="1"/>
      <w:marLeft w:val="0"/>
      <w:marRight w:val="0"/>
      <w:marTop w:val="0"/>
      <w:marBottom w:val="0"/>
      <w:divBdr>
        <w:top w:val="none" w:sz="0" w:space="0" w:color="auto"/>
        <w:left w:val="none" w:sz="0" w:space="0" w:color="auto"/>
        <w:bottom w:val="none" w:sz="0" w:space="0" w:color="auto"/>
        <w:right w:val="none" w:sz="0" w:space="0" w:color="auto"/>
      </w:divBdr>
    </w:div>
    <w:div w:id="1902133755">
      <w:bodyDiv w:val="1"/>
      <w:marLeft w:val="0"/>
      <w:marRight w:val="0"/>
      <w:marTop w:val="0"/>
      <w:marBottom w:val="0"/>
      <w:divBdr>
        <w:top w:val="none" w:sz="0" w:space="0" w:color="auto"/>
        <w:left w:val="none" w:sz="0" w:space="0" w:color="auto"/>
        <w:bottom w:val="none" w:sz="0" w:space="0" w:color="auto"/>
        <w:right w:val="none" w:sz="0" w:space="0" w:color="auto"/>
      </w:divBdr>
    </w:div>
    <w:div w:id="1903369616">
      <w:bodyDiv w:val="1"/>
      <w:marLeft w:val="0"/>
      <w:marRight w:val="0"/>
      <w:marTop w:val="0"/>
      <w:marBottom w:val="0"/>
      <w:divBdr>
        <w:top w:val="none" w:sz="0" w:space="0" w:color="auto"/>
        <w:left w:val="none" w:sz="0" w:space="0" w:color="auto"/>
        <w:bottom w:val="none" w:sz="0" w:space="0" w:color="auto"/>
        <w:right w:val="none" w:sz="0" w:space="0" w:color="auto"/>
      </w:divBdr>
    </w:div>
    <w:div w:id="1907954478">
      <w:bodyDiv w:val="1"/>
      <w:marLeft w:val="0"/>
      <w:marRight w:val="0"/>
      <w:marTop w:val="0"/>
      <w:marBottom w:val="0"/>
      <w:divBdr>
        <w:top w:val="none" w:sz="0" w:space="0" w:color="auto"/>
        <w:left w:val="none" w:sz="0" w:space="0" w:color="auto"/>
        <w:bottom w:val="none" w:sz="0" w:space="0" w:color="auto"/>
        <w:right w:val="none" w:sz="0" w:space="0" w:color="auto"/>
      </w:divBdr>
    </w:div>
    <w:div w:id="1908685626">
      <w:bodyDiv w:val="1"/>
      <w:marLeft w:val="0"/>
      <w:marRight w:val="0"/>
      <w:marTop w:val="0"/>
      <w:marBottom w:val="0"/>
      <w:divBdr>
        <w:top w:val="none" w:sz="0" w:space="0" w:color="auto"/>
        <w:left w:val="none" w:sz="0" w:space="0" w:color="auto"/>
        <w:bottom w:val="none" w:sz="0" w:space="0" w:color="auto"/>
        <w:right w:val="none" w:sz="0" w:space="0" w:color="auto"/>
      </w:divBdr>
    </w:div>
    <w:div w:id="1912886221">
      <w:bodyDiv w:val="1"/>
      <w:marLeft w:val="0"/>
      <w:marRight w:val="0"/>
      <w:marTop w:val="0"/>
      <w:marBottom w:val="0"/>
      <w:divBdr>
        <w:top w:val="none" w:sz="0" w:space="0" w:color="auto"/>
        <w:left w:val="none" w:sz="0" w:space="0" w:color="auto"/>
        <w:bottom w:val="none" w:sz="0" w:space="0" w:color="auto"/>
        <w:right w:val="none" w:sz="0" w:space="0" w:color="auto"/>
      </w:divBdr>
    </w:div>
    <w:div w:id="1919172383">
      <w:bodyDiv w:val="1"/>
      <w:marLeft w:val="0"/>
      <w:marRight w:val="0"/>
      <w:marTop w:val="0"/>
      <w:marBottom w:val="0"/>
      <w:divBdr>
        <w:top w:val="none" w:sz="0" w:space="0" w:color="auto"/>
        <w:left w:val="none" w:sz="0" w:space="0" w:color="auto"/>
        <w:bottom w:val="none" w:sz="0" w:space="0" w:color="auto"/>
        <w:right w:val="none" w:sz="0" w:space="0" w:color="auto"/>
      </w:divBdr>
    </w:div>
    <w:div w:id="1919821664">
      <w:bodyDiv w:val="1"/>
      <w:marLeft w:val="0"/>
      <w:marRight w:val="0"/>
      <w:marTop w:val="0"/>
      <w:marBottom w:val="0"/>
      <w:divBdr>
        <w:top w:val="none" w:sz="0" w:space="0" w:color="auto"/>
        <w:left w:val="none" w:sz="0" w:space="0" w:color="auto"/>
        <w:bottom w:val="none" w:sz="0" w:space="0" w:color="auto"/>
        <w:right w:val="none" w:sz="0" w:space="0" w:color="auto"/>
      </w:divBdr>
    </w:div>
    <w:div w:id="1921719855">
      <w:bodyDiv w:val="1"/>
      <w:marLeft w:val="0"/>
      <w:marRight w:val="0"/>
      <w:marTop w:val="0"/>
      <w:marBottom w:val="0"/>
      <w:divBdr>
        <w:top w:val="none" w:sz="0" w:space="0" w:color="auto"/>
        <w:left w:val="none" w:sz="0" w:space="0" w:color="auto"/>
        <w:bottom w:val="none" w:sz="0" w:space="0" w:color="auto"/>
        <w:right w:val="none" w:sz="0" w:space="0" w:color="auto"/>
      </w:divBdr>
    </w:div>
    <w:div w:id="1923251037">
      <w:bodyDiv w:val="1"/>
      <w:marLeft w:val="0"/>
      <w:marRight w:val="0"/>
      <w:marTop w:val="0"/>
      <w:marBottom w:val="0"/>
      <w:divBdr>
        <w:top w:val="none" w:sz="0" w:space="0" w:color="auto"/>
        <w:left w:val="none" w:sz="0" w:space="0" w:color="auto"/>
        <w:bottom w:val="none" w:sz="0" w:space="0" w:color="auto"/>
        <w:right w:val="none" w:sz="0" w:space="0" w:color="auto"/>
      </w:divBdr>
    </w:div>
    <w:div w:id="1923559251">
      <w:bodyDiv w:val="1"/>
      <w:marLeft w:val="0"/>
      <w:marRight w:val="0"/>
      <w:marTop w:val="0"/>
      <w:marBottom w:val="0"/>
      <w:divBdr>
        <w:top w:val="none" w:sz="0" w:space="0" w:color="auto"/>
        <w:left w:val="none" w:sz="0" w:space="0" w:color="auto"/>
        <w:bottom w:val="none" w:sz="0" w:space="0" w:color="auto"/>
        <w:right w:val="none" w:sz="0" w:space="0" w:color="auto"/>
      </w:divBdr>
    </w:div>
    <w:div w:id="1923634957">
      <w:bodyDiv w:val="1"/>
      <w:marLeft w:val="0"/>
      <w:marRight w:val="0"/>
      <w:marTop w:val="0"/>
      <w:marBottom w:val="0"/>
      <w:divBdr>
        <w:top w:val="none" w:sz="0" w:space="0" w:color="auto"/>
        <w:left w:val="none" w:sz="0" w:space="0" w:color="auto"/>
        <w:bottom w:val="none" w:sz="0" w:space="0" w:color="auto"/>
        <w:right w:val="none" w:sz="0" w:space="0" w:color="auto"/>
      </w:divBdr>
    </w:div>
    <w:div w:id="1925607949">
      <w:bodyDiv w:val="1"/>
      <w:marLeft w:val="0"/>
      <w:marRight w:val="0"/>
      <w:marTop w:val="0"/>
      <w:marBottom w:val="0"/>
      <w:divBdr>
        <w:top w:val="none" w:sz="0" w:space="0" w:color="auto"/>
        <w:left w:val="none" w:sz="0" w:space="0" w:color="auto"/>
        <w:bottom w:val="none" w:sz="0" w:space="0" w:color="auto"/>
        <w:right w:val="none" w:sz="0" w:space="0" w:color="auto"/>
      </w:divBdr>
    </w:div>
    <w:div w:id="1925988866">
      <w:bodyDiv w:val="1"/>
      <w:marLeft w:val="0"/>
      <w:marRight w:val="0"/>
      <w:marTop w:val="0"/>
      <w:marBottom w:val="0"/>
      <w:divBdr>
        <w:top w:val="none" w:sz="0" w:space="0" w:color="auto"/>
        <w:left w:val="none" w:sz="0" w:space="0" w:color="auto"/>
        <w:bottom w:val="none" w:sz="0" w:space="0" w:color="auto"/>
        <w:right w:val="none" w:sz="0" w:space="0" w:color="auto"/>
      </w:divBdr>
    </w:div>
    <w:div w:id="1928074620">
      <w:bodyDiv w:val="1"/>
      <w:marLeft w:val="0"/>
      <w:marRight w:val="0"/>
      <w:marTop w:val="0"/>
      <w:marBottom w:val="0"/>
      <w:divBdr>
        <w:top w:val="none" w:sz="0" w:space="0" w:color="auto"/>
        <w:left w:val="none" w:sz="0" w:space="0" w:color="auto"/>
        <w:bottom w:val="none" w:sz="0" w:space="0" w:color="auto"/>
        <w:right w:val="none" w:sz="0" w:space="0" w:color="auto"/>
      </w:divBdr>
    </w:div>
    <w:div w:id="1931309779">
      <w:bodyDiv w:val="1"/>
      <w:marLeft w:val="0"/>
      <w:marRight w:val="0"/>
      <w:marTop w:val="0"/>
      <w:marBottom w:val="0"/>
      <w:divBdr>
        <w:top w:val="none" w:sz="0" w:space="0" w:color="auto"/>
        <w:left w:val="none" w:sz="0" w:space="0" w:color="auto"/>
        <w:bottom w:val="none" w:sz="0" w:space="0" w:color="auto"/>
        <w:right w:val="none" w:sz="0" w:space="0" w:color="auto"/>
      </w:divBdr>
    </w:div>
    <w:div w:id="1932657996">
      <w:bodyDiv w:val="1"/>
      <w:marLeft w:val="0"/>
      <w:marRight w:val="0"/>
      <w:marTop w:val="0"/>
      <w:marBottom w:val="0"/>
      <w:divBdr>
        <w:top w:val="none" w:sz="0" w:space="0" w:color="auto"/>
        <w:left w:val="none" w:sz="0" w:space="0" w:color="auto"/>
        <w:bottom w:val="none" w:sz="0" w:space="0" w:color="auto"/>
        <w:right w:val="none" w:sz="0" w:space="0" w:color="auto"/>
      </w:divBdr>
    </w:div>
    <w:div w:id="1933587161">
      <w:bodyDiv w:val="1"/>
      <w:marLeft w:val="0"/>
      <w:marRight w:val="0"/>
      <w:marTop w:val="0"/>
      <w:marBottom w:val="0"/>
      <w:divBdr>
        <w:top w:val="none" w:sz="0" w:space="0" w:color="auto"/>
        <w:left w:val="none" w:sz="0" w:space="0" w:color="auto"/>
        <w:bottom w:val="none" w:sz="0" w:space="0" w:color="auto"/>
        <w:right w:val="none" w:sz="0" w:space="0" w:color="auto"/>
      </w:divBdr>
    </w:div>
    <w:div w:id="1937203883">
      <w:bodyDiv w:val="1"/>
      <w:marLeft w:val="0"/>
      <w:marRight w:val="0"/>
      <w:marTop w:val="0"/>
      <w:marBottom w:val="0"/>
      <w:divBdr>
        <w:top w:val="none" w:sz="0" w:space="0" w:color="auto"/>
        <w:left w:val="none" w:sz="0" w:space="0" w:color="auto"/>
        <w:bottom w:val="none" w:sz="0" w:space="0" w:color="auto"/>
        <w:right w:val="none" w:sz="0" w:space="0" w:color="auto"/>
      </w:divBdr>
    </w:div>
    <w:div w:id="1938783180">
      <w:bodyDiv w:val="1"/>
      <w:marLeft w:val="0"/>
      <w:marRight w:val="0"/>
      <w:marTop w:val="0"/>
      <w:marBottom w:val="0"/>
      <w:divBdr>
        <w:top w:val="none" w:sz="0" w:space="0" w:color="auto"/>
        <w:left w:val="none" w:sz="0" w:space="0" w:color="auto"/>
        <w:bottom w:val="none" w:sz="0" w:space="0" w:color="auto"/>
        <w:right w:val="none" w:sz="0" w:space="0" w:color="auto"/>
      </w:divBdr>
    </w:div>
    <w:div w:id="1940330330">
      <w:bodyDiv w:val="1"/>
      <w:marLeft w:val="0"/>
      <w:marRight w:val="0"/>
      <w:marTop w:val="0"/>
      <w:marBottom w:val="0"/>
      <w:divBdr>
        <w:top w:val="none" w:sz="0" w:space="0" w:color="auto"/>
        <w:left w:val="none" w:sz="0" w:space="0" w:color="auto"/>
        <w:bottom w:val="none" w:sz="0" w:space="0" w:color="auto"/>
        <w:right w:val="none" w:sz="0" w:space="0" w:color="auto"/>
      </w:divBdr>
    </w:div>
    <w:div w:id="1941570640">
      <w:bodyDiv w:val="1"/>
      <w:marLeft w:val="0"/>
      <w:marRight w:val="0"/>
      <w:marTop w:val="0"/>
      <w:marBottom w:val="0"/>
      <w:divBdr>
        <w:top w:val="none" w:sz="0" w:space="0" w:color="auto"/>
        <w:left w:val="none" w:sz="0" w:space="0" w:color="auto"/>
        <w:bottom w:val="none" w:sz="0" w:space="0" w:color="auto"/>
        <w:right w:val="none" w:sz="0" w:space="0" w:color="auto"/>
      </w:divBdr>
    </w:div>
    <w:div w:id="1943881394">
      <w:bodyDiv w:val="1"/>
      <w:marLeft w:val="0"/>
      <w:marRight w:val="0"/>
      <w:marTop w:val="0"/>
      <w:marBottom w:val="0"/>
      <w:divBdr>
        <w:top w:val="none" w:sz="0" w:space="0" w:color="auto"/>
        <w:left w:val="none" w:sz="0" w:space="0" w:color="auto"/>
        <w:bottom w:val="none" w:sz="0" w:space="0" w:color="auto"/>
        <w:right w:val="none" w:sz="0" w:space="0" w:color="auto"/>
      </w:divBdr>
    </w:div>
    <w:div w:id="1946039045">
      <w:bodyDiv w:val="1"/>
      <w:marLeft w:val="0"/>
      <w:marRight w:val="0"/>
      <w:marTop w:val="0"/>
      <w:marBottom w:val="0"/>
      <w:divBdr>
        <w:top w:val="none" w:sz="0" w:space="0" w:color="auto"/>
        <w:left w:val="none" w:sz="0" w:space="0" w:color="auto"/>
        <w:bottom w:val="none" w:sz="0" w:space="0" w:color="auto"/>
        <w:right w:val="none" w:sz="0" w:space="0" w:color="auto"/>
      </w:divBdr>
    </w:div>
    <w:div w:id="1949048033">
      <w:bodyDiv w:val="1"/>
      <w:marLeft w:val="0"/>
      <w:marRight w:val="0"/>
      <w:marTop w:val="0"/>
      <w:marBottom w:val="0"/>
      <w:divBdr>
        <w:top w:val="none" w:sz="0" w:space="0" w:color="auto"/>
        <w:left w:val="none" w:sz="0" w:space="0" w:color="auto"/>
        <w:bottom w:val="none" w:sz="0" w:space="0" w:color="auto"/>
        <w:right w:val="none" w:sz="0" w:space="0" w:color="auto"/>
      </w:divBdr>
    </w:div>
    <w:div w:id="1954051880">
      <w:bodyDiv w:val="1"/>
      <w:marLeft w:val="0"/>
      <w:marRight w:val="0"/>
      <w:marTop w:val="0"/>
      <w:marBottom w:val="0"/>
      <w:divBdr>
        <w:top w:val="none" w:sz="0" w:space="0" w:color="auto"/>
        <w:left w:val="none" w:sz="0" w:space="0" w:color="auto"/>
        <w:bottom w:val="none" w:sz="0" w:space="0" w:color="auto"/>
        <w:right w:val="none" w:sz="0" w:space="0" w:color="auto"/>
      </w:divBdr>
    </w:div>
    <w:div w:id="1955599801">
      <w:bodyDiv w:val="1"/>
      <w:marLeft w:val="0"/>
      <w:marRight w:val="0"/>
      <w:marTop w:val="0"/>
      <w:marBottom w:val="0"/>
      <w:divBdr>
        <w:top w:val="none" w:sz="0" w:space="0" w:color="auto"/>
        <w:left w:val="none" w:sz="0" w:space="0" w:color="auto"/>
        <w:bottom w:val="none" w:sz="0" w:space="0" w:color="auto"/>
        <w:right w:val="none" w:sz="0" w:space="0" w:color="auto"/>
      </w:divBdr>
    </w:div>
    <w:div w:id="1957518325">
      <w:bodyDiv w:val="1"/>
      <w:marLeft w:val="0"/>
      <w:marRight w:val="0"/>
      <w:marTop w:val="0"/>
      <w:marBottom w:val="0"/>
      <w:divBdr>
        <w:top w:val="none" w:sz="0" w:space="0" w:color="auto"/>
        <w:left w:val="none" w:sz="0" w:space="0" w:color="auto"/>
        <w:bottom w:val="none" w:sz="0" w:space="0" w:color="auto"/>
        <w:right w:val="none" w:sz="0" w:space="0" w:color="auto"/>
      </w:divBdr>
    </w:div>
    <w:div w:id="1958215702">
      <w:bodyDiv w:val="1"/>
      <w:marLeft w:val="0"/>
      <w:marRight w:val="0"/>
      <w:marTop w:val="0"/>
      <w:marBottom w:val="0"/>
      <w:divBdr>
        <w:top w:val="none" w:sz="0" w:space="0" w:color="auto"/>
        <w:left w:val="none" w:sz="0" w:space="0" w:color="auto"/>
        <w:bottom w:val="none" w:sz="0" w:space="0" w:color="auto"/>
        <w:right w:val="none" w:sz="0" w:space="0" w:color="auto"/>
      </w:divBdr>
    </w:div>
    <w:div w:id="1959408131">
      <w:bodyDiv w:val="1"/>
      <w:marLeft w:val="0"/>
      <w:marRight w:val="0"/>
      <w:marTop w:val="0"/>
      <w:marBottom w:val="0"/>
      <w:divBdr>
        <w:top w:val="none" w:sz="0" w:space="0" w:color="auto"/>
        <w:left w:val="none" w:sz="0" w:space="0" w:color="auto"/>
        <w:bottom w:val="none" w:sz="0" w:space="0" w:color="auto"/>
        <w:right w:val="none" w:sz="0" w:space="0" w:color="auto"/>
      </w:divBdr>
    </w:div>
    <w:div w:id="1963917392">
      <w:bodyDiv w:val="1"/>
      <w:marLeft w:val="0"/>
      <w:marRight w:val="0"/>
      <w:marTop w:val="0"/>
      <w:marBottom w:val="0"/>
      <w:divBdr>
        <w:top w:val="none" w:sz="0" w:space="0" w:color="auto"/>
        <w:left w:val="none" w:sz="0" w:space="0" w:color="auto"/>
        <w:bottom w:val="none" w:sz="0" w:space="0" w:color="auto"/>
        <w:right w:val="none" w:sz="0" w:space="0" w:color="auto"/>
      </w:divBdr>
    </w:div>
    <w:div w:id="1964383986">
      <w:bodyDiv w:val="1"/>
      <w:marLeft w:val="0"/>
      <w:marRight w:val="0"/>
      <w:marTop w:val="0"/>
      <w:marBottom w:val="0"/>
      <w:divBdr>
        <w:top w:val="none" w:sz="0" w:space="0" w:color="auto"/>
        <w:left w:val="none" w:sz="0" w:space="0" w:color="auto"/>
        <w:bottom w:val="none" w:sz="0" w:space="0" w:color="auto"/>
        <w:right w:val="none" w:sz="0" w:space="0" w:color="auto"/>
      </w:divBdr>
    </w:div>
    <w:div w:id="1964463972">
      <w:bodyDiv w:val="1"/>
      <w:marLeft w:val="0"/>
      <w:marRight w:val="0"/>
      <w:marTop w:val="0"/>
      <w:marBottom w:val="0"/>
      <w:divBdr>
        <w:top w:val="none" w:sz="0" w:space="0" w:color="auto"/>
        <w:left w:val="none" w:sz="0" w:space="0" w:color="auto"/>
        <w:bottom w:val="none" w:sz="0" w:space="0" w:color="auto"/>
        <w:right w:val="none" w:sz="0" w:space="0" w:color="auto"/>
      </w:divBdr>
    </w:div>
    <w:div w:id="1965188635">
      <w:bodyDiv w:val="1"/>
      <w:marLeft w:val="0"/>
      <w:marRight w:val="0"/>
      <w:marTop w:val="0"/>
      <w:marBottom w:val="0"/>
      <w:divBdr>
        <w:top w:val="none" w:sz="0" w:space="0" w:color="auto"/>
        <w:left w:val="none" w:sz="0" w:space="0" w:color="auto"/>
        <w:bottom w:val="none" w:sz="0" w:space="0" w:color="auto"/>
        <w:right w:val="none" w:sz="0" w:space="0" w:color="auto"/>
      </w:divBdr>
    </w:div>
    <w:div w:id="1969897970">
      <w:bodyDiv w:val="1"/>
      <w:marLeft w:val="0"/>
      <w:marRight w:val="0"/>
      <w:marTop w:val="0"/>
      <w:marBottom w:val="0"/>
      <w:divBdr>
        <w:top w:val="none" w:sz="0" w:space="0" w:color="auto"/>
        <w:left w:val="none" w:sz="0" w:space="0" w:color="auto"/>
        <w:bottom w:val="none" w:sz="0" w:space="0" w:color="auto"/>
        <w:right w:val="none" w:sz="0" w:space="0" w:color="auto"/>
      </w:divBdr>
    </w:div>
    <w:div w:id="1977098028">
      <w:bodyDiv w:val="1"/>
      <w:marLeft w:val="0"/>
      <w:marRight w:val="0"/>
      <w:marTop w:val="0"/>
      <w:marBottom w:val="0"/>
      <w:divBdr>
        <w:top w:val="none" w:sz="0" w:space="0" w:color="auto"/>
        <w:left w:val="none" w:sz="0" w:space="0" w:color="auto"/>
        <w:bottom w:val="none" w:sz="0" w:space="0" w:color="auto"/>
        <w:right w:val="none" w:sz="0" w:space="0" w:color="auto"/>
      </w:divBdr>
    </w:div>
    <w:div w:id="1979217661">
      <w:bodyDiv w:val="1"/>
      <w:marLeft w:val="0"/>
      <w:marRight w:val="0"/>
      <w:marTop w:val="0"/>
      <w:marBottom w:val="0"/>
      <w:divBdr>
        <w:top w:val="none" w:sz="0" w:space="0" w:color="auto"/>
        <w:left w:val="none" w:sz="0" w:space="0" w:color="auto"/>
        <w:bottom w:val="none" w:sz="0" w:space="0" w:color="auto"/>
        <w:right w:val="none" w:sz="0" w:space="0" w:color="auto"/>
      </w:divBdr>
    </w:div>
    <w:div w:id="1980258100">
      <w:bodyDiv w:val="1"/>
      <w:marLeft w:val="0"/>
      <w:marRight w:val="0"/>
      <w:marTop w:val="0"/>
      <w:marBottom w:val="0"/>
      <w:divBdr>
        <w:top w:val="none" w:sz="0" w:space="0" w:color="auto"/>
        <w:left w:val="none" w:sz="0" w:space="0" w:color="auto"/>
        <w:bottom w:val="none" w:sz="0" w:space="0" w:color="auto"/>
        <w:right w:val="none" w:sz="0" w:space="0" w:color="auto"/>
      </w:divBdr>
    </w:div>
    <w:div w:id="1982341382">
      <w:bodyDiv w:val="1"/>
      <w:marLeft w:val="0"/>
      <w:marRight w:val="0"/>
      <w:marTop w:val="0"/>
      <w:marBottom w:val="0"/>
      <w:divBdr>
        <w:top w:val="none" w:sz="0" w:space="0" w:color="auto"/>
        <w:left w:val="none" w:sz="0" w:space="0" w:color="auto"/>
        <w:bottom w:val="none" w:sz="0" w:space="0" w:color="auto"/>
        <w:right w:val="none" w:sz="0" w:space="0" w:color="auto"/>
      </w:divBdr>
    </w:div>
    <w:div w:id="1983080208">
      <w:bodyDiv w:val="1"/>
      <w:marLeft w:val="0"/>
      <w:marRight w:val="0"/>
      <w:marTop w:val="0"/>
      <w:marBottom w:val="0"/>
      <w:divBdr>
        <w:top w:val="none" w:sz="0" w:space="0" w:color="auto"/>
        <w:left w:val="none" w:sz="0" w:space="0" w:color="auto"/>
        <w:bottom w:val="none" w:sz="0" w:space="0" w:color="auto"/>
        <w:right w:val="none" w:sz="0" w:space="0" w:color="auto"/>
      </w:divBdr>
    </w:div>
    <w:div w:id="1985506648">
      <w:bodyDiv w:val="1"/>
      <w:marLeft w:val="0"/>
      <w:marRight w:val="0"/>
      <w:marTop w:val="0"/>
      <w:marBottom w:val="0"/>
      <w:divBdr>
        <w:top w:val="none" w:sz="0" w:space="0" w:color="auto"/>
        <w:left w:val="none" w:sz="0" w:space="0" w:color="auto"/>
        <w:bottom w:val="none" w:sz="0" w:space="0" w:color="auto"/>
        <w:right w:val="none" w:sz="0" w:space="0" w:color="auto"/>
      </w:divBdr>
    </w:div>
    <w:div w:id="1985890160">
      <w:bodyDiv w:val="1"/>
      <w:marLeft w:val="0"/>
      <w:marRight w:val="0"/>
      <w:marTop w:val="0"/>
      <w:marBottom w:val="0"/>
      <w:divBdr>
        <w:top w:val="none" w:sz="0" w:space="0" w:color="auto"/>
        <w:left w:val="none" w:sz="0" w:space="0" w:color="auto"/>
        <w:bottom w:val="none" w:sz="0" w:space="0" w:color="auto"/>
        <w:right w:val="none" w:sz="0" w:space="0" w:color="auto"/>
      </w:divBdr>
    </w:div>
    <w:div w:id="1986231146">
      <w:bodyDiv w:val="1"/>
      <w:marLeft w:val="0"/>
      <w:marRight w:val="0"/>
      <w:marTop w:val="0"/>
      <w:marBottom w:val="0"/>
      <w:divBdr>
        <w:top w:val="none" w:sz="0" w:space="0" w:color="auto"/>
        <w:left w:val="none" w:sz="0" w:space="0" w:color="auto"/>
        <w:bottom w:val="none" w:sz="0" w:space="0" w:color="auto"/>
        <w:right w:val="none" w:sz="0" w:space="0" w:color="auto"/>
      </w:divBdr>
    </w:div>
    <w:div w:id="1995523551">
      <w:bodyDiv w:val="1"/>
      <w:marLeft w:val="0"/>
      <w:marRight w:val="0"/>
      <w:marTop w:val="0"/>
      <w:marBottom w:val="0"/>
      <w:divBdr>
        <w:top w:val="none" w:sz="0" w:space="0" w:color="auto"/>
        <w:left w:val="none" w:sz="0" w:space="0" w:color="auto"/>
        <w:bottom w:val="none" w:sz="0" w:space="0" w:color="auto"/>
        <w:right w:val="none" w:sz="0" w:space="0" w:color="auto"/>
      </w:divBdr>
    </w:div>
    <w:div w:id="2001033435">
      <w:bodyDiv w:val="1"/>
      <w:marLeft w:val="0"/>
      <w:marRight w:val="0"/>
      <w:marTop w:val="0"/>
      <w:marBottom w:val="0"/>
      <w:divBdr>
        <w:top w:val="none" w:sz="0" w:space="0" w:color="auto"/>
        <w:left w:val="none" w:sz="0" w:space="0" w:color="auto"/>
        <w:bottom w:val="none" w:sz="0" w:space="0" w:color="auto"/>
        <w:right w:val="none" w:sz="0" w:space="0" w:color="auto"/>
      </w:divBdr>
    </w:div>
    <w:div w:id="2001426391">
      <w:bodyDiv w:val="1"/>
      <w:marLeft w:val="0"/>
      <w:marRight w:val="0"/>
      <w:marTop w:val="0"/>
      <w:marBottom w:val="0"/>
      <w:divBdr>
        <w:top w:val="none" w:sz="0" w:space="0" w:color="auto"/>
        <w:left w:val="none" w:sz="0" w:space="0" w:color="auto"/>
        <w:bottom w:val="none" w:sz="0" w:space="0" w:color="auto"/>
        <w:right w:val="none" w:sz="0" w:space="0" w:color="auto"/>
      </w:divBdr>
    </w:div>
    <w:div w:id="2002150529">
      <w:bodyDiv w:val="1"/>
      <w:marLeft w:val="0"/>
      <w:marRight w:val="0"/>
      <w:marTop w:val="0"/>
      <w:marBottom w:val="0"/>
      <w:divBdr>
        <w:top w:val="none" w:sz="0" w:space="0" w:color="auto"/>
        <w:left w:val="none" w:sz="0" w:space="0" w:color="auto"/>
        <w:bottom w:val="none" w:sz="0" w:space="0" w:color="auto"/>
        <w:right w:val="none" w:sz="0" w:space="0" w:color="auto"/>
      </w:divBdr>
    </w:div>
    <w:div w:id="2004360135">
      <w:bodyDiv w:val="1"/>
      <w:marLeft w:val="0"/>
      <w:marRight w:val="0"/>
      <w:marTop w:val="0"/>
      <w:marBottom w:val="0"/>
      <w:divBdr>
        <w:top w:val="none" w:sz="0" w:space="0" w:color="auto"/>
        <w:left w:val="none" w:sz="0" w:space="0" w:color="auto"/>
        <w:bottom w:val="none" w:sz="0" w:space="0" w:color="auto"/>
        <w:right w:val="none" w:sz="0" w:space="0" w:color="auto"/>
      </w:divBdr>
    </w:div>
    <w:div w:id="2011132817">
      <w:bodyDiv w:val="1"/>
      <w:marLeft w:val="0"/>
      <w:marRight w:val="0"/>
      <w:marTop w:val="0"/>
      <w:marBottom w:val="0"/>
      <w:divBdr>
        <w:top w:val="none" w:sz="0" w:space="0" w:color="auto"/>
        <w:left w:val="none" w:sz="0" w:space="0" w:color="auto"/>
        <w:bottom w:val="none" w:sz="0" w:space="0" w:color="auto"/>
        <w:right w:val="none" w:sz="0" w:space="0" w:color="auto"/>
      </w:divBdr>
    </w:div>
    <w:div w:id="2012021530">
      <w:bodyDiv w:val="1"/>
      <w:marLeft w:val="0"/>
      <w:marRight w:val="0"/>
      <w:marTop w:val="0"/>
      <w:marBottom w:val="0"/>
      <w:divBdr>
        <w:top w:val="none" w:sz="0" w:space="0" w:color="auto"/>
        <w:left w:val="none" w:sz="0" w:space="0" w:color="auto"/>
        <w:bottom w:val="none" w:sz="0" w:space="0" w:color="auto"/>
        <w:right w:val="none" w:sz="0" w:space="0" w:color="auto"/>
      </w:divBdr>
    </w:div>
    <w:div w:id="2013411131">
      <w:bodyDiv w:val="1"/>
      <w:marLeft w:val="0"/>
      <w:marRight w:val="0"/>
      <w:marTop w:val="0"/>
      <w:marBottom w:val="0"/>
      <w:divBdr>
        <w:top w:val="none" w:sz="0" w:space="0" w:color="auto"/>
        <w:left w:val="none" w:sz="0" w:space="0" w:color="auto"/>
        <w:bottom w:val="none" w:sz="0" w:space="0" w:color="auto"/>
        <w:right w:val="none" w:sz="0" w:space="0" w:color="auto"/>
      </w:divBdr>
    </w:div>
    <w:div w:id="2013605268">
      <w:bodyDiv w:val="1"/>
      <w:marLeft w:val="0"/>
      <w:marRight w:val="0"/>
      <w:marTop w:val="0"/>
      <w:marBottom w:val="0"/>
      <w:divBdr>
        <w:top w:val="none" w:sz="0" w:space="0" w:color="auto"/>
        <w:left w:val="none" w:sz="0" w:space="0" w:color="auto"/>
        <w:bottom w:val="none" w:sz="0" w:space="0" w:color="auto"/>
        <w:right w:val="none" w:sz="0" w:space="0" w:color="auto"/>
      </w:divBdr>
    </w:div>
    <w:div w:id="2015037341">
      <w:bodyDiv w:val="1"/>
      <w:marLeft w:val="0"/>
      <w:marRight w:val="0"/>
      <w:marTop w:val="0"/>
      <w:marBottom w:val="0"/>
      <w:divBdr>
        <w:top w:val="none" w:sz="0" w:space="0" w:color="auto"/>
        <w:left w:val="none" w:sz="0" w:space="0" w:color="auto"/>
        <w:bottom w:val="none" w:sz="0" w:space="0" w:color="auto"/>
        <w:right w:val="none" w:sz="0" w:space="0" w:color="auto"/>
      </w:divBdr>
    </w:div>
    <w:div w:id="2017296257">
      <w:bodyDiv w:val="1"/>
      <w:marLeft w:val="0"/>
      <w:marRight w:val="0"/>
      <w:marTop w:val="0"/>
      <w:marBottom w:val="0"/>
      <w:divBdr>
        <w:top w:val="none" w:sz="0" w:space="0" w:color="auto"/>
        <w:left w:val="none" w:sz="0" w:space="0" w:color="auto"/>
        <w:bottom w:val="none" w:sz="0" w:space="0" w:color="auto"/>
        <w:right w:val="none" w:sz="0" w:space="0" w:color="auto"/>
      </w:divBdr>
    </w:div>
    <w:div w:id="2025325490">
      <w:bodyDiv w:val="1"/>
      <w:marLeft w:val="0"/>
      <w:marRight w:val="0"/>
      <w:marTop w:val="0"/>
      <w:marBottom w:val="0"/>
      <w:divBdr>
        <w:top w:val="none" w:sz="0" w:space="0" w:color="auto"/>
        <w:left w:val="none" w:sz="0" w:space="0" w:color="auto"/>
        <w:bottom w:val="none" w:sz="0" w:space="0" w:color="auto"/>
        <w:right w:val="none" w:sz="0" w:space="0" w:color="auto"/>
      </w:divBdr>
    </w:div>
    <w:div w:id="2028361100">
      <w:bodyDiv w:val="1"/>
      <w:marLeft w:val="0"/>
      <w:marRight w:val="0"/>
      <w:marTop w:val="0"/>
      <w:marBottom w:val="0"/>
      <w:divBdr>
        <w:top w:val="none" w:sz="0" w:space="0" w:color="auto"/>
        <w:left w:val="none" w:sz="0" w:space="0" w:color="auto"/>
        <w:bottom w:val="none" w:sz="0" w:space="0" w:color="auto"/>
        <w:right w:val="none" w:sz="0" w:space="0" w:color="auto"/>
      </w:divBdr>
    </w:div>
    <w:div w:id="2028827354">
      <w:bodyDiv w:val="1"/>
      <w:marLeft w:val="0"/>
      <w:marRight w:val="0"/>
      <w:marTop w:val="0"/>
      <w:marBottom w:val="0"/>
      <w:divBdr>
        <w:top w:val="none" w:sz="0" w:space="0" w:color="auto"/>
        <w:left w:val="none" w:sz="0" w:space="0" w:color="auto"/>
        <w:bottom w:val="none" w:sz="0" w:space="0" w:color="auto"/>
        <w:right w:val="none" w:sz="0" w:space="0" w:color="auto"/>
      </w:divBdr>
    </w:div>
    <w:div w:id="2031447081">
      <w:bodyDiv w:val="1"/>
      <w:marLeft w:val="0"/>
      <w:marRight w:val="0"/>
      <w:marTop w:val="0"/>
      <w:marBottom w:val="0"/>
      <w:divBdr>
        <w:top w:val="none" w:sz="0" w:space="0" w:color="auto"/>
        <w:left w:val="none" w:sz="0" w:space="0" w:color="auto"/>
        <w:bottom w:val="none" w:sz="0" w:space="0" w:color="auto"/>
        <w:right w:val="none" w:sz="0" w:space="0" w:color="auto"/>
      </w:divBdr>
    </w:div>
    <w:div w:id="2032222423">
      <w:bodyDiv w:val="1"/>
      <w:marLeft w:val="0"/>
      <w:marRight w:val="0"/>
      <w:marTop w:val="0"/>
      <w:marBottom w:val="0"/>
      <w:divBdr>
        <w:top w:val="none" w:sz="0" w:space="0" w:color="auto"/>
        <w:left w:val="none" w:sz="0" w:space="0" w:color="auto"/>
        <w:bottom w:val="none" w:sz="0" w:space="0" w:color="auto"/>
        <w:right w:val="none" w:sz="0" w:space="0" w:color="auto"/>
      </w:divBdr>
    </w:div>
    <w:div w:id="2032295687">
      <w:bodyDiv w:val="1"/>
      <w:marLeft w:val="0"/>
      <w:marRight w:val="0"/>
      <w:marTop w:val="0"/>
      <w:marBottom w:val="0"/>
      <w:divBdr>
        <w:top w:val="none" w:sz="0" w:space="0" w:color="auto"/>
        <w:left w:val="none" w:sz="0" w:space="0" w:color="auto"/>
        <w:bottom w:val="none" w:sz="0" w:space="0" w:color="auto"/>
        <w:right w:val="none" w:sz="0" w:space="0" w:color="auto"/>
      </w:divBdr>
    </w:div>
    <w:div w:id="2032607313">
      <w:bodyDiv w:val="1"/>
      <w:marLeft w:val="0"/>
      <w:marRight w:val="0"/>
      <w:marTop w:val="0"/>
      <w:marBottom w:val="0"/>
      <w:divBdr>
        <w:top w:val="none" w:sz="0" w:space="0" w:color="auto"/>
        <w:left w:val="none" w:sz="0" w:space="0" w:color="auto"/>
        <w:bottom w:val="none" w:sz="0" w:space="0" w:color="auto"/>
        <w:right w:val="none" w:sz="0" w:space="0" w:color="auto"/>
      </w:divBdr>
    </w:div>
    <w:div w:id="2040426029">
      <w:bodyDiv w:val="1"/>
      <w:marLeft w:val="0"/>
      <w:marRight w:val="0"/>
      <w:marTop w:val="0"/>
      <w:marBottom w:val="0"/>
      <w:divBdr>
        <w:top w:val="none" w:sz="0" w:space="0" w:color="auto"/>
        <w:left w:val="none" w:sz="0" w:space="0" w:color="auto"/>
        <w:bottom w:val="none" w:sz="0" w:space="0" w:color="auto"/>
        <w:right w:val="none" w:sz="0" w:space="0" w:color="auto"/>
      </w:divBdr>
    </w:div>
    <w:div w:id="2040739252">
      <w:bodyDiv w:val="1"/>
      <w:marLeft w:val="0"/>
      <w:marRight w:val="0"/>
      <w:marTop w:val="0"/>
      <w:marBottom w:val="0"/>
      <w:divBdr>
        <w:top w:val="none" w:sz="0" w:space="0" w:color="auto"/>
        <w:left w:val="none" w:sz="0" w:space="0" w:color="auto"/>
        <w:bottom w:val="none" w:sz="0" w:space="0" w:color="auto"/>
        <w:right w:val="none" w:sz="0" w:space="0" w:color="auto"/>
      </w:divBdr>
    </w:div>
    <w:div w:id="2041196625">
      <w:bodyDiv w:val="1"/>
      <w:marLeft w:val="0"/>
      <w:marRight w:val="0"/>
      <w:marTop w:val="0"/>
      <w:marBottom w:val="0"/>
      <w:divBdr>
        <w:top w:val="none" w:sz="0" w:space="0" w:color="auto"/>
        <w:left w:val="none" w:sz="0" w:space="0" w:color="auto"/>
        <w:bottom w:val="none" w:sz="0" w:space="0" w:color="auto"/>
        <w:right w:val="none" w:sz="0" w:space="0" w:color="auto"/>
      </w:divBdr>
    </w:div>
    <w:div w:id="2054961877">
      <w:bodyDiv w:val="1"/>
      <w:marLeft w:val="0"/>
      <w:marRight w:val="0"/>
      <w:marTop w:val="0"/>
      <w:marBottom w:val="0"/>
      <w:divBdr>
        <w:top w:val="none" w:sz="0" w:space="0" w:color="auto"/>
        <w:left w:val="none" w:sz="0" w:space="0" w:color="auto"/>
        <w:bottom w:val="none" w:sz="0" w:space="0" w:color="auto"/>
        <w:right w:val="none" w:sz="0" w:space="0" w:color="auto"/>
      </w:divBdr>
    </w:div>
    <w:div w:id="2055961947">
      <w:bodyDiv w:val="1"/>
      <w:marLeft w:val="0"/>
      <w:marRight w:val="0"/>
      <w:marTop w:val="0"/>
      <w:marBottom w:val="0"/>
      <w:divBdr>
        <w:top w:val="none" w:sz="0" w:space="0" w:color="auto"/>
        <w:left w:val="none" w:sz="0" w:space="0" w:color="auto"/>
        <w:bottom w:val="none" w:sz="0" w:space="0" w:color="auto"/>
        <w:right w:val="none" w:sz="0" w:space="0" w:color="auto"/>
      </w:divBdr>
    </w:div>
    <w:div w:id="2056922558">
      <w:bodyDiv w:val="1"/>
      <w:marLeft w:val="0"/>
      <w:marRight w:val="0"/>
      <w:marTop w:val="0"/>
      <w:marBottom w:val="0"/>
      <w:divBdr>
        <w:top w:val="none" w:sz="0" w:space="0" w:color="auto"/>
        <w:left w:val="none" w:sz="0" w:space="0" w:color="auto"/>
        <w:bottom w:val="none" w:sz="0" w:space="0" w:color="auto"/>
        <w:right w:val="none" w:sz="0" w:space="0" w:color="auto"/>
      </w:divBdr>
    </w:div>
    <w:div w:id="2060543693">
      <w:bodyDiv w:val="1"/>
      <w:marLeft w:val="0"/>
      <w:marRight w:val="0"/>
      <w:marTop w:val="0"/>
      <w:marBottom w:val="0"/>
      <w:divBdr>
        <w:top w:val="none" w:sz="0" w:space="0" w:color="auto"/>
        <w:left w:val="none" w:sz="0" w:space="0" w:color="auto"/>
        <w:bottom w:val="none" w:sz="0" w:space="0" w:color="auto"/>
        <w:right w:val="none" w:sz="0" w:space="0" w:color="auto"/>
      </w:divBdr>
    </w:div>
    <w:div w:id="2060931582">
      <w:bodyDiv w:val="1"/>
      <w:marLeft w:val="0"/>
      <w:marRight w:val="0"/>
      <w:marTop w:val="0"/>
      <w:marBottom w:val="0"/>
      <w:divBdr>
        <w:top w:val="none" w:sz="0" w:space="0" w:color="auto"/>
        <w:left w:val="none" w:sz="0" w:space="0" w:color="auto"/>
        <w:bottom w:val="none" w:sz="0" w:space="0" w:color="auto"/>
        <w:right w:val="none" w:sz="0" w:space="0" w:color="auto"/>
      </w:divBdr>
    </w:div>
    <w:div w:id="2060936558">
      <w:bodyDiv w:val="1"/>
      <w:marLeft w:val="0"/>
      <w:marRight w:val="0"/>
      <w:marTop w:val="0"/>
      <w:marBottom w:val="0"/>
      <w:divBdr>
        <w:top w:val="none" w:sz="0" w:space="0" w:color="auto"/>
        <w:left w:val="none" w:sz="0" w:space="0" w:color="auto"/>
        <w:bottom w:val="none" w:sz="0" w:space="0" w:color="auto"/>
        <w:right w:val="none" w:sz="0" w:space="0" w:color="auto"/>
      </w:divBdr>
    </w:div>
    <w:div w:id="2062164846">
      <w:bodyDiv w:val="1"/>
      <w:marLeft w:val="0"/>
      <w:marRight w:val="0"/>
      <w:marTop w:val="0"/>
      <w:marBottom w:val="0"/>
      <w:divBdr>
        <w:top w:val="none" w:sz="0" w:space="0" w:color="auto"/>
        <w:left w:val="none" w:sz="0" w:space="0" w:color="auto"/>
        <w:bottom w:val="none" w:sz="0" w:space="0" w:color="auto"/>
        <w:right w:val="none" w:sz="0" w:space="0" w:color="auto"/>
      </w:divBdr>
    </w:div>
    <w:div w:id="2065567199">
      <w:bodyDiv w:val="1"/>
      <w:marLeft w:val="0"/>
      <w:marRight w:val="0"/>
      <w:marTop w:val="0"/>
      <w:marBottom w:val="0"/>
      <w:divBdr>
        <w:top w:val="none" w:sz="0" w:space="0" w:color="auto"/>
        <w:left w:val="none" w:sz="0" w:space="0" w:color="auto"/>
        <w:bottom w:val="none" w:sz="0" w:space="0" w:color="auto"/>
        <w:right w:val="none" w:sz="0" w:space="0" w:color="auto"/>
      </w:divBdr>
    </w:div>
    <w:div w:id="2066417021">
      <w:bodyDiv w:val="1"/>
      <w:marLeft w:val="0"/>
      <w:marRight w:val="0"/>
      <w:marTop w:val="0"/>
      <w:marBottom w:val="0"/>
      <w:divBdr>
        <w:top w:val="none" w:sz="0" w:space="0" w:color="auto"/>
        <w:left w:val="none" w:sz="0" w:space="0" w:color="auto"/>
        <w:bottom w:val="none" w:sz="0" w:space="0" w:color="auto"/>
        <w:right w:val="none" w:sz="0" w:space="0" w:color="auto"/>
      </w:divBdr>
    </w:div>
    <w:div w:id="2066565436">
      <w:bodyDiv w:val="1"/>
      <w:marLeft w:val="0"/>
      <w:marRight w:val="0"/>
      <w:marTop w:val="0"/>
      <w:marBottom w:val="0"/>
      <w:divBdr>
        <w:top w:val="none" w:sz="0" w:space="0" w:color="auto"/>
        <w:left w:val="none" w:sz="0" w:space="0" w:color="auto"/>
        <w:bottom w:val="none" w:sz="0" w:space="0" w:color="auto"/>
        <w:right w:val="none" w:sz="0" w:space="0" w:color="auto"/>
      </w:divBdr>
    </w:div>
    <w:div w:id="2068869701">
      <w:bodyDiv w:val="1"/>
      <w:marLeft w:val="0"/>
      <w:marRight w:val="0"/>
      <w:marTop w:val="0"/>
      <w:marBottom w:val="0"/>
      <w:divBdr>
        <w:top w:val="none" w:sz="0" w:space="0" w:color="auto"/>
        <w:left w:val="none" w:sz="0" w:space="0" w:color="auto"/>
        <w:bottom w:val="none" w:sz="0" w:space="0" w:color="auto"/>
        <w:right w:val="none" w:sz="0" w:space="0" w:color="auto"/>
      </w:divBdr>
    </w:div>
    <w:div w:id="2069568702">
      <w:bodyDiv w:val="1"/>
      <w:marLeft w:val="0"/>
      <w:marRight w:val="0"/>
      <w:marTop w:val="0"/>
      <w:marBottom w:val="0"/>
      <w:divBdr>
        <w:top w:val="none" w:sz="0" w:space="0" w:color="auto"/>
        <w:left w:val="none" w:sz="0" w:space="0" w:color="auto"/>
        <w:bottom w:val="none" w:sz="0" w:space="0" w:color="auto"/>
        <w:right w:val="none" w:sz="0" w:space="0" w:color="auto"/>
      </w:divBdr>
    </w:div>
    <w:div w:id="2070298131">
      <w:bodyDiv w:val="1"/>
      <w:marLeft w:val="0"/>
      <w:marRight w:val="0"/>
      <w:marTop w:val="0"/>
      <w:marBottom w:val="0"/>
      <w:divBdr>
        <w:top w:val="none" w:sz="0" w:space="0" w:color="auto"/>
        <w:left w:val="none" w:sz="0" w:space="0" w:color="auto"/>
        <w:bottom w:val="none" w:sz="0" w:space="0" w:color="auto"/>
        <w:right w:val="none" w:sz="0" w:space="0" w:color="auto"/>
      </w:divBdr>
    </w:div>
    <w:div w:id="2074037901">
      <w:bodyDiv w:val="1"/>
      <w:marLeft w:val="0"/>
      <w:marRight w:val="0"/>
      <w:marTop w:val="0"/>
      <w:marBottom w:val="0"/>
      <w:divBdr>
        <w:top w:val="none" w:sz="0" w:space="0" w:color="auto"/>
        <w:left w:val="none" w:sz="0" w:space="0" w:color="auto"/>
        <w:bottom w:val="none" w:sz="0" w:space="0" w:color="auto"/>
        <w:right w:val="none" w:sz="0" w:space="0" w:color="auto"/>
      </w:divBdr>
    </w:div>
    <w:div w:id="2074427432">
      <w:bodyDiv w:val="1"/>
      <w:marLeft w:val="0"/>
      <w:marRight w:val="0"/>
      <w:marTop w:val="0"/>
      <w:marBottom w:val="0"/>
      <w:divBdr>
        <w:top w:val="none" w:sz="0" w:space="0" w:color="auto"/>
        <w:left w:val="none" w:sz="0" w:space="0" w:color="auto"/>
        <w:bottom w:val="none" w:sz="0" w:space="0" w:color="auto"/>
        <w:right w:val="none" w:sz="0" w:space="0" w:color="auto"/>
      </w:divBdr>
    </w:div>
    <w:div w:id="2075539465">
      <w:bodyDiv w:val="1"/>
      <w:marLeft w:val="0"/>
      <w:marRight w:val="0"/>
      <w:marTop w:val="0"/>
      <w:marBottom w:val="0"/>
      <w:divBdr>
        <w:top w:val="none" w:sz="0" w:space="0" w:color="auto"/>
        <w:left w:val="none" w:sz="0" w:space="0" w:color="auto"/>
        <w:bottom w:val="none" w:sz="0" w:space="0" w:color="auto"/>
        <w:right w:val="none" w:sz="0" w:space="0" w:color="auto"/>
      </w:divBdr>
    </w:div>
    <w:div w:id="2075540634">
      <w:bodyDiv w:val="1"/>
      <w:marLeft w:val="0"/>
      <w:marRight w:val="0"/>
      <w:marTop w:val="0"/>
      <w:marBottom w:val="0"/>
      <w:divBdr>
        <w:top w:val="none" w:sz="0" w:space="0" w:color="auto"/>
        <w:left w:val="none" w:sz="0" w:space="0" w:color="auto"/>
        <w:bottom w:val="none" w:sz="0" w:space="0" w:color="auto"/>
        <w:right w:val="none" w:sz="0" w:space="0" w:color="auto"/>
      </w:divBdr>
    </w:div>
    <w:div w:id="2078672854">
      <w:bodyDiv w:val="1"/>
      <w:marLeft w:val="0"/>
      <w:marRight w:val="0"/>
      <w:marTop w:val="0"/>
      <w:marBottom w:val="0"/>
      <w:divBdr>
        <w:top w:val="none" w:sz="0" w:space="0" w:color="auto"/>
        <w:left w:val="none" w:sz="0" w:space="0" w:color="auto"/>
        <w:bottom w:val="none" w:sz="0" w:space="0" w:color="auto"/>
        <w:right w:val="none" w:sz="0" w:space="0" w:color="auto"/>
      </w:divBdr>
    </w:div>
    <w:div w:id="2080901008">
      <w:bodyDiv w:val="1"/>
      <w:marLeft w:val="0"/>
      <w:marRight w:val="0"/>
      <w:marTop w:val="0"/>
      <w:marBottom w:val="0"/>
      <w:divBdr>
        <w:top w:val="none" w:sz="0" w:space="0" w:color="auto"/>
        <w:left w:val="none" w:sz="0" w:space="0" w:color="auto"/>
        <w:bottom w:val="none" w:sz="0" w:space="0" w:color="auto"/>
        <w:right w:val="none" w:sz="0" w:space="0" w:color="auto"/>
      </w:divBdr>
    </w:div>
    <w:div w:id="2083481848">
      <w:bodyDiv w:val="1"/>
      <w:marLeft w:val="0"/>
      <w:marRight w:val="0"/>
      <w:marTop w:val="0"/>
      <w:marBottom w:val="0"/>
      <w:divBdr>
        <w:top w:val="none" w:sz="0" w:space="0" w:color="auto"/>
        <w:left w:val="none" w:sz="0" w:space="0" w:color="auto"/>
        <w:bottom w:val="none" w:sz="0" w:space="0" w:color="auto"/>
        <w:right w:val="none" w:sz="0" w:space="0" w:color="auto"/>
      </w:divBdr>
    </w:div>
    <w:div w:id="2092434607">
      <w:bodyDiv w:val="1"/>
      <w:marLeft w:val="0"/>
      <w:marRight w:val="0"/>
      <w:marTop w:val="0"/>
      <w:marBottom w:val="0"/>
      <w:divBdr>
        <w:top w:val="none" w:sz="0" w:space="0" w:color="auto"/>
        <w:left w:val="none" w:sz="0" w:space="0" w:color="auto"/>
        <w:bottom w:val="none" w:sz="0" w:space="0" w:color="auto"/>
        <w:right w:val="none" w:sz="0" w:space="0" w:color="auto"/>
      </w:divBdr>
    </w:div>
    <w:div w:id="2093232222">
      <w:bodyDiv w:val="1"/>
      <w:marLeft w:val="0"/>
      <w:marRight w:val="0"/>
      <w:marTop w:val="0"/>
      <w:marBottom w:val="0"/>
      <w:divBdr>
        <w:top w:val="none" w:sz="0" w:space="0" w:color="auto"/>
        <w:left w:val="none" w:sz="0" w:space="0" w:color="auto"/>
        <w:bottom w:val="none" w:sz="0" w:space="0" w:color="auto"/>
        <w:right w:val="none" w:sz="0" w:space="0" w:color="auto"/>
      </w:divBdr>
    </w:div>
    <w:div w:id="2095858913">
      <w:bodyDiv w:val="1"/>
      <w:marLeft w:val="0"/>
      <w:marRight w:val="0"/>
      <w:marTop w:val="0"/>
      <w:marBottom w:val="0"/>
      <w:divBdr>
        <w:top w:val="none" w:sz="0" w:space="0" w:color="auto"/>
        <w:left w:val="none" w:sz="0" w:space="0" w:color="auto"/>
        <w:bottom w:val="none" w:sz="0" w:space="0" w:color="auto"/>
        <w:right w:val="none" w:sz="0" w:space="0" w:color="auto"/>
      </w:divBdr>
    </w:div>
    <w:div w:id="2096122488">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099671411">
      <w:bodyDiv w:val="1"/>
      <w:marLeft w:val="0"/>
      <w:marRight w:val="0"/>
      <w:marTop w:val="0"/>
      <w:marBottom w:val="0"/>
      <w:divBdr>
        <w:top w:val="none" w:sz="0" w:space="0" w:color="auto"/>
        <w:left w:val="none" w:sz="0" w:space="0" w:color="auto"/>
        <w:bottom w:val="none" w:sz="0" w:space="0" w:color="auto"/>
        <w:right w:val="none" w:sz="0" w:space="0" w:color="auto"/>
      </w:divBdr>
    </w:div>
    <w:div w:id="2100716860">
      <w:bodyDiv w:val="1"/>
      <w:marLeft w:val="0"/>
      <w:marRight w:val="0"/>
      <w:marTop w:val="0"/>
      <w:marBottom w:val="0"/>
      <w:divBdr>
        <w:top w:val="none" w:sz="0" w:space="0" w:color="auto"/>
        <w:left w:val="none" w:sz="0" w:space="0" w:color="auto"/>
        <w:bottom w:val="none" w:sz="0" w:space="0" w:color="auto"/>
        <w:right w:val="none" w:sz="0" w:space="0" w:color="auto"/>
      </w:divBdr>
    </w:div>
    <w:div w:id="2100901736">
      <w:bodyDiv w:val="1"/>
      <w:marLeft w:val="0"/>
      <w:marRight w:val="0"/>
      <w:marTop w:val="0"/>
      <w:marBottom w:val="0"/>
      <w:divBdr>
        <w:top w:val="none" w:sz="0" w:space="0" w:color="auto"/>
        <w:left w:val="none" w:sz="0" w:space="0" w:color="auto"/>
        <w:bottom w:val="none" w:sz="0" w:space="0" w:color="auto"/>
        <w:right w:val="none" w:sz="0" w:space="0" w:color="auto"/>
      </w:divBdr>
      <w:divsChild>
        <w:div w:id="2129426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8959659">
      <w:bodyDiv w:val="1"/>
      <w:marLeft w:val="0"/>
      <w:marRight w:val="0"/>
      <w:marTop w:val="0"/>
      <w:marBottom w:val="0"/>
      <w:divBdr>
        <w:top w:val="none" w:sz="0" w:space="0" w:color="auto"/>
        <w:left w:val="none" w:sz="0" w:space="0" w:color="auto"/>
        <w:bottom w:val="none" w:sz="0" w:space="0" w:color="auto"/>
        <w:right w:val="none" w:sz="0" w:space="0" w:color="auto"/>
      </w:divBdr>
    </w:div>
    <w:div w:id="2112894738">
      <w:bodyDiv w:val="1"/>
      <w:marLeft w:val="0"/>
      <w:marRight w:val="0"/>
      <w:marTop w:val="0"/>
      <w:marBottom w:val="0"/>
      <w:divBdr>
        <w:top w:val="none" w:sz="0" w:space="0" w:color="auto"/>
        <w:left w:val="none" w:sz="0" w:space="0" w:color="auto"/>
        <w:bottom w:val="none" w:sz="0" w:space="0" w:color="auto"/>
        <w:right w:val="none" w:sz="0" w:space="0" w:color="auto"/>
      </w:divBdr>
    </w:div>
    <w:div w:id="2115392408">
      <w:bodyDiv w:val="1"/>
      <w:marLeft w:val="0"/>
      <w:marRight w:val="0"/>
      <w:marTop w:val="0"/>
      <w:marBottom w:val="0"/>
      <w:divBdr>
        <w:top w:val="none" w:sz="0" w:space="0" w:color="auto"/>
        <w:left w:val="none" w:sz="0" w:space="0" w:color="auto"/>
        <w:bottom w:val="none" w:sz="0" w:space="0" w:color="auto"/>
        <w:right w:val="none" w:sz="0" w:space="0" w:color="auto"/>
      </w:divBdr>
    </w:div>
    <w:div w:id="2115787032">
      <w:bodyDiv w:val="1"/>
      <w:marLeft w:val="0"/>
      <w:marRight w:val="0"/>
      <w:marTop w:val="0"/>
      <w:marBottom w:val="0"/>
      <w:divBdr>
        <w:top w:val="none" w:sz="0" w:space="0" w:color="auto"/>
        <w:left w:val="none" w:sz="0" w:space="0" w:color="auto"/>
        <w:bottom w:val="none" w:sz="0" w:space="0" w:color="auto"/>
        <w:right w:val="none" w:sz="0" w:space="0" w:color="auto"/>
      </w:divBdr>
    </w:div>
    <w:div w:id="2119056600">
      <w:bodyDiv w:val="1"/>
      <w:marLeft w:val="0"/>
      <w:marRight w:val="0"/>
      <w:marTop w:val="0"/>
      <w:marBottom w:val="0"/>
      <w:divBdr>
        <w:top w:val="none" w:sz="0" w:space="0" w:color="auto"/>
        <w:left w:val="none" w:sz="0" w:space="0" w:color="auto"/>
        <w:bottom w:val="none" w:sz="0" w:space="0" w:color="auto"/>
        <w:right w:val="none" w:sz="0" w:space="0" w:color="auto"/>
      </w:divBdr>
    </w:div>
    <w:div w:id="2121803467">
      <w:bodyDiv w:val="1"/>
      <w:marLeft w:val="0"/>
      <w:marRight w:val="0"/>
      <w:marTop w:val="0"/>
      <w:marBottom w:val="0"/>
      <w:divBdr>
        <w:top w:val="none" w:sz="0" w:space="0" w:color="auto"/>
        <w:left w:val="none" w:sz="0" w:space="0" w:color="auto"/>
        <w:bottom w:val="none" w:sz="0" w:space="0" w:color="auto"/>
        <w:right w:val="none" w:sz="0" w:space="0" w:color="auto"/>
      </w:divBdr>
    </w:div>
    <w:div w:id="2123379269">
      <w:bodyDiv w:val="1"/>
      <w:marLeft w:val="0"/>
      <w:marRight w:val="0"/>
      <w:marTop w:val="0"/>
      <w:marBottom w:val="0"/>
      <w:divBdr>
        <w:top w:val="none" w:sz="0" w:space="0" w:color="auto"/>
        <w:left w:val="none" w:sz="0" w:space="0" w:color="auto"/>
        <w:bottom w:val="none" w:sz="0" w:space="0" w:color="auto"/>
        <w:right w:val="none" w:sz="0" w:space="0" w:color="auto"/>
      </w:divBdr>
    </w:div>
    <w:div w:id="2124766914">
      <w:bodyDiv w:val="1"/>
      <w:marLeft w:val="0"/>
      <w:marRight w:val="0"/>
      <w:marTop w:val="0"/>
      <w:marBottom w:val="0"/>
      <w:divBdr>
        <w:top w:val="none" w:sz="0" w:space="0" w:color="auto"/>
        <w:left w:val="none" w:sz="0" w:space="0" w:color="auto"/>
        <w:bottom w:val="none" w:sz="0" w:space="0" w:color="auto"/>
        <w:right w:val="none" w:sz="0" w:space="0" w:color="auto"/>
      </w:divBdr>
    </w:div>
    <w:div w:id="2124809067">
      <w:bodyDiv w:val="1"/>
      <w:marLeft w:val="0"/>
      <w:marRight w:val="0"/>
      <w:marTop w:val="0"/>
      <w:marBottom w:val="0"/>
      <w:divBdr>
        <w:top w:val="none" w:sz="0" w:space="0" w:color="auto"/>
        <w:left w:val="none" w:sz="0" w:space="0" w:color="auto"/>
        <w:bottom w:val="none" w:sz="0" w:space="0" w:color="auto"/>
        <w:right w:val="none" w:sz="0" w:space="0" w:color="auto"/>
      </w:divBdr>
    </w:div>
    <w:div w:id="2133132651">
      <w:bodyDiv w:val="1"/>
      <w:marLeft w:val="0"/>
      <w:marRight w:val="0"/>
      <w:marTop w:val="0"/>
      <w:marBottom w:val="0"/>
      <w:divBdr>
        <w:top w:val="none" w:sz="0" w:space="0" w:color="auto"/>
        <w:left w:val="none" w:sz="0" w:space="0" w:color="auto"/>
        <w:bottom w:val="none" w:sz="0" w:space="0" w:color="auto"/>
        <w:right w:val="none" w:sz="0" w:space="0" w:color="auto"/>
      </w:divBdr>
    </w:div>
    <w:div w:id="2136019539">
      <w:bodyDiv w:val="1"/>
      <w:marLeft w:val="0"/>
      <w:marRight w:val="0"/>
      <w:marTop w:val="0"/>
      <w:marBottom w:val="0"/>
      <w:divBdr>
        <w:top w:val="none" w:sz="0" w:space="0" w:color="auto"/>
        <w:left w:val="none" w:sz="0" w:space="0" w:color="auto"/>
        <w:bottom w:val="none" w:sz="0" w:space="0" w:color="auto"/>
        <w:right w:val="none" w:sz="0" w:space="0" w:color="auto"/>
      </w:divBdr>
    </w:div>
    <w:div w:id="2136829931">
      <w:bodyDiv w:val="1"/>
      <w:marLeft w:val="0"/>
      <w:marRight w:val="0"/>
      <w:marTop w:val="0"/>
      <w:marBottom w:val="0"/>
      <w:divBdr>
        <w:top w:val="none" w:sz="0" w:space="0" w:color="auto"/>
        <w:left w:val="none" w:sz="0" w:space="0" w:color="auto"/>
        <w:bottom w:val="none" w:sz="0" w:space="0" w:color="auto"/>
        <w:right w:val="none" w:sz="0" w:space="0" w:color="auto"/>
      </w:divBdr>
    </w:div>
    <w:div w:id="2140025319">
      <w:bodyDiv w:val="1"/>
      <w:marLeft w:val="0"/>
      <w:marRight w:val="0"/>
      <w:marTop w:val="0"/>
      <w:marBottom w:val="0"/>
      <w:divBdr>
        <w:top w:val="none" w:sz="0" w:space="0" w:color="auto"/>
        <w:left w:val="none" w:sz="0" w:space="0" w:color="auto"/>
        <w:bottom w:val="none" w:sz="0" w:space="0" w:color="auto"/>
        <w:right w:val="none" w:sz="0" w:space="0" w:color="auto"/>
      </w:divBdr>
    </w:div>
    <w:div w:id="2142264041">
      <w:bodyDiv w:val="1"/>
      <w:marLeft w:val="0"/>
      <w:marRight w:val="0"/>
      <w:marTop w:val="0"/>
      <w:marBottom w:val="0"/>
      <w:divBdr>
        <w:top w:val="none" w:sz="0" w:space="0" w:color="auto"/>
        <w:left w:val="none" w:sz="0" w:space="0" w:color="auto"/>
        <w:bottom w:val="none" w:sz="0" w:space="0" w:color="auto"/>
        <w:right w:val="none" w:sz="0" w:space="0" w:color="auto"/>
      </w:divBdr>
    </w:div>
    <w:div w:id="2142570474">
      <w:bodyDiv w:val="1"/>
      <w:marLeft w:val="0"/>
      <w:marRight w:val="0"/>
      <w:marTop w:val="0"/>
      <w:marBottom w:val="0"/>
      <w:divBdr>
        <w:top w:val="none" w:sz="0" w:space="0" w:color="auto"/>
        <w:left w:val="none" w:sz="0" w:space="0" w:color="auto"/>
        <w:bottom w:val="none" w:sz="0" w:space="0" w:color="auto"/>
        <w:right w:val="none" w:sz="0" w:space="0" w:color="auto"/>
      </w:divBdr>
    </w:div>
    <w:div w:id="2146115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8.png"/><Relationship Id="rId42" Type="http://schemas.openxmlformats.org/officeDocument/2006/relationships/chart" Target="charts/chart3.xml"/><Relationship Id="rId47" Type="http://schemas.microsoft.com/office/2007/relationships/hdphoto" Target="media/hdphoto8.wdp"/><Relationship Id="rId63" Type="http://schemas.openxmlformats.org/officeDocument/2006/relationships/hyperlink" Target="https://doi.org/10.18601/16577175.n31.09" TargetMode="External"/><Relationship Id="rId68" Type="http://schemas.openxmlformats.org/officeDocument/2006/relationships/hyperlink" Target="http://www.secretariasenado.gov.co/senado/basedoc/ley_0599_2000.html" TargetMode="External"/><Relationship Id="rId84" Type="http://schemas.openxmlformats.org/officeDocument/2006/relationships/hyperlink" Target="https://www.corteconstitucional.gov.co/relatoria/2021/C-203-21.htm" TargetMode="External"/><Relationship Id="rId89" Type="http://schemas.openxmlformats.org/officeDocument/2006/relationships/hyperlink" Target="https://doi.org/10.29105/rpgyc10.19-247" TargetMode="External"/><Relationship Id="rId16" Type="http://schemas.openxmlformats.org/officeDocument/2006/relationships/image" Target="media/image4.png"/><Relationship Id="rId11" Type="http://schemas.openxmlformats.org/officeDocument/2006/relationships/image" Target="media/image3.png"/><Relationship Id="rId32" Type="http://schemas.openxmlformats.org/officeDocument/2006/relationships/image" Target="media/image13.png"/><Relationship Id="rId37" Type="http://schemas.microsoft.com/office/2007/relationships/hdphoto" Target="media/hdphoto6.wdp"/><Relationship Id="rId53" Type="http://schemas.openxmlformats.org/officeDocument/2006/relationships/hyperlink" Target="https://www.funcionpublica.gov.co/eva/gestornormativo/norma.php?i=168506" TargetMode="External"/><Relationship Id="rId58" Type="http://schemas.openxmlformats.org/officeDocument/2006/relationships/hyperlink" Target="https://normograma.dian.gov.co/dian/compilacion/docs/oficio_dian_905545_2021.htm" TargetMode="External"/><Relationship Id="rId74" Type="http://schemas.openxmlformats.org/officeDocument/2006/relationships/hyperlink" Target="https://www.suin-juriscol.gov.co/viewDocument.asp?id=30038705" TargetMode="External"/><Relationship Id="rId79" Type="http://schemas.openxmlformats.org/officeDocument/2006/relationships/hyperlink" Target="https://doi.org/10.18601/16926722.n13.10" TargetMode="External"/><Relationship Id="rId5" Type="http://schemas.openxmlformats.org/officeDocument/2006/relationships/webSettings" Target="webSettings.xml"/><Relationship Id="rId90" Type="http://schemas.openxmlformats.org/officeDocument/2006/relationships/footer" Target="footer7.xml"/><Relationship Id="rId95" Type="http://schemas.openxmlformats.org/officeDocument/2006/relationships/theme" Target="theme/theme1.xml"/><Relationship Id="rId22" Type="http://schemas.openxmlformats.org/officeDocument/2006/relationships/image" Target="media/image9.jpeg"/><Relationship Id="rId27" Type="http://schemas.openxmlformats.org/officeDocument/2006/relationships/footer" Target="footer4.xml"/><Relationship Id="rId43" Type="http://schemas.openxmlformats.org/officeDocument/2006/relationships/chart" Target="charts/chart4.xml"/><Relationship Id="rId48" Type="http://schemas.openxmlformats.org/officeDocument/2006/relationships/hyperlink" Target="https://www.suin-juriscol.gov.co/viewDocument.asp?ruta=Constitucion/1687988" TargetMode="External"/><Relationship Id="rId64" Type="http://schemas.openxmlformats.org/officeDocument/2006/relationships/hyperlink" Target="https://www.derecho.uba.ar/institucional/centro-estudios-der-tributario/revista/revista-Tributario-Ed0001.pdf" TargetMode="External"/><Relationship Id="rId69" Type="http://schemas.openxmlformats.org/officeDocument/2006/relationships/hyperlink" Target="https://www.suin-juriscol.gov.co/viewDocument.asp?id=1673244" TargetMode="External"/><Relationship Id="rId8" Type="http://schemas.openxmlformats.org/officeDocument/2006/relationships/image" Target="media/image1.png"/><Relationship Id="rId51" Type="http://schemas.openxmlformats.org/officeDocument/2006/relationships/hyperlink" Target="https://www.suin-juriscol.gov.co/viewDocument.asp?id=1326395" TargetMode="External"/><Relationship Id="rId72" Type="http://schemas.openxmlformats.org/officeDocument/2006/relationships/hyperlink" Target="http://www.secretariasenado.gov.co/senado/basedoc/ley_1819_2016.html" TargetMode="External"/><Relationship Id="rId80" Type="http://schemas.openxmlformats.org/officeDocument/2006/relationships/hyperlink" Target="https://doi.org/10.18601/16926722.n11.03" TargetMode="External"/><Relationship Id="rId85" Type="http://schemas.openxmlformats.org/officeDocument/2006/relationships/hyperlink" Target="https://www.suin-juriscol.gov.co/viewDocument.asp?id=20043004"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ditorialum.umanizales.edu.co/" TargetMode="External"/><Relationship Id="rId17" Type="http://schemas.openxmlformats.org/officeDocument/2006/relationships/image" Target="media/image5.png"/><Relationship Id="rId25" Type="http://schemas.openxmlformats.org/officeDocument/2006/relationships/image" Target="media/image11.png"/><Relationship Id="rId33" Type="http://schemas.microsoft.com/office/2007/relationships/hdphoto" Target="media/hdphoto4.wdp"/><Relationship Id="rId38" Type="http://schemas.openxmlformats.org/officeDocument/2006/relationships/image" Target="media/image16.png"/><Relationship Id="rId46" Type="http://schemas.openxmlformats.org/officeDocument/2006/relationships/image" Target="media/image17.png"/><Relationship Id="rId59" Type="http://schemas.openxmlformats.org/officeDocument/2006/relationships/hyperlink" Target="https://normograma.dian.gov.co/dian/compilacion/docs/oficio_dian_913636_2021.htm" TargetMode="External"/><Relationship Id="rId67" Type="http://schemas.openxmlformats.org/officeDocument/2006/relationships/hyperlink" Target="https://www.suin-juriscol.gov.co/viewDocument.asp?ruta=Leyes/1593818" TargetMode="External"/><Relationship Id="rId20" Type="http://schemas.openxmlformats.org/officeDocument/2006/relationships/image" Target="media/image7.png"/><Relationship Id="rId41" Type="http://schemas.openxmlformats.org/officeDocument/2006/relationships/chart" Target="charts/chart2.xml"/><Relationship Id="rId54" Type="http://schemas.openxmlformats.org/officeDocument/2006/relationships/hyperlink" Target="https://normograma.dian.gov.co/dian/compilacion/docs/oficio_dian_29278_2019.htm" TargetMode="External"/><Relationship Id="rId62" Type="http://schemas.openxmlformats.org/officeDocument/2006/relationships/hyperlink" Target="https://normograma.dian.gov.co/dian/compilacion/docs/oficio_dian_16224_2025.htm" TargetMode="External"/><Relationship Id="rId70" Type="http://schemas.openxmlformats.org/officeDocument/2006/relationships/hyperlink" Target="https://www.suin-juriscol.gov.co/viewDocument.asp?id=1674203" TargetMode="External"/><Relationship Id="rId75" Type="http://schemas.openxmlformats.org/officeDocument/2006/relationships/hyperlink" Target="https://www.suin-juriscol.gov.co/viewDocument.asp?id=30042704" TargetMode="External"/><Relationship Id="rId83" Type="http://schemas.openxmlformats.org/officeDocument/2006/relationships/hyperlink" Target="https://www.suin-juriscol.gov.co/viewDocument.asp?id=30020062" TargetMode="External"/><Relationship Id="rId88" Type="http://schemas.openxmlformats.org/officeDocument/2006/relationships/hyperlink" Target="https://doi.org/10.29105/rpgyc10.19-247" TargetMode="External"/><Relationship Id="rId9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footer" Target="footer5.xml"/><Relationship Id="rId36" Type="http://schemas.openxmlformats.org/officeDocument/2006/relationships/image" Target="media/image15.png"/><Relationship Id="rId49" Type="http://schemas.openxmlformats.org/officeDocument/2006/relationships/hyperlink" Target="https://www.suin-juriscol.gov.co/viewDocument.asp?id=1132325" TargetMode="External"/><Relationship Id="rId57" Type="http://schemas.openxmlformats.org/officeDocument/2006/relationships/hyperlink" Target="https://normograma.dian.gov.co/dian/compilacion/docs/oficio_dian_905544_2021.htm" TargetMode="External"/><Relationship Id="rId10" Type="http://schemas.openxmlformats.org/officeDocument/2006/relationships/image" Target="media/image2.jpeg"/><Relationship Id="rId31" Type="http://schemas.microsoft.com/office/2007/relationships/hdphoto" Target="media/hdphoto3.wdp"/><Relationship Id="rId44" Type="http://schemas.openxmlformats.org/officeDocument/2006/relationships/chart" Target="charts/chart5.xml"/><Relationship Id="rId52" Type="http://schemas.openxmlformats.org/officeDocument/2006/relationships/hyperlink" Target="https://www.suin-juriscol.gov.co/viewDocument.asp?id=30008496" TargetMode="External"/><Relationship Id="rId60" Type="http://schemas.openxmlformats.org/officeDocument/2006/relationships/hyperlink" Target="https://normograma.dian.gov.co/dian/compilacion/docs/oficio_dian_4638_2023.htm" TargetMode="External"/><Relationship Id="rId65" Type="http://schemas.openxmlformats.org/officeDocument/2006/relationships/hyperlink" Target="http://www.uestasbcali.edu.co" TargetMode="External"/><Relationship Id="rId73" Type="http://schemas.openxmlformats.org/officeDocument/2006/relationships/hyperlink" Target="http://www.secretariasenado.gov.co/senado/basedoc/ley_1943_2018.html" TargetMode="External"/><Relationship Id="rId78" Type="http://schemas.openxmlformats.org/officeDocument/2006/relationships/hyperlink" Target="https://publicaciones.uexternado.edu.co/gpd-hacienda-publica-9789585060807.html" TargetMode="External"/><Relationship Id="rId81" Type="http://schemas.openxmlformats.org/officeDocument/2006/relationships/hyperlink" Target="https://bdigital.uexternado.edu.co/entities/publication/3ec883d7-845e-490b-82b7-dabaf430d714" TargetMode="External"/><Relationship Id="rId86" Type="http://schemas.openxmlformats.org/officeDocument/2006/relationships/hyperlink" Target="https://www.corteconstitucional.gov.co/relatoria/2000/c-1144-00.htm" TargetMode="External"/><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13" Type="http://schemas.openxmlformats.org/officeDocument/2006/relationships/footer" Target="footer1.xml"/><Relationship Id="rId18" Type="http://schemas.openxmlformats.org/officeDocument/2006/relationships/header" Target="header1.xml"/><Relationship Id="rId39" Type="http://schemas.microsoft.com/office/2007/relationships/hdphoto" Target="media/hdphoto7.wdp"/><Relationship Id="rId34" Type="http://schemas.openxmlformats.org/officeDocument/2006/relationships/image" Target="media/image14.png"/><Relationship Id="rId50" Type="http://schemas.openxmlformats.org/officeDocument/2006/relationships/hyperlink" Target="https://www.suin-juriscol.gov.co/viewDocument.asp?ruta=Decretos/30030430" TargetMode="External"/><Relationship Id="rId55" Type="http://schemas.openxmlformats.org/officeDocument/2006/relationships/hyperlink" Target="https://normograma.dian.gov.co/dian/compilacion/docs/oficio_dian_902639_2020.htm" TargetMode="External"/><Relationship Id="rId76" Type="http://schemas.openxmlformats.org/officeDocument/2006/relationships/hyperlink" Target="http://www.secretariasenado.gov.co/senado/basedoc/ley_2277_2022.htm" TargetMode="External"/><Relationship Id="rId7" Type="http://schemas.openxmlformats.org/officeDocument/2006/relationships/endnotes" Target="endnotes.xml"/><Relationship Id="rId71" Type="http://schemas.openxmlformats.org/officeDocument/2006/relationships/hyperlink" Target="http://www.secretariasenado.gov.co/senado/basedoc/ley_1430_2010.html" TargetMode="External"/><Relationship Id="rId92" Type="http://schemas.openxmlformats.org/officeDocument/2006/relationships/footer" Target="footer9.xml"/><Relationship Id="rId2" Type="http://schemas.openxmlformats.org/officeDocument/2006/relationships/numbering" Target="numbering.xml"/><Relationship Id="rId29" Type="http://schemas.openxmlformats.org/officeDocument/2006/relationships/footer" Target="footer6.xml"/><Relationship Id="rId24" Type="http://schemas.microsoft.com/office/2007/relationships/hdphoto" Target="media/hdphoto1.wdp"/><Relationship Id="rId40" Type="http://schemas.openxmlformats.org/officeDocument/2006/relationships/chart" Target="charts/chart1.xml"/><Relationship Id="rId45" Type="http://schemas.openxmlformats.org/officeDocument/2006/relationships/chart" Target="charts/chart6.xml"/><Relationship Id="rId66" Type="http://schemas.openxmlformats.org/officeDocument/2006/relationships/hyperlink" Target="http://www.cepal.org/apps" TargetMode="External"/><Relationship Id="rId87" Type="http://schemas.openxmlformats.org/officeDocument/2006/relationships/hyperlink" Target="http://www.cepal.org/apps" TargetMode="External"/><Relationship Id="rId61" Type="http://schemas.openxmlformats.org/officeDocument/2006/relationships/hyperlink" Target="https://normograma.dian.gov.co/dian/compilacion/docs/oficio_dian_8678_2024.htm" TargetMode="External"/><Relationship Id="rId82" Type="http://schemas.openxmlformats.org/officeDocument/2006/relationships/hyperlink" Target="https://portalhistorico.ramajudicial.gov.co/documents/84293914/98675837/2019-336+ago.+18-22+sanci%C3%B3n+por+omitir+presentar+declaraci%C3%B3n+de+retenci%C3%B3n.pdf/59bca997-da96-4e10-aedd-59e83ff24cc8" TargetMode="External"/><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image" Target="media/image12.png"/><Relationship Id="rId35" Type="http://schemas.microsoft.com/office/2007/relationships/hdphoto" Target="media/hdphoto5.wdp"/><Relationship Id="rId56" Type="http://schemas.openxmlformats.org/officeDocument/2006/relationships/hyperlink" Target="https://normograma.dian.gov.co/dian/compilacion/docs/oficio_dian_910619_2020.htm" TargetMode="External"/><Relationship Id="rId77" Type="http://schemas.openxmlformats.org/officeDocument/2006/relationships/hyperlink" Target="https://ridum.umanizales.edu.co/items/b87e6da6-c70c-488b-b832-7c6cba710ef1?utm_source=chatgpt.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TESIS%202026\CIFRAS\MOT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esktop\TESIS%202026\CIFRAS\relacion_valores_vs_retenciones_ibague_corregid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esktop\TESIS%202026\CIFRAS\MOT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esktop\TESIS%202026\CIFRAS\analisis_retenciones_ibague_2014_2024_con_declaracion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wnloads\analisis_retenciones_ibague_2014_2024_con_declaracion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ownloads\relacion_valores_vs_retenciones_ibague_corregido.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Denuncias 2014 al 2024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lineChart>
        <c:grouping val="standard"/>
        <c:varyColors val="0"/>
        <c:ser>
          <c:idx val="0"/>
          <c:order val="0"/>
          <c:tx>
            <c:strRef>
              <c:f>Hoja7!$C$16</c:f>
              <c:strCache>
                <c:ptCount val="1"/>
                <c:pt idx="0">
                  <c:v>catidad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Hoja7!$B$17:$B$27</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Hoja7!$C$17:$C$27</c:f>
              <c:numCache>
                <c:formatCode>General</c:formatCode>
                <c:ptCount val="11"/>
                <c:pt idx="0">
                  <c:v>377</c:v>
                </c:pt>
                <c:pt idx="1">
                  <c:v>417</c:v>
                </c:pt>
                <c:pt idx="2">
                  <c:v>401</c:v>
                </c:pt>
                <c:pt idx="3">
                  <c:v>588</c:v>
                </c:pt>
                <c:pt idx="4">
                  <c:v>957</c:v>
                </c:pt>
                <c:pt idx="5">
                  <c:v>864</c:v>
                </c:pt>
                <c:pt idx="6">
                  <c:v>534</c:v>
                </c:pt>
                <c:pt idx="7">
                  <c:v>558</c:v>
                </c:pt>
                <c:pt idx="8">
                  <c:v>633</c:v>
                </c:pt>
                <c:pt idx="9">
                  <c:v>654</c:v>
                </c:pt>
                <c:pt idx="10">
                  <c:v>246</c:v>
                </c:pt>
              </c:numCache>
            </c:numRef>
          </c:val>
          <c:smooth val="0"/>
          <c:extLst>
            <c:ext xmlns:c16="http://schemas.microsoft.com/office/drawing/2014/chart" uri="{C3380CC4-5D6E-409C-BE32-E72D297353CC}">
              <c16:uniqueId val="{00000001-244B-4512-AC93-C892462901D4}"/>
            </c:ext>
          </c:extLst>
        </c:ser>
        <c:dLbls>
          <c:dLblPos val="t"/>
          <c:showLegendKey val="0"/>
          <c:showVal val="1"/>
          <c:showCatName val="0"/>
          <c:showSerName val="0"/>
          <c:showPercent val="0"/>
          <c:showBubbleSize val="0"/>
        </c:dLbls>
        <c:marker val="1"/>
        <c:smooth val="0"/>
        <c:axId val="2126578608"/>
        <c:axId val="2126580272"/>
      </c:lineChart>
      <c:catAx>
        <c:axId val="212657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126580272"/>
        <c:crosses val="autoZero"/>
        <c:auto val="1"/>
        <c:lblAlgn val="ctr"/>
        <c:lblOffset val="100"/>
        <c:noMultiLvlLbl val="0"/>
      </c:catAx>
      <c:valAx>
        <c:axId val="212658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126578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Declaraciones presentadas versus declaraciones denunciadas por la ineficacia</a:t>
            </a:r>
          </a:p>
        </c:rich>
      </c:tx>
      <c:layout>
        <c:manualLayout>
          <c:xMode val="edge"/>
          <c:yMode val="edge"/>
          <c:x val="0.12243744531933508"/>
          <c:y val="2.314814814814814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'Relacion vs retenciones'!$B$41</c:f>
              <c:strCache>
                <c:ptCount val="1"/>
                <c:pt idx="0">
                  <c:v>Total retenciones presentadas</c:v>
                </c:pt>
              </c:strCache>
            </c:strRef>
          </c:tx>
          <c:spPr>
            <a:solidFill>
              <a:schemeClr val="accent1">
                <a:lumMod val="20000"/>
                <a:lumOff val="80000"/>
              </a:schemeClr>
            </a:solidFill>
            <a:ln>
              <a:noFill/>
            </a:ln>
            <a:effectLst/>
          </c:spPr>
          <c:invertIfNegative val="0"/>
          <c:cat>
            <c:numRef>
              <c:f>'Relacion vs retenciones'!$A$42:$A$52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'Relacion vs retenciones'!$B$42:$B$52</c:f>
              <c:numCache>
                <c:formatCode>_-* #,##0_-;\-* #,##0_-;_-* "-"??_-;_-@_-</c:formatCode>
                <c:ptCount val="11"/>
                <c:pt idx="0">
                  <c:v>42575</c:v>
                </c:pt>
                <c:pt idx="1">
                  <c:v>42984</c:v>
                </c:pt>
                <c:pt idx="2">
                  <c:v>44155</c:v>
                </c:pt>
                <c:pt idx="3">
                  <c:v>46865</c:v>
                </c:pt>
                <c:pt idx="4">
                  <c:v>48194</c:v>
                </c:pt>
                <c:pt idx="5">
                  <c:v>51720</c:v>
                </c:pt>
                <c:pt idx="6">
                  <c:v>49096</c:v>
                </c:pt>
                <c:pt idx="7">
                  <c:v>57159</c:v>
                </c:pt>
                <c:pt idx="8">
                  <c:v>60330</c:v>
                </c:pt>
                <c:pt idx="9">
                  <c:v>61247</c:v>
                </c:pt>
                <c:pt idx="10">
                  <c:v>62462</c:v>
                </c:pt>
              </c:numCache>
            </c:numRef>
          </c:val>
          <c:extLst>
            <c:ext xmlns:c16="http://schemas.microsoft.com/office/drawing/2014/chart" uri="{C3380CC4-5D6E-409C-BE32-E72D297353CC}">
              <c16:uniqueId val="{00000000-4FC0-4940-A8F5-3F81F58196C2}"/>
            </c:ext>
          </c:extLst>
        </c:ser>
        <c:dLbls>
          <c:showLegendKey val="0"/>
          <c:showVal val="0"/>
          <c:showCatName val="0"/>
          <c:showSerName val="0"/>
          <c:showPercent val="0"/>
          <c:showBubbleSize val="0"/>
        </c:dLbls>
        <c:gapWidth val="219"/>
        <c:overlap val="-27"/>
        <c:axId val="2088685376"/>
        <c:axId val="2088689120"/>
      </c:barChart>
      <c:lineChart>
        <c:grouping val="standard"/>
        <c:varyColors val="0"/>
        <c:ser>
          <c:idx val="1"/>
          <c:order val="1"/>
          <c:tx>
            <c:strRef>
              <c:f>'Relacion vs retenciones'!$C$41</c:f>
              <c:strCache>
                <c:ptCount val="1"/>
                <c:pt idx="0">
                  <c:v>Porcentaje de Ineficaces denunciadas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'Relacion vs retenciones'!$A$42:$A$52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'Relacion vs retenciones'!$C$42:$C$52</c:f>
              <c:numCache>
                <c:formatCode>0.0%</c:formatCode>
                <c:ptCount val="11"/>
                <c:pt idx="0">
                  <c:v>8.8549618320610691E-3</c:v>
                </c:pt>
                <c:pt idx="1">
                  <c:v>9.7012841987716356E-3</c:v>
                </c:pt>
                <c:pt idx="2">
                  <c:v>9.0816442079039751E-3</c:v>
                </c:pt>
                <c:pt idx="3">
                  <c:v>1.2546676624346527E-2</c:v>
                </c:pt>
                <c:pt idx="4">
                  <c:v>1.9857243640287174E-2</c:v>
                </c:pt>
                <c:pt idx="5">
                  <c:v>1.6705336426914155E-2</c:v>
                </c:pt>
                <c:pt idx="6">
                  <c:v>1.0876649828906631E-2</c:v>
                </c:pt>
                <c:pt idx="7">
                  <c:v>9.7622421665879387E-3</c:v>
                </c:pt>
                <c:pt idx="8">
                  <c:v>1.0492292391844854E-2</c:v>
                </c:pt>
                <c:pt idx="9">
                  <c:v>1.0678074028115664E-2</c:v>
                </c:pt>
                <c:pt idx="10">
                  <c:v>3.9383945438826807E-3</c:v>
                </c:pt>
              </c:numCache>
            </c:numRef>
          </c:val>
          <c:smooth val="0"/>
          <c:extLst>
            <c:ext xmlns:c16="http://schemas.microsoft.com/office/drawing/2014/chart" uri="{C3380CC4-5D6E-409C-BE32-E72D297353CC}">
              <c16:uniqueId val="{00000001-4FC0-4940-A8F5-3F81F58196C2}"/>
            </c:ext>
          </c:extLst>
        </c:ser>
        <c:dLbls>
          <c:showLegendKey val="0"/>
          <c:showVal val="0"/>
          <c:showCatName val="0"/>
          <c:showSerName val="0"/>
          <c:showPercent val="0"/>
          <c:showBubbleSize val="0"/>
        </c:dLbls>
        <c:marker val="1"/>
        <c:smooth val="0"/>
        <c:axId val="2088697856"/>
        <c:axId val="2088693696"/>
      </c:lineChart>
      <c:catAx>
        <c:axId val="208868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89120"/>
        <c:crosses val="autoZero"/>
        <c:auto val="1"/>
        <c:lblAlgn val="ctr"/>
        <c:lblOffset val="100"/>
        <c:noMultiLvlLbl val="0"/>
      </c:catAx>
      <c:valAx>
        <c:axId val="208868912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85376"/>
        <c:crosses val="autoZero"/>
        <c:crossBetween val="between"/>
      </c:valAx>
      <c:valAx>
        <c:axId val="208869369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97856"/>
        <c:crosses val="max"/>
        <c:crossBetween val="between"/>
      </c:valAx>
      <c:catAx>
        <c:axId val="2088697856"/>
        <c:scaling>
          <c:orientation val="minMax"/>
        </c:scaling>
        <c:delete val="1"/>
        <c:axPos val="b"/>
        <c:numFmt formatCode="General" sourceLinked="1"/>
        <c:majorTickMark val="none"/>
        <c:minorTickMark val="none"/>
        <c:tickLblPos val="nextTo"/>
        <c:crossAx val="20886936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Valor sin recaudo por conceptos de retencion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Hoja7!$C$1</c:f>
              <c:strCache>
                <c:ptCount val="1"/>
                <c:pt idx="0">
                  <c:v>Valores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Hoja7!$B$2:$B$12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Hoja7!$C$2:$C$12</c:f>
              <c:numCache>
                <c:formatCode>_-[$$-240A]\ * #,##0_-;\-[$$-240A]\ * #,##0_-;_-[$$-240A]\ * "-"??_-;_-@_-</c:formatCode>
                <c:ptCount val="11"/>
                <c:pt idx="0">
                  <c:v>917207000</c:v>
                </c:pt>
                <c:pt idx="1">
                  <c:v>1085461000</c:v>
                </c:pt>
                <c:pt idx="2">
                  <c:v>881764000</c:v>
                </c:pt>
                <c:pt idx="3">
                  <c:v>1525289200</c:v>
                </c:pt>
                <c:pt idx="4">
                  <c:v>2420581000</c:v>
                </c:pt>
                <c:pt idx="5">
                  <c:v>2528496410</c:v>
                </c:pt>
                <c:pt idx="6">
                  <c:v>957251174</c:v>
                </c:pt>
                <c:pt idx="7">
                  <c:v>1282567233</c:v>
                </c:pt>
                <c:pt idx="8">
                  <c:v>2382484262</c:v>
                </c:pt>
                <c:pt idx="9">
                  <c:v>1888312683</c:v>
                </c:pt>
                <c:pt idx="10">
                  <c:v>580648000</c:v>
                </c:pt>
              </c:numCache>
            </c:numRef>
          </c:val>
          <c:smooth val="0"/>
          <c:extLst>
            <c:ext xmlns:c16="http://schemas.microsoft.com/office/drawing/2014/chart" uri="{C3380CC4-5D6E-409C-BE32-E72D297353CC}">
              <c16:uniqueId val="{00000000-0609-469A-B41C-D7A197492006}"/>
            </c:ext>
          </c:extLst>
        </c:ser>
        <c:dLbls>
          <c:dLblPos val="t"/>
          <c:showLegendKey val="0"/>
          <c:showVal val="1"/>
          <c:showCatName val="0"/>
          <c:showSerName val="0"/>
          <c:showPercent val="0"/>
          <c:showBubbleSize val="0"/>
        </c:dLbls>
        <c:marker val="1"/>
        <c:smooth val="0"/>
        <c:axId val="2126599824"/>
        <c:axId val="2126611888"/>
      </c:lineChart>
      <c:catAx>
        <c:axId val="212659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26611888"/>
        <c:crosses val="autoZero"/>
        <c:auto val="1"/>
        <c:lblAlgn val="ctr"/>
        <c:lblOffset val="100"/>
        <c:noMultiLvlLbl val="0"/>
      </c:catAx>
      <c:valAx>
        <c:axId val="2126611888"/>
        <c:scaling>
          <c:orientation val="minMax"/>
        </c:scaling>
        <c:delete val="0"/>
        <c:axPos val="l"/>
        <c:majorGridlines>
          <c:spPr>
            <a:ln w="9525" cap="flat" cmpd="sng" algn="ctr">
              <a:solidFill>
                <a:schemeClr val="tx1">
                  <a:lumMod val="15000"/>
                  <a:lumOff val="85000"/>
                </a:schemeClr>
              </a:solidFill>
              <a:round/>
            </a:ln>
            <a:effectLst/>
          </c:spPr>
        </c:majorGridlines>
        <c:numFmt formatCode="_-[$$-240A]\ * #,##0_-;\-[$$-240A]\ * #,##0_-;_-[$$-240A]\ *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26599824"/>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Participación de las retenciones en el recaudo total de Ibagué</a:t>
            </a:r>
          </a:p>
        </c:rich>
      </c:tx>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'Serie Ibagué (2)'!$D$49</c:f>
              <c:strCache>
                <c:ptCount val="1"/>
                <c:pt idx="0">
                  <c:v>Retenciones Ibagué (millones $ corrientes)</c:v>
                </c:pt>
              </c:strCache>
            </c:strRef>
          </c:tx>
          <c:spPr>
            <a:solidFill>
              <a:schemeClr val="accent1">
                <a:lumMod val="20000"/>
                <a:lumOff val="80000"/>
              </a:schemeClr>
            </a:solidFill>
            <a:ln>
              <a:noFill/>
            </a:ln>
            <a:effectLst/>
          </c:spPr>
          <c:invertIfNegative val="0"/>
          <c:cat>
            <c:numRef>
              <c:f>'Serie Ibagué (2)'!$C$50:$C$60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'Serie Ibagué (2)'!$D$50:$D$60</c:f>
              <c:numCache>
                <c:formatCode>#,##0.000</c:formatCode>
                <c:ptCount val="11"/>
                <c:pt idx="0">
                  <c:v>128309.04700000001</c:v>
                </c:pt>
                <c:pt idx="1">
                  <c:v>149210</c:v>
                </c:pt>
                <c:pt idx="2">
                  <c:v>161520</c:v>
                </c:pt>
                <c:pt idx="3">
                  <c:v>197309</c:v>
                </c:pt>
                <c:pt idx="4">
                  <c:v>213906</c:v>
                </c:pt>
                <c:pt idx="5">
                  <c:v>290251</c:v>
                </c:pt>
                <c:pt idx="6">
                  <c:v>193504</c:v>
                </c:pt>
                <c:pt idx="7">
                  <c:v>234880.516</c:v>
                </c:pt>
                <c:pt idx="8">
                  <c:v>266847.15299999999</c:v>
                </c:pt>
                <c:pt idx="9">
                  <c:v>311762.77899999998</c:v>
                </c:pt>
                <c:pt idx="10">
                  <c:v>331366.00699999998</c:v>
                </c:pt>
              </c:numCache>
            </c:numRef>
          </c:val>
          <c:extLst>
            <c:ext xmlns:c16="http://schemas.microsoft.com/office/drawing/2014/chart" uri="{C3380CC4-5D6E-409C-BE32-E72D297353CC}">
              <c16:uniqueId val="{00000000-6D67-49A1-99D4-06A9F0656B65}"/>
            </c:ext>
          </c:extLst>
        </c:ser>
        <c:dLbls>
          <c:showLegendKey val="0"/>
          <c:showVal val="0"/>
          <c:showCatName val="0"/>
          <c:showSerName val="0"/>
          <c:showPercent val="0"/>
          <c:showBubbleSize val="0"/>
        </c:dLbls>
        <c:gapWidth val="219"/>
        <c:overlap val="-27"/>
        <c:axId val="2088694944"/>
        <c:axId val="2088692448"/>
      </c:barChart>
      <c:lineChart>
        <c:grouping val="standard"/>
        <c:varyColors val="0"/>
        <c:ser>
          <c:idx val="1"/>
          <c:order val="1"/>
          <c:tx>
            <c:strRef>
              <c:f>'Serie Ibagué (2)'!$E$49</c:f>
              <c:strCache>
                <c:ptCount val="1"/>
                <c:pt idx="0">
                  <c:v>Participación retenciones en total Ibagué (%)</c:v>
                </c:pt>
              </c:strCache>
            </c:strRef>
          </c:tx>
          <c:spPr>
            <a:ln w="28575" cap="rnd">
              <a:solidFill>
                <a:schemeClr val="accent1">
                  <a:lumMod val="50000"/>
                </a:schemeClr>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'Serie Ibagué (2)'!$C$50:$C$60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'Serie Ibagué (2)'!$E$50:$E$60</c:f>
              <c:numCache>
                <c:formatCode>0%</c:formatCode>
                <c:ptCount val="11"/>
                <c:pt idx="0">
                  <c:v>0.3630012796406461</c:v>
                </c:pt>
                <c:pt idx="1">
                  <c:v>0.37713863971266592</c:v>
                </c:pt>
                <c:pt idx="2">
                  <c:v>0.36729459063662578</c:v>
                </c:pt>
                <c:pt idx="3">
                  <c:v>0.40537170047007004</c:v>
                </c:pt>
                <c:pt idx="4">
                  <c:v>0.43342836475043617</c:v>
                </c:pt>
                <c:pt idx="5">
                  <c:v>0.47695192209729947</c:v>
                </c:pt>
                <c:pt idx="6">
                  <c:v>0.35410524851818709</c:v>
                </c:pt>
                <c:pt idx="7">
                  <c:v>0.42376232031934352</c:v>
                </c:pt>
                <c:pt idx="8">
                  <c:v>0.42587824744027009</c:v>
                </c:pt>
                <c:pt idx="9">
                  <c:v>0.39122858301893215</c:v>
                </c:pt>
                <c:pt idx="10">
                  <c:v>0.39335085038434814</c:v>
                </c:pt>
              </c:numCache>
            </c:numRef>
          </c:val>
          <c:smooth val="0"/>
          <c:extLst>
            <c:ext xmlns:c16="http://schemas.microsoft.com/office/drawing/2014/chart" uri="{C3380CC4-5D6E-409C-BE32-E72D297353CC}">
              <c16:uniqueId val="{00000001-6D67-49A1-99D4-06A9F0656B65}"/>
            </c:ext>
          </c:extLst>
        </c:ser>
        <c:dLbls>
          <c:showLegendKey val="0"/>
          <c:showVal val="0"/>
          <c:showCatName val="0"/>
          <c:showSerName val="0"/>
          <c:showPercent val="0"/>
          <c:showBubbleSize val="0"/>
        </c:dLbls>
        <c:marker val="1"/>
        <c:smooth val="0"/>
        <c:axId val="2088689536"/>
        <c:axId val="2088699520"/>
      </c:lineChart>
      <c:catAx>
        <c:axId val="20886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92448"/>
        <c:crosses val="autoZero"/>
        <c:auto val="1"/>
        <c:lblAlgn val="ctr"/>
        <c:lblOffset val="100"/>
        <c:noMultiLvlLbl val="0"/>
      </c:catAx>
      <c:valAx>
        <c:axId val="208869244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94944"/>
        <c:crosses val="autoZero"/>
        <c:crossBetween val="between"/>
      </c:valAx>
      <c:valAx>
        <c:axId val="208869952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89536"/>
        <c:crosses val="max"/>
        <c:crossBetween val="between"/>
      </c:valAx>
      <c:catAx>
        <c:axId val="2088689536"/>
        <c:scaling>
          <c:orientation val="minMax"/>
        </c:scaling>
        <c:delete val="1"/>
        <c:axPos val="b"/>
        <c:numFmt formatCode="General" sourceLinked="1"/>
        <c:majorTickMark val="none"/>
        <c:minorTickMark val="none"/>
        <c:tickLblPos val="nextTo"/>
        <c:crossAx val="20886995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lineChart>
        <c:grouping val="standard"/>
        <c:varyColors val="0"/>
        <c:ser>
          <c:idx val="0"/>
          <c:order val="0"/>
          <c:tx>
            <c:strRef>
              <c:f>'Serie Ibagué (2)'!$C$2</c:f>
              <c:strCache>
                <c:ptCount val="1"/>
                <c:pt idx="0">
                  <c:v>Retenciones Ibagué (millones $ corrientes)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0.10976702508960573"/>
                  <c:y val="-9.6533969110434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B9-47AD-AF8C-5ECF19245DC1}"/>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B9-47AD-AF8C-5ECF19245DC1}"/>
                </c:ext>
              </c:extLst>
            </c:dLbl>
            <c:dLbl>
              <c:idx val="6"/>
              <c:layout>
                <c:manualLayout>
                  <c:x val="-3.5842293906810117E-2"/>
                  <c:y val="6.81406656837217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B9-47AD-AF8C-5ECF19245DC1}"/>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'Serie Ibagué (2)'!$B$3:$B$13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'Serie Ibagué (2)'!$C$3:$C$13</c:f>
              <c:numCache>
                <c:formatCode>#,##0.000</c:formatCode>
                <c:ptCount val="11"/>
                <c:pt idx="0">
                  <c:v>128309.04700000001</c:v>
                </c:pt>
                <c:pt idx="1">
                  <c:v>149210</c:v>
                </c:pt>
                <c:pt idx="2">
                  <c:v>161520</c:v>
                </c:pt>
                <c:pt idx="3">
                  <c:v>197309</c:v>
                </c:pt>
                <c:pt idx="4">
                  <c:v>213906</c:v>
                </c:pt>
                <c:pt idx="5">
                  <c:v>290251</c:v>
                </c:pt>
                <c:pt idx="6">
                  <c:v>193504</c:v>
                </c:pt>
                <c:pt idx="7">
                  <c:v>234880.516</c:v>
                </c:pt>
                <c:pt idx="8">
                  <c:v>266847.15299999999</c:v>
                </c:pt>
                <c:pt idx="9">
                  <c:v>311762.77899999998</c:v>
                </c:pt>
                <c:pt idx="10">
                  <c:v>331366.00699999998</c:v>
                </c:pt>
              </c:numCache>
            </c:numRef>
          </c:val>
          <c:smooth val="0"/>
          <c:extLst>
            <c:ext xmlns:c16="http://schemas.microsoft.com/office/drawing/2014/chart" uri="{C3380CC4-5D6E-409C-BE32-E72D297353CC}">
              <c16:uniqueId val="{00000003-E0B9-47AD-AF8C-5ECF19245DC1}"/>
            </c:ext>
          </c:extLst>
        </c:ser>
        <c:dLbls>
          <c:dLblPos val="t"/>
          <c:showLegendKey val="0"/>
          <c:showVal val="1"/>
          <c:showCatName val="0"/>
          <c:showSerName val="0"/>
          <c:showPercent val="0"/>
          <c:showBubbleSize val="0"/>
        </c:dLbls>
        <c:marker val="1"/>
        <c:smooth val="0"/>
        <c:axId val="2126628528"/>
        <c:axId val="2126630192"/>
        <c:extLst>
          <c:ext xmlns:c15="http://schemas.microsoft.com/office/drawing/2012/chart" uri="{02D57815-91ED-43cb-92C2-25804820EDAC}">
            <c15:filteredLineSeries>
              <c15:ser>
                <c:idx val="1"/>
                <c:order val="1"/>
                <c:tx>
                  <c:strRef>
                    <c:extLst>
                      <c:ext uri="{02D57815-91ED-43cb-92C2-25804820EDAC}">
                        <c15:formulaRef>
                          <c15:sqref>'Serie Ibagué (2)'!$D$2</c15:sqref>
                        </c15:formulaRef>
                      </c:ext>
                    </c:extLst>
                    <c:strCache>
                      <c:ptCount val="1"/>
                      <c:pt idx="0">
                        <c:v>Var. % anual Ibagué</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'Serie Ibagué (2)'!$B$3:$B$13</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c:ext uri="{02D57815-91ED-43cb-92C2-25804820EDAC}">
                        <c15:formulaRef>
                          <c15:sqref>'Serie Ibagué (2)'!$D$3:$D$13</c15:sqref>
                        </c15:formulaRef>
                      </c:ext>
                    </c:extLst>
                    <c:numCache>
                      <c:formatCode>0.00</c:formatCode>
                      <c:ptCount val="11"/>
                      <c:pt idx="1">
                        <c:v>16.289539583284409</c:v>
                      </c:pt>
                      <c:pt idx="2">
                        <c:v>8.2501172843643182</c:v>
                      </c:pt>
                      <c:pt idx="3">
                        <c:v>22.157627538385338</c:v>
                      </c:pt>
                      <c:pt idx="4">
                        <c:v>8.4116791428672784</c:v>
                      </c:pt>
                      <c:pt idx="5">
                        <c:v>35.690910960889362</c:v>
                      </c:pt>
                      <c:pt idx="6">
                        <c:v>-33.33218490203307</c:v>
                      </c:pt>
                      <c:pt idx="7">
                        <c:v>21.38277038200761</c:v>
                      </c:pt>
                      <c:pt idx="8">
                        <c:v>13.609744028321186</c:v>
                      </c:pt>
                      <c:pt idx="9">
                        <c:v>16.831967474653922</c:v>
                      </c:pt>
                      <c:pt idx="10">
                        <c:v>6.2878667116320521</c:v>
                      </c:pt>
                    </c:numCache>
                  </c:numRef>
                </c:val>
                <c:smooth val="0"/>
                <c:extLst>
                  <c:ext xmlns:c16="http://schemas.microsoft.com/office/drawing/2014/chart" uri="{C3380CC4-5D6E-409C-BE32-E72D297353CC}">
                    <c16:uniqueId val="{00000004-E0B9-47AD-AF8C-5ECF19245DC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'Serie Ibagué (2)'!$E$2</c15:sqref>
                        </c15:formulaRef>
                      </c:ext>
                    </c:extLst>
                    <c:strCache>
                      <c:ptCount val="1"/>
                      <c:pt idx="0">
                        <c:v>Total recaudo Ibagué (millones $ corrientes)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'Serie Ibagué (2)'!$B$3:$B$13</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'Serie Ibagué (2)'!$E$3:$E$13</c15:sqref>
                        </c15:formulaRef>
                      </c:ext>
                    </c:extLst>
                    <c:numCache>
                      <c:formatCode>#,##0.000</c:formatCode>
                      <c:ptCount val="11"/>
                      <c:pt idx="0">
                        <c:v>353467.20299999998</c:v>
                      </c:pt>
                      <c:pt idx="1">
                        <c:v>395637</c:v>
                      </c:pt>
                      <c:pt idx="2">
                        <c:v>439756</c:v>
                      </c:pt>
                      <c:pt idx="3">
                        <c:v>486736</c:v>
                      </c:pt>
                      <c:pt idx="4">
                        <c:v>493521</c:v>
                      </c:pt>
                      <c:pt idx="5">
                        <c:v>608554</c:v>
                      </c:pt>
                      <c:pt idx="6">
                        <c:v>546459</c:v>
                      </c:pt>
                      <c:pt idx="7">
                        <c:v>554274.18799999997</c:v>
                      </c:pt>
                      <c:pt idx="8">
                        <c:v>626580.84699999995</c:v>
                      </c:pt>
                      <c:pt idx="9">
                        <c:v>796881.39500000002</c:v>
                      </c:pt>
                      <c:pt idx="10">
                        <c:v>842418.43299999996</c:v>
                      </c:pt>
                    </c:numCache>
                  </c:numRef>
                </c:val>
                <c:smooth val="0"/>
                <c:extLst xmlns:c15="http://schemas.microsoft.com/office/drawing/2012/chart">
                  <c:ext xmlns:c16="http://schemas.microsoft.com/office/drawing/2014/chart" uri="{C3380CC4-5D6E-409C-BE32-E72D297353CC}">
                    <c16:uniqueId val="{00000005-E0B9-47AD-AF8C-5ECF19245DC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'Serie Ibagué (2)'!$F$2</c15:sqref>
                        </c15:formulaRef>
                      </c:ext>
                    </c:extLst>
                    <c:strCache>
                      <c:ptCount val="1"/>
                      <c:pt idx="0">
                        <c:v>Participación retenciones en total Ibagué (%)</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'Serie Ibagué (2)'!$B$3:$B$13</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'Serie Ibagué (2)'!$F$3:$F$13</c15:sqref>
                        </c15:formulaRef>
                      </c:ext>
                    </c:extLst>
                    <c:numCache>
                      <c:formatCode>0%</c:formatCode>
                      <c:ptCount val="11"/>
                      <c:pt idx="0">
                        <c:v>0.3630012796406461</c:v>
                      </c:pt>
                      <c:pt idx="1">
                        <c:v>0.37713863971266592</c:v>
                      </c:pt>
                      <c:pt idx="2">
                        <c:v>0.36729459063662578</c:v>
                      </c:pt>
                      <c:pt idx="3">
                        <c:v>0.40537170047007004</c:v>
                      </c:pt>
                      <c:pt idx="4">
                        <c:v>0.43342836475043617</c:v>
                      </c:pt>
                      <c:pt idx="5">
                        <c:v>0.47695192209729947</c:v>
                      </c:pt>
                      <c:pt idx="6">
                        <c:v>0.35410524851818709</c:v>
                      </c:pt>
                      <c:pt idx="7">
                        <c:v>0.42376232031934352</c:v>
                      </c:pt>
                      <c:pt idx="8">
                        <c:v>0.42587824744027009</c:v>
                      </c:pt>
                      <c:pt idx="9">
                        <c:v>0.39122858301893215</c:v>
                      </c:pt>
                      <c:pt idx="10">
                        <c:v>0.39335085038434814</c:v>
                      </c:pt>
                    </c:numCache>
                  </c:numRef>
                </c:val>
                <c:smooth val="0"/>
                <c:extLst xmlns:c15="http://schemas.microsoft.com/office/drawing/2012/chart">
                  <c:ext xmlns:c16="http://schemas.microsoft.com/office/drawing/2014/chart" uri="{C3380CC4-5D6E-409C-BE32-E72D297353CC}">
                    <c16:uniqueId val="{00000006-E0B9-47AD-AF8C-5ECF19245DC1}"/>
                  </c:ext>
                </c:extLst>
              </c15:ser>
            </c15:filteredLineSeries>
          </c:ext>
        </c:extLst>
      </c:lineChart>
      <c:catAx>
        <c:axId val="212662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126630192"/>
        <c:crosses val="autoZero"/>
        <c:auto val="1"/>
        <c:lblAlgn val="ctr"/>
        <c:lblOffset val="100"/>
        <c:noMultiLvlLbl val="0"/>
      </c:catAx>
      <c:valAx>
        <c:axId val="212663019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12662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Ingresos por retenciones y porcentaje de retenciones denunciadas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'Relacion vs retenciones'!$B$25</c:f>
              <c:strCache>
                <c:ptCount val="1"/>
                <c:pt idx="0">
                  <c:v>Retenciones Ibagué ($)</c:v>
                </c:pt>
              </c:strCache>
            </c:strRef>
          </c:tx>
          <c:spPr>
            <a:solidFill>
              <a:schemeClr val="accent1">
                <a:lumMod val="20000"/>
                <a:lumOff val="80000"/>
              </a:schemeClr>
            </a:solidFill>
            <a:ln>
              <a:noFill/>
            </a:ln>
            <a:effectLst/>
          </c:spPr>
          <c:invertIfNegative val="0"/>
          <c:cat>
            <c:numRef>
              <c:f>'Relacion vs retenciones'!$A$26:$A$36</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'Relacion vs retenciones'!$B$26:$B$36</c:f>
              <c:numCache>
                <c:formatCode>\$#,##0;[Red]\(\$#,##0\)</c:formatCode>
                <c:ptCount val="11"/>
                <c:pt idx="0">
                  <c:v>128309047000</c:v>
                </c:pt>
                <c:pt idx="1">
                  <c:v>149210000000</c:v>
                </c:pt>
                <c:pt idx="2">
                  <c:v>161520000000</c:v>
                </c:pt>
                <c:pt idx="3">
                  <c:v>197309000000</c:v>
                </c:pt>
                <c:pt idx="4">
                  <c:v>213906000000</c:v>
                </c:pt>
                <c:pt idx="5">
                  <c:v>290251000000</c:v>
                </c:pt>
                <c:pt idx="6">
                  <c:v>193504000000</c:v>
                </c:pt>
                <c:pt idx="7">
                  <c:v>234880516000</c:v>
                </c:pt>
                <c:pt idx="8">
                  <c:v>266847153000</c:v>
                </c:pt>
                <c:pt idx="9">
                  <c:v>311762779000</c:v>
                </c:pt>
                <c:pt idx="10">
                  <c:v>331366007000</c:v>
                </c:pt>
              </c:numCache>
            </c:numRef>
          </c:val>
          <c:extLst>
            <c:ext xmlns:c16="http://schemas.microsoft.com/office/drawing/2014/chart" uri="{C3380CC4-5D6E-409C-BE32-E72D297353CC}">
              <c16:uniqueId val="{00000000-F1A7-4013-80F9-BBA60663C22B}"/>
            </c:ext>
          </c:extLst>
        </c:ser>
        <c:dLbls>
          <c:showLegendKey val="0"/>
          <c:showVal val="0"/>
          <c:showCatName val="0"/>
          <c:showSerName val="0"/>
          <c:showPercent val="0"/>
          <c:showBubbleSize val="0"/>
        </c:dLbls>
        <c:gapWidth val="219"/>
        <c:overlap val="-27"/>
        <c:axId val="2088687872"/>
        <c:axId val="2088681632"/>
      </c:barChart>
      <c:lineChart>
        <c:grouping val="standard"/>
        <c:varyColors val="0"/>
        <c:ser>
          <c:idx val="1"/>
          <c:order val="1"/>
          <c:tx>
            <c:strRef>
              <c:f>'Relacion vs retenciones'!$C$25</c:f>
              <c:strCache>
                <c:ptCount val="1"/>
                <c:pt idx="0">
                  <c:v>% sobre recaudo de retenciones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'Relacion vs retenciones'!$A$26:$A$36</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'Relacion vs retenciones'!$C$26:$C$36</c:f>
              <c:numCache>
                <c:formatCode>0.000%</c:formatCode>
                <c:ptCount val="11"/>
                <c:pt idx="0">
                  <c:v>7.5700819444165929E-3</c:v>
                </c:pt>
                <c:pt idx="1">
                  <c:v>7.2771530058307081E-3</c:v>
                </c:pt>
                <c:pt idx="2">
                  <c:v>5.463372956909361E-3</c:v>
                </c:pt>
                <c:pt idx="3">
                  <c:v>7.7370986625039913E-3</c:v>
                </c:pt>
                <c:pt idx="4">
                  <c:v>1.133841967967238E-2</c:v>
                </c:pt>
                <c:pt idx="5">
                  <c:v>8.7303382589551809E-3</c:v>
                </c:pt>
                <c:pt idx="6">
                  <c:v>4.843575192244088E-3</c:v>
                </c:pt>
                <c:pt idx="7">
                  <c:v>5.4618333391263495E-3</c:v>
                </c:pt>
                <c:pt idx="8">
                  <c:v>8.9282731152091396E-3</c:v>
                </c:pt>
                <c:pt idx="9">
                  <c:v>6.056889437080621E-3</c:v>
                </c:pt>
                <c:pt idx="10">
                  <c:v>1.7522860212997044E-3</c:v>
                </c:pt>
              </c:numCache>
            </c:numRef>
          </c:val>
          <c:smooth val="0"/>
          <c:extLst>
            <c:ext xmlns:c16="http://schemas.microsoft.com/office/drawing/2014/chart" uri="{C3380CC4-5D6E-409C-BE32-E72D297353CC}">
              <c16:uniqueId val="{00000001-F1A7-4013-80F9-BBA60663C22B}"/>
            </c:ext>
          </c:extLst>
        </c:ser>
        <c:dLbls>
          <c:showLegendKey val="0"/>
          <c:showVal val="0"/>
          <c:showCatName val="0"/>
          <c:showSerName val="0"/>
          <c:showPercent val="0"/>
          <c:showBubbleSize val="0"/>
        </c:dLbls>
        <c:marker val="1"/>
        <c:smooth val="0"/>
        <c:axId val="2088689952"/>
        <c:axId val="2088688704"/>
      </c:lineChart>
      <c:catAx>
        <c:axId val="208868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81632"/>
        <c:crosses val="autoZero"/>
        <c:auto val="1"/>
        <c:lblAlgn val="ctr"/>
        <c:lblOffset val="100"/>
        <c:noMultiLvlLbl val="0"/>
      </c:catAx>
      <c:valAx>
        <c:axId val="2088681632"/>
        <c:scaling>
          <c:orientation val="minMax"/>
        </c:scaling>
        <c:delete val="0"/>
        <c:axPos val="l"/>
        <c:majorGridlines>
          <c:spPr>
            <a:ln w="9525" cap="flat" cmpd="sng" algn="ctr">
              <a:solidFill>
                <a:schemeClr val="tx1">
                  <a:lumMod val="15000"/>
                  <a:lumOff val="85000"/>
                </a:schemeClr>
              </a:solidFill>
              <a:round/>
            </a:ln>
            <a:effectLst/>
          </c:spPr>
        </c:majorGridlines>
        <c:numFmt formatCode="\$#,##0;[Red]\(\$#,##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87872"/>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dispUnitsLbl>
        </c:dispUnits>
      </c:valAx>
      <c:valAx>
        <c:axId val="2088688704"/>
        <c:scaling>
          <c:orientation val="minMax"/>
        </c:scaling>
        <c:delete val="0"/>
        <c:axPos val="r"/>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088689952"/>
        <c:crosses val="max"/>
        <c:crossBetween val="between"/>
      </c:valAx>
      <c:catAx>
        <c:axId val="2088689952"/>
        <c:scaling>
          <c:orientation val="minMax"/>
        </c:scaling>
        <c:delete val="1"/>
        <c:axPos val="b"/>
        <c:numFmt formatCode="General" sourceLinked="1"/>
        <c:majorTickMark val="none"/>
        <c:minorTickMark val="none"/>
        <c:tickLblPos val="nextTo"/>
        <c:crossAx val="2088688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95E2178D643B398D57C471B6FF8C5"/>
        <w:category>
          <w:name w:val="General"/>
          <w:gallery w:val="placeholder"/>
        </w:category>
        <w:types>
          <w:type w:val="bbPlcHdr"/>
        </w:types>
        <w:behaviors>
          <w:behavior w:val="content"/>
        </w:behaviors>
        <w:guid w:val="{A6B67583-6A69-4B08-8B29-CBCD80012A33}"/>
      </w:docPartPr>
      <w:docPartBody>
        <w:p w:rsidR="006B7788" w:rsidRDefault="002172D4" w:rsidP="002172D4">
          <w:pPr>
            <w:pStyle w:val="52A95E2178D643B398D57C471B6FF8C51"/>
          </w:pPr>
          <w:r w:rsidRPr="005F0241">
            <w:rPr>
              <w:rStyle w:val="Textodelmarcadordeposicin"/>
            </w:rPr>
            <w:t>Elija un elemento.</w:t>
          </w:r>
        </w:p>
      </w:docPartBody>
    </w:docPart>
    <w:docPart>
      <w:docPartPr>
        <w:name w:val="AA6ADFB637C949588B4C71028492D5A8"/>
        <w:category>
          <w:name w:val="General"/>
          <w:gallery w:val="placeholder"/>
        </w:category>
        <w:types>
          <w:type w:val="bbPlcHdr"/>
        </w:types>
        <w:behaviors>
          <w:behavior w:val="content"/>
        </w:behaviors>
        <w:guid w:val="{5BAF64DB-0B85-4F12-B78E-4F3A5EF718B5}"/>
      </w:docPartPr>
      <w:docPartBody>
        <w:p w:rsidR="00CF491E" w:rsidRDefault="004012C8" w:rsidP="004012C8">
          <w:pPr>
            <w:pStyle w:val="AA6ADFB637C949588B4C71028492D5A8"/>
          </w:pPr>
          <w:r w:rsidRPr="00171C88">
            <w:rPr>
              <w:rStyle w:val="Textodelmarcadordeposicin"/>
            </w:rPr>
            <w:t>Elija un elemento.</w:t>
          </w:r>
        </w:p>
      </w:docPartBody>
    </w:docPart>
    <w:docPart>
      <w:docPartPr>
        <w:name w:val="514A1D4965294FE1AACF153E2E6DDA31"/>
        <w:category>
          <w:name w:val="General"/>
          <w:gallery w:val="placeholder"/>
        </w:category>
        <w:types>
          <w:type w:val="bbPlcHdr"/>
        </w:types>
        <w:behaviors>
          <w:behavior w:val="content"/>
        </w:behaviors>
        <w:guid w:val="{D0805C96-E8CA-4DAC-921E-24F657399C90}"/>
      </w:docPartPr>
      <w:docPartBody>
        <w:p w:rsidR="002E7E30" w:rsidRDefault="00286DC7" w:rsidP="00286DC7">
          <w:pPr>
            <w:pStyle w:val="514A1D4965294FE1AACF153E2E6DDA31"/>
          </w:pPr>
          <w:r w:rsidRPr="007A2281">
            <w:rPr>
              <w:rStyle w:val="Textodelmarcadordeposicin"/>
            </w:rPr>
            <w:t>Elija un elemento.</w:t>
          </w:r>
        </w:p>
      </w:docPartBody>
    </w:docPart>
    <w:docPart>
      <w:docPartPr>
        <w:name w:val="E5BA75A3F39446F09D928844DD9668EC"/>
        <w:category>
          <w:name w:val="General"/>
          <w:gallery w:val="placeholder"/>
        </w:category>
        <w:types>
          <w:type w:val="bbPlcHdr"/>
        </w:types>
        <w:behaviors>
          <w:behavior w:val="content"/>
        </w:behaviors>
        <w:guid w:val="{11F47D9E-9F78-4740-A40F-F51C27BD6781}"/>
      </w:docPartPr>
      <w:docPartBody>
        <w:p w:rsidR="002E7E30" w:rsidRDefault="00286DC7" w:rsidP="00286DC7">
          <w:pPr>
            <w:pStyle w:val="E5BA75A3F39446F09D928844DD9668EC"/>
          </w:pPr>
          <w:r w:rsidRPr="007A2281">
            <w:rPr>
              <w:rStyle w:val="Textodelmarcadordeposicin"/>
            </w:rPr>
            <w:t>Elija un elemento.</w:t>
          </w:r>
        </w:p>
      </w:docPartBody>
    </w:docPart>
    <w:docPart>
      <w:docPartPr>
        <w:name w:val="41573E8C664148EFB2E02A9C76279967"/>
        <w:category>
          <w:name w:val="General"/>
          <w:gallery w:val="placeholder"/>
        </w:category>
        <w:types>
          <w:type w:val="bbPlcHdr"/>
        </w:types>
        <w:behaviors>
          <w:behavior w:val="content"/>
        </w:behaviors>
        <w:guid w:val="{D41483D3-890C-4586-99A0-B59360298605}"/>
      </w:docPartPr>
      <w:docPartBody>
        <w:p w:rsidR="00DD626A" w:rsidRDefault="008A655F" w:rsidP="008A655F">
          <w:pPr>
            <w:pStyle w:val="41573E8C664148EFB2E02A9C76279967"/>
          </w:pPr>
          <w:r w:rsidRPr="007A2281">
            <w:rPr>
              <w:rStyle w:val="Textodelmarcadordeposicin"/>
            </w:rPr>
            <w:t>Elija un elemento.</w:t>
          </w:r>
        </w:p>
      </w:docPartBody>
    </w:docPart>
    <w:docPart>
      <w:docPartPr>
        <w:name w:val="505670272798493C940F2A21A88DF3D1"/>
        <w:category>
          <w:name w:val="General"/>
          <w:gallery w:val="placeholder"/>
        </w:category>
        <w:types>
          <w:type w:val="bbPlcHdr"/>
        </w:types>
        <w:behaviors>
          <w:behavior w:val="content"/>
        </w:behaviors>
        <w:guid w:val="{624C20EF-7165-46C7-863D-D9902B6BCE77}"/>
      </w:docPartPr>
      <w:docPartBody>
        <w:p w:rsidR="00B00BF4" w:rsidRDefault="006C24C0">
          <w:pPr>
            <w:pStyle w:val="505670272798493C940F2A21A88DF3D1"/>
          </w:pPr>
          <w:r w:rsidRPr="007A2281">
            <w:rPr>
              <w:rStyle w:val="Textodelmarcadordeposicin"/>
            </w:rPr>
            <w:t>Elija un elemento.</w:t>
          </w:r>
        </w:p>
      </w:docPartBody>
    </w:docPart>
    <w:docPart>
      <w:docPartPr>
        <w:name w:val="C253DC77570F4E329353DB2CB0BA448B"/>
        <w:category>
          <w:name w:val="General"/>
          <w:gallery w:val="placeholder"/>
        </w:category>
        <w:types>
          <w:type w:val="bbPlcHdr"/>
        </w:types>
        <w:behaviors>
          <w:behavior w:val="content"/>
        </w:behaviors>
        <w:guid w:val="{6C3C0D98-9B8F-4930-83CB-33837A05D7A7}"/>
      </w:docPartPr>
      <w:docPartBody>
        <w:p w:rsidR="007B0AE9" w:rsidRDefault="00CF491E">
          <w:pPr>
            <w:pStyle w:val="C253DC77570F4E329353DB2CB0BA448B"/>
          </w:pPr>
          <w:r w:rsidRPr="007A2281">
            <w:rPr>
              <w:rStyle w:val="Textodelmarcadordeposicin"/>
            </w:rPr>
            <w:t>Elija un elemento.</w:t>
          </w:r>
        </w:p>
      </w:docPartBody>
    </w:docPart>
    <w:docPart>
      <w:docPartPr>
        <w:name w:val="C2393C13F1B64E7D9486E5834AC1A0D0"/>
        <w:category>
          <w:name w:val="General"/>
          <w:gallery w:val="placeholder"/>
        </w:category>
        <w:types>
          <w:type w:val="bbPlcHdr"/>
        </w:types>
        <w:behaviors>
          <w:behavior w:val="content"/>
        </w:behaviors>
        <w:guid w:val="{B71922E7-E357-4883-9FBB-8260E5FAD517}"/>
      </w:docPartPr>
      <w:docPartBody>
        <w:p w:rsidR="007B0AE9" w:rsidRDefault="007B0AE9">
          <w:pPr>
            <w:pStyle w:val="C2393C13F1B64E7D9486E5834AC1A0D0"/>
          </w:pPr>
          <w:r w:rsidRPr="007A2281">
            <w:rPr>
              <w:rStyle w:val="Textodelmarcadordeposicin"/>
            </w:rPr>
            <w:t>Elija un elemento.</w:t>
          </w:r>
        </w:p>
      </w:docPartBody>
    </w:docPart>
    <w:docPart>
      <w:docPartPr>
        <w:name w:val="689EC45628C41248A299345D18645521"/>
        <w:category>
          <w:name w:val="General"/>
          <w:gallery w:val="placeholder"/>
        </w:category>
        <w:types>
          <w:type w:val="bbPlcHdr"/>
        </w:types>
        <w:behaviors>
          <w:behavior w:val="content"/>
        </w:behaviors>
        <w:guid w:val="{C491A532-4EBF-C94E-A49A-4A4F73C52085}"/>
      </w:docPartPr>
      <w:docPartBody>
        <w:p w:rsidR="008A45A8" w:rsidRDefault="004D1071" w:rsidP="004D1071">
          <w:pPr>
            <w:pStyle w:val="689EC45628C41248A299345D18645521"/>
          </w:pPr>
          <w:r w:rsidRPr="00770E7A">
            <w:rPr>
              <w:rStyle w:val="Textodelmarcadordeposicin"/>
            </w:rPr>
            <w:t>Elija un elemento.</w:t>
          </w:r>
        </w:p>
      </w:docPartBody>
    </w:docPart>
    <w:docPart>
      <w:docPartPr>
        <w:name w:val="D444E435CAFFC94A9C2F8D1FE444CD15"/>
        <w:category>
          <w:name w:val="General"/>
          <w:gallery w:val="placeholder"/>
        </w:category>
        <w:types>
          <w:type w:val="bbPlcHdr"/>
        </w:types>
        <w:behaviors>
          <w:behavior w:val="content"/>
        </w:behaviors>
        <w:guid w:val="{5C1F558D-002D-EB4C-83FE-40356E6A1D05}"/>
      </w:docPartPr>
      <w:docPartBody>
        <w:p w:rsidR="008A45A8" w:rsidRDefault="004D1071" w:rsidP="004D1071">
          <w:pPr>
            <w:pStyle w:val="D444E435CAFFC94A9C2F8D1FE444CD15"/>
          </w:pPr>
          <w:r w:rsidRPr="007A2281">
            <w:rPr>
              <w:rStyle w:val="Textodelmarcadordeposicin"/>
            </w:rPr>
            <w:t>Elija un elemento.</w:t>
          </w:r>
        </w:p>
      </w:docPartBody>
    </w:docPart>
    <w:docPart>
      <w:docPartPr>
        <w:name w:val="2ACFCDC492CB56418669A6F849108796"/>
        <w:category>
          <w:name w:val="General"/>
          <w:gallery w:val="placeholder"/>
        </w:category>
        <w:types>
          <w:type w:val="bbPlcHdr"/>
        </w:types>
        <w:behaviors>
          <w:behavior w:val="content"/>
        </w:behaviors>
        <w:guid w:val="{0DD0A802-058E-074C-98F5-8CAE279DB9B3}"/>
      </w:docPartPr>
      <w:docPartBody>
        <w:p w:rsidR="0068442F" w:rsidRDefault="001C1761">
          <w:pPr>
            <w:pStyle w:val="2ACFCDC492CB56418669A6F849108796"/>
          </w:pPr>
          <w:r w:rsidRPr="007A2281">
            <w:rPr>
              <w:rStyle w:val="Textodelmarcadordeposicin"/>
            </w:rPr>
            <w:t>Elija un elemento.</w:t>
          </w:r>
        </w:p>
      </w:docPartBody>
    </w:docPart>
    <w:docPart>
      <w:docPartPr>
        <w:name w:val="EFB16336C03CBF4483E30671BBF2C17F"/>
        <w:category>
          <w:name w:val="General"/>
          <w:gallery w:val="placeholder"/>
        </w:category>
        <w:types>
          <w:type w:val="bbPlcHdr"/>
        </w:types>
        <w:behaviors>
          <w:behavior w:val="content"/>
        </w:behaviors>
        <w:guid w:val="{EBA2A910-B104-DD4F-9BA1-D23B6875D06A}"/>
      </w:docPartPr>
      <w:docPartBody>
        <w:p w:rsidR="0068442F" w:rsidRDefault="001C1761">
          <w:pPr>
            <w:pStyle w:val="EFB16336C03CBF4483E30671BBF2C17F"/>
          </w:pPr>
          <w:r w:rsidRPr="007A2281">
            <w:rPr>
              <w:rStyle w:val="Textodelmarcadordeposicin"/>
            </w:rPr>
            <w:t>Elija un elemento.</w:t>
          </w:r>
        </w:p>
      </w:docPartBody>
    </w:docPart>
    <w:docPart>
      <w:docPartPr>
        <w:name w:val="702E472E19E24949990AE0805B3DCC5E"/>
        <w:category>
          <w:name w:val="General"/>
          <w:gallery w:val="placeholder"/>
        </w:category>
        <w:types>
          <w:type w:val="bbPlcHdr"/>
        </w:types>
        <w:behaviors>
          <w:behavior w:val="content"/>
        </w:behaviors>
        <w:guid w:val="{E211469E-B0EB-479A-A5C7-67F9610B3CB1}"/>
      </w:docPartPr>
      <w:docPartBody>
        <w:p w:rsidR="00C1032C" w:rsidRDefault="00090E7E" w:rsidP="00090E7E">
          <w:pPr>
            <w:pStyle w:val="702E472E19E24949990AE0805B3DCC5E"/>
          </w:pPr>
          <w:r w:rsidRPr="00886E1D">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76DFECCD-6974-4F0E-B3A5-2D167D44E3DD}"/>
      </w:docPartPr>
      <w:docPartBody>
        <w:p w:rsidR="009B183B" w:rsidRDefault="00C1032C">
          <w:r w:rsidRPr="007B7FD7">
            <w:rPr>
              <w:rStyle w:val="Textodelmarcadordeposicin"/>
            </w:rPr>
            <w:t>Haga clic o pulse aquí para escribir texto.</w:t>
          </w:r>
        </w:p>
      </w:docPartBody>
    </w:docPart>
    <w:docPart>
      <w:docPartPr>
        <w:name w:val="7FB2DDD2F1164D6E8EC8BE2AD7C480B8"/>
        <w:category>
          <w:name w:val="General"/>
          <w:gallery w:val="placeholder"/>
        </w:category>
        <w:types>
          <w:type w:val="bbPlcHdr"/>
        </w:types>
        <w:behaviors>
          <w:behavior w:val="content"/>
        </w:behaviors>
        <w:guid w:val="{A756C3FD-E917-464A-9C59-3FE04100E10E}"/>
      </w:docPartPr>
      <w:docPartBody>
        <w:p w:rsidR="009B183B" w:rsidRDefault="00C1032C" w:rsidP="00C1032C">
          <w:pPr>
            <w:pStyle w:val="7FB2DDD2F1164D6E8EC8BE2AD7C480B8"/>
          </w:pPr>
          <w:r w:rsidRPr="00886E1D">
            <w:rPr>
              <w:rStyle w:val="Textodelmarcadordeposicin"/>
            </w:rPr>
            <w:t>Haga clic o pulse aquí para escribir texto.</w:t>
          </w:r>
        </w:p>
      </w:docPartBody>
    </w:docPart>
    <w:docPart>
      <w:docPartPr>
        <w:name w:val="CC1D3B8D166C4BFCAD38E0ED9E0012C9"/>
        <w:category>
          <w:name w:val="General"/>
          <w:gallery w:val="placeholder"/>
        </w:category>
        <w:types>
          <w:type w:val="bbPlcHdr"/>
        </w:types>
        <w:behaviors>
          <w:behavior w:val="content"/>
        </w:behaviors>
        <w:guid w:val="{3A518BC3-1C34-456E-8D37-4463C8A561D7}"/>
      </w:docPartPr>
      <w:docPartBody>
        <w:p w:rsidR="009B183B" w:rsidRDefault="00C1032C" w:rsidP="00C1032C">
          <w:pPr>
            <w:pStyle w:val="CC1D3B8D166C4BFCAD38E0ED9E0012C9"/>
          </w:pPr>
          <w:r w:rsidRPr="00886E1D">
            <w:rPr>
              <w:rStyle w:val="Textodelmarcadordeposicin"/>
            </w:rPr>
            <w:t>Haga clic o pulse aquí para escribir texto.</w:t>
          </w:r>
        </w:p>
      </w:docPartBody>
    </w:docPart>
    <w:docPart>
      <w:docPartPr>
        <w:name w:val="6DB16FF16ED5417FB00E135D37F899BB"/>
        <w:category>
          <w:name w:val="General"/>
          <w:gallery w:val="placeholder"/>
        </w:category>
        <w:types>
          <w:type w:val="bbPlcHdr"/>
        </w:types>
        <w:behaviors>
          <w:behavior w:val="content"/>
        </w:behaviors>
        <w:guid w:val="{747F6961-1431-4CBC-8E1E-3FC4A462442F}"/>
      </w:docPartPr>
      <w:docPartBody>
        <w:p w:rsidR="009B183B" w:rsidRDefault="00C1032C" w:rsidP="00C1032C">
          <w:pPr>
            <w:pStyle w:val="6DB16FF16ED5417FB00E135D37F899BB"/>
          </w:pPr>
          <w:r w:rsidRPr="00886E1D">
            <w:rPr>
              <w:rStyle w:val="Textodelmarcadordeposicin"/>
            </w:rPr>
            <w:t>Haga clic o pulse aquí para escribir texto.</w:t>
          </w:r>
        </w:p>
      </w:docPartBody>
    </w:docPart>
    <w:docPart>
      <w:docPartPr>
        <w:name w:val="3457BF9A5E30408A92377947471BBFCC"/>
        <w:category>
          <w:name w:val="General"/>
          <w:gallery w:val="placeholder"/>
        </w:category>
        <w:types>
          <w:type w:val="bbPlcHdr"/>
        </w:types>
        <w:behaviors>
          <w:behavior w:val="content"/>
        </w:behaviors>
        <w:guid w:val="{5D83342C-2C4C-455D-A0DB-CE984DCD943D}"/>
      </w:docPartPr>
      <w:docPartBody>
        <w:p w:rsidR="009B183B" w:rsidRDefault="00C1032C" w:rsidP="00C1032C">
          <w:pPr>
            <w:pStyle w:val="3457BF9A5E30408A92377947471BBFCC"/>
          </w:pPr>
          <w:r w:rsidRPr="00886E1D">
            <w:rPr>
              <w:rStyle w:val="Textodelmarcadordeposicin"/>
            </w:rPr>
            <w:t>Haga clic o pulse aquí para escribir texto.</w:t>
          </w:r>
        </w:p>
      </w:docPartBody>
    </w:docPart>
    <w:docPart>
      <w:docPartPr>
        <w:name w:val="D96D9B7653FE487EAF154F11B57DE6F2"/>
        <w:category>
          <w:name w:val="General"/>
          <w:gallery w:val="placeholder"/>
        </w:category>
        <w:types>
          <w:type w:val="bbPlcHdr"/>
        </w:types>
        <w:behaviors>
          <w:behavior w:val="content"/>
        </w:behaviors>
        <w:guid w:val="{F75DFE3B-01C0-46EB-8EAE-0696AF7515C7}"/>
      </w:docPartPr>
      <w:docPartBody>
        <w:p w:rsidR="009B183B" w:rsidRDefault="00C1032C" w:rsidP="00C1032C">
          <w:pPr>
            <w:pStyle w:val="D96D9B7653FE487EAF154F11B57DE6F2"/>
          </w:pPr>
          <w:r w:rsidRPr="00886E1D">
            <w:rPr>
              <w:rStyle w:val="Textodelmarcadordeposicin"/>
            </w:rPr>
            <w:t>Haga clic o pulse aquí para escribir texto.</w:t>
          </w:r>
        </w:p>
      </w:docPartBody>
    </w:docPart>
    <w:docPart>
      <w:docPartPr>
        <w:name w:val="D4912901F0A04688A8A791776B49D2A9"/>
        <w:category>
          <w:name w:val="General"/>
          <w:gallery w:val="placeholder"/>
        </w:category>
        <w:types>
          <w:type w:val="bbPlcHdr"/>
        </w:types>
        <w:behaviors>
          <w:behavior w:val="content"/>
        </w:behaviors>
        <w:guid w:val="{8E3ABD9C-6723-4321-A340-493C5FA3C924}"/>
      </w:docPartPr>
      <w:docPartBody>
        <w:p w:rsidR="009B183B" w:rsidRDefault="00C1032C" w:rsidP="00C1032C">
          <w:pPr>
            <w:pStyle w:val="D4912901F0A04688A8A791776B49D2A9"/>
          </w:pPr>
          <w:r w:rsidRPr="00886E1D">
            <w:rPr>
              <w:rStyle w:val="Textodelmarcadordeposicin"/>
            </w:rPr>
            <w:t>Haga clic o pulse aquí para escribir texto.</w:t>
          </w:r>
        </w:p>
      </w:docPartBody>
    </w:docPart>
    <w:docPart>
      <w:docPartPr>
        <w:name w:val="0F144165463C4ED8988724A0EE3F9C50"/>
        <w:category>
          <w:name w:val="General"/>
          <w:gallery w:val="placeholder"/>
        </w:category>
        <w:types>
          <w:type w:val="bbPlcHdr"/>
        </w:types>
        <w:behaviors>
          <w:behavior w:val="content"/>
        </w:behaviors>
        <w:guid w:val="{4407E34C-74FC-453D-9E94-57AA8913D1AD}"/>
      </w:docPartPr>
      <w:docPartBody>
        <w:p w:rsidR="006868CF" w:rsidRDefault="00391414" w:rsidP="00391414">
          <w:pPr>
            <w:pStyle w:val="0F144165463C4ED8988724A0EE3F9C50"/>
          </w:pPr>
          <w:r w:rsidRPr="00886E1D">
            <w:rPr>
              <w:rStyle w:val="Textodelmarcadordeposicin"/>
            </w:rPr>
            <w:t>Haga clic o pulse aquí para escribir texto.</w:t>
          </w:r>
        </w:p>
      </w:docPartBody>
    </w:docPart>
    <w:docPart>
      <w:docPartPr>
        <w:name w:val="DF46E68C75F04942B27A06B177074E2A"/>
        <w:category>
          <w:name w:val="General"/>
          <w:gallery w:val="placeholder"/>
        </w:category>
        <w:types>
          <w:type w:val="bbPlcHdr"/>
        </w:types>
        <w:behaviors>
          <w:behavior w:val="content"/>
        </w:behaviors>
        <w:guid w:val="{AAC5FE1B-F16A-408B-8564-E8A6DC6BB410}"/>
      </w:docPartPr>
      <w:docPartBody>
        <w:p w:rsidR="006868CF" w:rsidRDefault="00391414" w:rsidP="00391414">
          <w:pPr>
            <w:pStyle w:val="DF46E68C75F04942B27A06B177074E2A"/>
          </w:pPr>
          <w:r w:rsidRPr="00886E1D">
            <w:rPr>
              <w:rStyle w:val="Textodelmarcadordeposicin"/>
            </w:rPr>
            <w:t>Haga clic o pulse aquí para escribir texto.</w:t>
          </w:r>
        </w:p>
      </w:docPartBody>
    </w:docPart>
    <w:docPart>
      <w:docPartPr>
        <w:name w:val="0F8A00C57FAE4C64B520A4A5CC868D5A"/>
        <w:category>
          <w:name w:val="General"/>
          <w:gallery w:val="placeholder"/>
        </w:category>
        <w:types>
          <w:type w:val="bbPlcHdr"/>
        </w:types>
        <w:behaviors>
          <w:behavior w:val="content"/>
        </w:behaviors>
        <w:guid w:val="{728DE466-5FF5-4484-84A6-806041A42660}"/>
      </w:docPartPr>
      <w:docPartBody>
        <w:p w:rsidR="00C14560" w:rsidRDefault="0087752C" w:rsidP="0087752C">
          <w:pPr>
            <w:pStyle w:val="0F8A00C57FAE4C64B520A4A5CC868D5A"/>
          </w:pPr>
          <w:r w:rsidRPr="007B7FD7">
            <w:rPr>
              <w:rStyle w:val="Textodelmarcadordeposicin"/>
            </w:rPr>
            <w:t>Haga clic o pulse aquí para escribir texto.</w:t>
          </w:r>
        </w:p>
      </w:docPartBody>
    </w:docPart>
    <w:docPart>
      <w:docPartPr>
        <w:name w:val="D9448890D5CA4AAEB709B07D45FD7AE4"/>
        <w:category>
          <w:name w:val="General"/>
          <w:gallery w:val="placeholder"/>
        </w:category>
        <w:types>
          <w:type w:val="bbPlcHdr"/>
        </w:types>
        <w:behaviors>
          <w:behavior w:val="content"/>
        </w:behaviors>
        <w:guid w:val="{0E52B3D2-6ED1-43CA-B92D-C656A126CEE9}"/>
      </w:docPartPr>
      <w:docPartBody>
        <w:p w:rsidR="00C14560" w:rsidRDefault="0087752C" w:rsidP="0087752C">
          <w:pPr>
            <w:pStyle w:val="D9448890D5CA4AAEB709B07D45FD7AE4"/>
          </w:pPr>
          <w:r w:rsidRPr="00B41E53">
            <w:rPr>
              <w:rStyle w:val="Textodelmarcadordeposicin"/>
            </w:rPr>
            <w:t>Haga clic o pulse aquí para escribir texto.</w:t>
          </w:r>
        </w:p>
      </w:docPartBody>
    </w:docPart>
    <w:docPart>
      <w:docPartPr>
        <w:name w:val="22E2F13B21C941EDB8666B8A8128D2C2"/>
        <w:category>
          <w:name w:val="General"/>
          <w:gallery w:val="placeholder"/>
        </w:category>
        <w:types>
          <w:type w:val="bbPlcHdr"/>
        </w:types>
        <w:behaviors>
          <w:behavior w:val="content"/>
        </w:behaviors>
        <w:guid w:val="{D6FA11A9-74F8-4038-83A5-549D7B330906}"/>
      </w:docPartPr>
      <w:docPartBody>
        <w:p w:rsidR="00DE7904" w:rsidRDefault="00F02078" w:rsidP="00F02078">
          <w:pPr>
            <w:pStyle w:val="22E2F13B21C941EDB8666B8A8128D2C2"/>
          </w:pPr>
          <w:r w:rsidRPr="007B7FD7">
            <w:rPr>
              <w:rStyle w:val="Textodelmarcadordeposicin"/>
            </w:rPr>
            <w:t>Haga clic o pulse aquí para escribir texto.</w:t>
          </w:r>
        </w:p>
      </w:docPartBody>
    </w:docPart>
    <w:docPart>
      <w:docPartPr>
        <w:name w:val="41E10594264A4AE8B533A1F6916CA1A1"/>
        <w:category>
          <w:name w:val="General"/>
          <w:gallery w:val="placeholder"/>
        </w:category>
        <w:types>
          <w:type w:val="bbPlcHdr"/>
        </w:types>
        <w:behaviors>
          <w:behavior w:val="content"/>
        </w:behaviors>
        <w:guid w:val="{AF3DAF4A-CB09-4C98-8F64-743D6D40DCB2}"/>
      </w:docPartPr>
      <w:docPartBody>
        <w:p w:rsidR="00DE7904" w:rsidRDefault="00F02078" w:rsidP="00F02078">
          <w:pPr>
            <w:pStyle w:val="41E10594264A4AE8B533A1F6916CA1A1"/>
          </w:pPr>
          <w:r w:rsidRPr="007B7FD7">
            <w:rPr>
              <w:rStyle w:val="Textodelmarcadordeposicin"/>
            </w:rPr>
            <w:t>Haga clic o pulse aquí para escribir texto.</w:t>
          </w:r>
        </w:p>
      </w:docPartBody>
    </w:docPart>
    <w:docPart>
      <w:docPartPr>
        <w:name w:val="A716CF43B8184696A38DC7DCB3A4FD23"/>
        <w:category>
          <w:name w:val="General"/>
          <w:gallery w:val="placeholder"/>
        </w:category>
        <w:types>
          <w:type w:val="bbPlcHdr"/>
        </w:types>
        <w:behaviors>
          <w:behavior w:val="content"/>
        </w:behaviors>
        <w:guid w:val="{F6481AD5-7BE9-4F68-A640-599C7F7CBF93}"/>
      </w:docPartPr>
      <w:docPartBody>
        <w:p w:rsidR="00DE7904" w:rsidRDefault="00F02078" w:rsidP="00F02078">
          <w:pPr>
            <w:pStyle w:val="A716CF43B8184696A38DC7DCB3A4FD23"/>
          </w:pPr>
          <w:r w:rsidRPr="007B7FD7">
            <w:rPr>
              <w:rStyle w:val="Textodelmarcadordeposicin"/>
            </w:rPr>
            <w:t>Haga clic o pulse aquí para escribir texto.</w:t>
          </w:r>
        </w:p>
      </w:docPartBody>
    </w:docPart>
    <w:docPart>
      <w:docPartPr>
        <w:name w:val="4D865D9501F1410A8F142484483AED4C"/>
        <w:category>
          <w:name w:val="General"/>
          <w:gallery w:val="placeholder"/>
        </w:category>
        <w:types>
          <w:type w:val="bbPlcHdr"/>
        </w:types>
        <w:behaviors>
          <w:behavior w:val="content"/>
        </w:behaviors>
        <w:guid w:val="{670D0409-56EE-4278-90D5-F0F8E717B3A6}"/>
      </w:docPartPr>
      <w:docPartBody>
        <w:p w:rsidR="00DE7904" w:rsidRDefault="00F02078" w:rsidP="00F02078">
          <w:pPr>
            <w:pStyle w:val="4D865D9501F1410A8F142484483AED4C"/>
          </w:pPr>
          <w:r w:rsidRPr="007B7FD7">
            <w:rPr>
              <w:rStyle w:val="Textodelmarcadordeposicin"/>
            </w:rPr>
            <w:t>Haga clic o pulse aquí para escribir texto.</w:t>
          </w:r>
        </w:p>
      </w:docPartBody>
    </w:docPart>
    <w:docPart>
      <w:docPartPr>
        <w:name w:val="6B1A2D590737407489C391A7D16DA5C9"/>
        <w:category>
          <w:name w:val="General"/>
          <w:gallery w:val="placeholder"/>
        </w:category>
        <w:types>
          <w:type w:val="bbPlcHdr"/>
        </w:types>
        <w:behaviors>
          <w:behavior w:val="content"/>
        </w:behaviors>
        <w:guid w:val="{51E8E4BC-32C9-44BB-A9C0-7C7F888F70AD}"/>
      </w:docPartPr>
      <w:docPartBody>
        <w:p w:rsidR="003E5941" w:rsidRDefault="00DE7904" w:rsidP="00DE7904">
          <w:pPr>
            <w:pStyle w:val="6B1A2D590737407489C391A7D16DA5C9"/>
          </w:pPr>
          <w:r w:rsidRPr="007B7FD7">
            <w:rPr>
              <w:rStyle w:val="Textodelmarcadordeposicin"/>
            </w:rPr>
            <w:t>Haga clic o pulse aquí para escribir texto.</w:t>
          </w:r>
        </w:p>
      </w:docPartBody>
    </w:docPart>
    <w:docPart>
      <w:docPartPr>
        <w:name w:val="D3EBD1877D8C4E889FEA8554804752ED"/>
        <w:category>
          <w:name w:val="General"/>
          <w:gallery w:val="placeholder"/>
        </w:category>
        <w:types>
          <w:type w:val="bbPlcHdr"/>
        </w:types>
        <w:behaviors>
          <w:behavior w:val="content"/>
        </w:behaviors>
        <w:guid w:val="{F8F107EE-EDDB-41CB-931F-C992C27469F9}"/>
      </w:docPartPr>
      <w:docPartBody>
        <w:p w:rsidR="003E5941" w:rsidRDefault="00DE7904" w:rsidP="00DE7904">
          <w:pPr>
            <w:pStyle w:val="D3EBD1877D8C4E889FEA8554804752ED"/>
          </w:pPr>
          <w:r w:rsidRPr="007B7FD7">
            <w:rPr>
              <w:rStyle w:val="Textodelmarcadordeposicin"/>
            </w:rPr>
            <w:t>Haga clic o pulse aquí para escribir texto.</w:t>
          </w:r>
        </w:p>
      </w:docPartBody>
    </w:docPart>
    <w:docPart>
      <w:docPartPr>
        <w:name w:val="1F1824ACD25048AB84522310D7A683A5"/>
        <w:category>
          <w:name w:val="General"/>
          <w:gallery w:val="placeholder"/>
        </w:category>
        <w:types>
          <w:type w:val="bbPlcHdr"/>
        </w:types>
        <w:behaviors>
          <w:behavior w:val="content"/>
        </w:behaviors>
        <w:guid w:val="{7E590F02-0397-4C52-9A8C-FB0CC0C0E7AD}"/>
      </w:docPartPr>
      <w:docPartBody>
        <w:p w:rsidR="003E5941" w:rsidRDefault="00DE7904" w:rsidP="00DE7904">
          <w:pPr>
            <w:pStyle w:val="1F1824ACD25048AB84522310D7A683A5"/>
          </w:pPr>
          <w:r w:rsidRPr="007B7FD7">
            <w:rPr>
              <w:rStyle w:val="Textodelmarcadordeposicin"/>
            </w:rPr>
            <w:t>Haga clic o pulse aquí para escribir texto.</w:t>
          </w:r>
        </w:p>
      </w:docPartBody>
    </w:docPart>
    <w:docPart>
      <w:docPartPr>
        <w:name w:val="9FFBBD1CEBBE4934B6926A6EAFB8DAC4"/>
        <w:category>
          <w:name w:val="General"/>
          <w:gallery w:val="placeholder"/>
        </w:category>
        <w:types>
          <w:type w:val="bbPlcHdr"/>
        </w:types>
        <w:behaviors>
          <w:behavior w:val="content"/>
        </w:behaviors>
        <w:guid w:val="{7970F9CB-F165-4A4D-B775-9ED80AB23876}"/>
      </w:docPartPr>
      <w:docPartBody>
        <w:p w:rsidR="003E5941" w:rsidRDefault="00DE7904" w:rsidP="00DE7904">
          <w:pPr>
            <w:pStyle w:val="9FFBBD1CEBBE4934B6926A6EAFB8DAC4"/>
          </w:pPr>
          <w:r w:rsidRPr="007B7FD7">
            <w:rPr>
              <w:rStyle w:val="Textodelmarcadordeposicin"/>
            </w:rPr>
            <w:t>Haga clic o pulse aquí para escribir texto.</w:t>
          </w:r>
        </w:p>
      </w:docPartBody>
    </w:docPart>
    <w:docPart>
      <w:docPartPr>
        <w:name w:val="40477488BE4C4F439E78C76D2593710E"/>
        <w:category>
          <w:name w:val="General"/>
          <w:gallery w:val="placeholder"/>
        </w:category>
        <w:types>
          <w:type w:val="bbPlcHdr"/>
        </w:types>
        <w:behaviors>
          <w:behavior w:val="content"/>
        </w:behaviors>
        <w:guid w:val="{8687C943-4E7D-4171-9971-41315FBFEA22}"/>
      </w:docPartPr>
      <w:docPartBody>
        <w:p w:rsidR="003E5941" w:rsidRDefault="00DE7904" w:rsidP="00DE7904">
          <w:pPr>
            <w:pStyle w:val="40477488BE4C4F439E78C76D2593710E"/>
          </w:pPr>
          <w:r w:rsidRPr="00414DBC">
            <w:rPr>
              <w:rStyle w:val="Textodelmarcadordeposicin"/>
            </w:rPr>
            <w:t>Haga clic o pulse aquí para escribir texto.</w:t>
          </w:r>
        </w:p>
      </w:docPartBody>
    </w:docPart>
    <w:docPart>
      <w:docPartPr>
        <w:name w:val="7B80CC2015444816AEA4BD9DC88634D3"/>
        <w:category>
          <w:name w:val="General"/>
          <w:gallery w:val="placeholder"/>
        </w:category>
        <w:types>
          <w:type w:val="bbPlcHdr"/>
        </w:types>
        <w:behaviors>
          <w:behavior w:val="content"/>
        </w:behaviors>
        <w:guid w:val="{03E014BF-0BA5-4B06-929D-F8F0044BC142}"/>
      </w:docPartPr>
      <w:docPartBody>
        <w:p w:rsidR="003E5941" w:rsidRDefault="00DE7904" w:rsidP="00DE7904">
          <w:pPr>
            <w:pStyle w:val="7B80CC2015444816AEA4BD9DC88634D3"/>
          </w:pPr>
          <w:r w:rsidRPr="007B7FD7">
            <w:rPr>
              <w:rStyle w:val="Textodelmarcadordeposicin"/>
            </w:rPr>
            <w:t>Haga clic o pulse aquí para escribir texto.</w:t>
          </w:r>
        </w:p>
      </w:docPartBody>
    </w:docPart>
    <w:docPart>
      <w:docPartPr>
        <w:name w:val="4856146539684334BA669B077612AEF9"/>
        <w:category>
          <w:name w:val="General"/>
          <w:gallery w:val="placeholder"/>
        </w:category>
        <w:types>
          <w:type w:val="bbPlcHdr"/>
        </w:types>
        <w:behaviors>
          <w:behavior w:val="content"/>
        </w:behaviors>
        <w:guid w:val="{6ED65C41-8F9E-4CB7-97BE-8648184CFB4F}"/>
      </w:docPartPr>
      <w:docPartBody>
        <w:p w:rsidR="003E5941" w:rsidRDefault="00DE7904" w:rsidP="00DE7904">
          <w:pPr>
            <w:pStyle w:val="4856146539684334BA669B077612AEF9"/>
          </w:pPr>
          <w:r w:rsidRPr="007B7FD7">
            <w:rPr>
              <w:rStyle w:val="Textodelmarcadordeposicin"/>
            </w:rPr>
            <w:t>Haga clic o pulse aquí para escribir texto.</w:t>
          </w:r>
        </w:p>
      </w:docPartBody>
    </w:docPart>
    <w:docPart>
      <w:docPartPr>
        <w:name w:val="2E4161D9FAEB462C8E16D47AD9984A70"/>
        <w:category>
          <w:name w:val="General"/>
          <w:gallery w:val="placeholder"/>
        </w:category>
        <w:types>
          <w:type w:val="bbPlcHdr"/>
        </w:types>
        <w:behaviors>
          <w:behavior w:val="content"/>
        </w:behaviors>
        <w:guid w:val="{73EF1F2C-9CE6-49F3-9FC1-54A0E5D8AB81}"/>
      </w:docPartPr>
      <w:docPartBody>
        <w:p w:rsidR="003E5941" w:rsidRDefault="00DE7904" w:rsidP="00DE7904">
          <w:pPr>
            <w:pStyle w:val="2E4161D9FAEB462C8E16D47AD9984A70"/>
          </w:pPr>
          <w:r w:rsidRPr="007B7FD7">
            <w:rPr>
              <w:rStyle w:val="Textodelmarcadordeposicin"/>
            </w:rPr>
            <w:t>Haga clic o pulse aquí para escribir texto.</w:t>
          </w:r>
        </w:p>
      </w:docPartBody>
    </w:docPart>
    <w:docPart>
      <w:docPartPr>
        <w:name w:val="025F97D9AA9F44EF98B15ECE53C2F9EB"/>
        <w:category>
          <w:name w:val="General"/>
          <w:gallery w:val="placeholder"/>
        </w:category>
        <w:types>
          <w:type w:val="bbPlcHdr"/>
        </w:types>
        <w:behaviors>
          <w:behavior w:val="content"/>
        </w:behaviors>
        <w:guid w:val="{8ED55AA5-E5D2-4794-ADE8-584CAA97D534}"/>
      </w:docPartPr>
      <w:docPartBody>
        <w:p w:rsidR="00FB0FA4" w:rsidRDefault="001B1E2A" w:rsidP="001B1E2A">
          <w:pPr>
            <w:pStyle w:val="025F97D9AA9F44EF98B15ECE53C2F9EB"/>
          </w:pPr>
          <w:r w:rsidRPr="007B7FD7">
            <w:rPr>
              <w:rStyle w:val="Textodelmarcadordeposicin"/>
            </w:rPr>
            <w:t>Haga clic o pulse aquí para escribir texto.</w:t>
          </w:r>
        </w:p>
      </w:docPartBody>
    </w:docPart>
    <w:docPart>
      <w:docPartPr>
        <w:name w:val="D6EA9A629192448EAE13D6F51E6F6702"/>
        <w:category>
          <w:name w:val="General"/>
          <w:gallery w:val="placeholder"/>
        </w:category>
        <w:types>
          <w:type w:val="bbPlcHdr"/>
        </w:types>
        <w:behaviors>
          <w:behavior w:val="content"/>
        </w:behaviors>
        <w:guid w:val="{248258F8-CA55-42DD-824D-E71F4D6EDBE3}"/>
      </w:docPartPr>
      <w:docPartBody>
        <w:p w:rsidR="00FB0FA4" w:rsidRDefault="001B1E2A" w:rsidP="001B1E2A">
          <w:pPr>
            <w:pStyle w:val="D6EA9A629192448EAE13D6F51E6F6702"/>
          </w:pPr>
          <w:r w:rsidRPr="007B7FD7">
            <w:rPr>
              <w:rStyle w:val="Textodelmarcadordeposicin"/>
            </w:rPr>
            <w:t>Haga clic o pulse aquí para escribir texto.</w:t>
          </w:r>
        </w:p>
      </w:docPartBody>
    </w:docPart>
    <w:docPart>
      <w:docPartPr>
        <w:name w:val="9DE7E69FC61E47BBA466D4276670C166"/>
        <w:category>
          <w:name w:val="General"/>
          <w:gallery w:val="placeholder"/>
        </w:category>
        <w:types>
          <w:type w:val="bbPlcHdr"/>
        </w:types>
        <w:behaviors>
          <w:behavior w:val="content"/>
        </w:behaviors>
        <w:guid w:val="{2A89BE5D-8BF2-4549-8433-D355B13A5130}"/>
      </w:docPartPr>
      <w:docPartBody>
        <w:p w:rsidR="00FB0FA4" w:rsidRDefault="001B1E2A" w:rsidP="001B1E2A">
          <w:pPr>
            <w:pStyle w:val="9DE7E69FC61E47BBA466D4276670C166"/>
          </w:pPr>
          <w:r w:rsidRPr="007B7FD7">
            <w:rPr>
              <w:rStyle w:val="Textodelmarcadordeposicin"/>
            </w:rPr>
            <w:t>Haga clic o pulse aquí para escribir texto.</w:t>
          </w:r>
        </w:p>
      </w:docPartBody>
    </w:docPart>
    <w:docPart>
      <w:docPartPr>
        <w:name w:val="0ED4229A06F14E558FC8D6A31A3511F3"/>
        <w:category>
          <w:name w:val="General"/>
          <w:gallery w:val="placeholder"/>
        </w:category>
        <w:types>
          <w:type w:val="bbPlcHdr"/>
        </w:types>
        <w:behaviors>
          <w:behavior w:val="content"/>
        </w:behaviors>
        <w:guid w:val="{E2F9DD18-9C22-46CB-BC5D-0705E3FEADC8}"/>
      </w:docPartPr>
      <w:docPartBody>
        <w:p w:rsidR="00FB0FA4" w:rsidRDefault="001B1E2A" w:rsidP="001B1E2A">
          <w:pPr>
            <w:pStyle w:val="0ED4229A06F14E558FC8D6A31A3511F3"/>
          </w:pPr>
          <w:r w:rsidRPr="007B7FD7">
            <w:rPr>
              <w:rStyle w:val="Textodelmarcadordeposicin"/>
            </w:rPr>
            <w:t>Haga clic o pulse aquí para escribir texto.</w:t>
          </w:r>
        </w:p>
      </w:docPartBody>
    </w:docPart>
    <w:docPart>
      <w:docPartPr>
        <w:name w:val="E824D0ED1E1B466E90295CDF5CD44F14"/>
        <w:category>
          <w:name w:val="General"/>
          <w:gallery w:val="placeholder"/>
        </w:category>
        <w:types>
          <w:type w:val="bbPlcHdr"/>
        </w:types>
        <w:behaviors>
          <w:behavior w:val="content"/>
        </w:behaviors>
        <w:guid w:val="{2325A05B-B590-41C2-9090-DC1A5E92763B}"/>
      </w:docPartPr>
      <w:docPartBody>
        <w:p w:rsidR="00FB0FA4" w:rsidRDefault="001B1E2A" w:rsidP="001B1E2A">
          <w:pPr>
            <w:pStyle w:val="E824D0ED1E1B466E90295CDF5CD44F14"/>
          </w:pPr>
          <w:r w:rsidRPr="007B7FD7">
            <w:rPr>
              <w:rStyle w:val="Textodelmarcadordeposicin"/>
            </w:rPr>
            <w:t>Haga clic o pulse aquí para escribir texto.</w:t>
          </w:r>
        </w:p>
      </w:docPartBody>
    </w:docPart>
    <w:docPart>
      <w:docPartPr>
        <w:name w:val="A24C4233DE5447ACA4B8B3D4C8B2803C"/>
        <w:category>
          <w:name w:val="General"/>
          <w:gallery w:val="placeholder"/>
        </w:category>
        <w:types>
          <w:type w:val="bbPlcHdr"/>
        </w:types>
        <w:behaviors>
          <w:behavior w:val="content"/>
        </w:behaviors>
        <w:guid w:val="{028BB7B5-A07F-4FD4-A1D9-36E0C3EFD76F}"/>
      </w:docPartPr>
      <w:docPartBody>
        <w:p w:rsidR="00FB0FA4" w:rsidRDefault="001B1E2A" w:rsidP="001B1E2A">
          <w:pPr>
            <w:pStyle w:val="A24C4233DE5447ACA4B8B3D4C8B2803C"/>
          </w:pPr>
          <w:r w:rsidRPr="007B7FD7">
            <w:rPr>
              <w:rStyle w:val="Textodelmarcadordeposicin"/>
            </w:rPr>
            <w:t>Haga clic o pulse aquí para escribir texto.</w:t>
          </w:r>
        </w:p>
      </w:docPartBody>
    </w:docPart>
    <w:docPart>
      <w:docPartPr>
        <w:name w:val="A0D681AEAA854FCD99476F7D2A22EC84"/>
        <w:category>
          <w:name w:val="General"/>
          <w:gallery w:val="placeholder"/>
        </w:category>
        <w:types>
          <w:type w:val="bbPlcHdr"/>
        </w:types>
        <w:behaviors>
          <w:behavior w:val="content"/>
        </w:behaviors>
        <w:guid w:val="{2F32D70C-D238-41C8-9E99-203E3ABF5984}"/>
      </w:docPartPr>
      <w:docPartBody>
        <w:p w:rsidR="00FB0FA4" w:rsidRDefault="001B1E2A" w:rsidP="001B1E2A">
          <w:pPr>
            <w:pStyle w:val="A0D681AEAA854FCD99476F7D2A22EC84"/>
          </w:pPr>
          <w:r w:rsidRPr="007B7FD7">
            <w:rPr>
              <w:rStyle w:val="Textodelmarcadordeposicin"/>
            </w:rPr>
            <w:t>Haga clic o pulse aquí para escribir texto.</w:t>
          </w:r>
        </w:p>
      </w:docPartBody>
    </w:docPart>
    <w:docPart>
      <w:docPartPr>
        <w:name w:val="1EA71B1551094D4D86188876EF4FD413"/>
        <w:category>
          <w:name w:val="General"/>
          <w:gallery w:val="placeholder"/>
        </w:category>
        <w:types>
          <w:type w:val="bbPlcHdr"/>
        </w:types>
        <w:behaviors>
          <w:behavior w:val="content"/>
        </w:behaviors>
        <w:guid w:val="{E0234926-55E4-4AE7-8263-66D557153287}"/>
      </w:docPartPr>
      <w:docPartBody>
        <w:p w:rsidR="00FB0FA4" w:rsidRDefault="001B1E2A" w:rsidP="001B1E2A">
          <w:pPr>
            <w:pStyle w:val="1EA71B1551094D4D86188876EF4FD413"/>
          </w:pPr>
          <w:r w:rsidRPr="007B7FD7">
            <w:rPr>
              <w:rStyle w:val="Textodelmarcadordeposicin"/>
            </w:rPr>
            <w:t>Haga clic o pulse aquí para escribir texto.</w:t>
          </w:r>
        </w:p>
      </w:docPartBody>
    </w:docPart>
    <w:docPart>
      <w:docPartPr>
        <w:name w:val="0A54DB8A3D564FFDAE639402EEB50CEB"/>
        <w:category>
          <w:name w:val="General"/>
          <w:gallery w:val="placeholder"/>
        </w:category>
        <w:types>
          <w:type w:val="bbPlcHdr"/>
        </w:types>
        <w:behaviors>
          <w:behavior w:val="content"/>
        </w:behaviors>
        <w:guid w:val="{B8FA151E-83B1-419D-97C9-384A649EF165}"/>
      </w:docPartPr>
      <w:docPartBody>
        <w:p w:rsidR="00FB0FA4" w:rsidRDefault="001B1E2A" w:rsidP="001B1E2A">
          <w:pPr>
            <w:pStyle w:val="0A54DB8A3D564FFDAE639402EEB50CEB"/>
          </w:pPr>
          <w:r w:rsidRPr="007B7FD7">
            <w:rPr>
              <w:rStyle w:val="Textodelmarcadordeposicin"/>
            </w:rPr>
            <w:t>Haga clic o pulse aquí para escribir texto.</w:t>
          </w:r>
        </w:p>
      </w:docPartBody>
    </w:docPart>
    <w:docPart>
      <w:docPartPr>
        <w:name w:val="5C444781DAF54E308FAD4527A38899B2"/>
        <w:category>
          <w:name w:val="General"/>
          <w:gallery w:val="placeholder"/>
        </w:category>
        <w:types>
          <w:type w:val="bbPlcHdr"/>
        </w:types>
        <w:behaviors>
          <w:behavior w:val="content"/>
        </w:behaviors>
        <w:guid w:val="{3FB37177-40EC-4774-A779-170311CC469C}"/>
      </w:docPartPr>
      <w:docPartBody>
        <w:p w:rsidR="00FB0FA4" w:rsidRDefault="001B1E2A" w:rsidP="001B1E2A">
          <w:pPr>
            <w:pStyle w:val="5C444781DAF54E308FAD4527A38899B2"/>
          </w:pPr>
          <w:r w:rsidRPr="007B7FD7">
            <w:rPr>
              <w:rStyle w:val="Textodelmarcadordeposicin"/>
            </w:rPr>
            <w:t>Haga clic o pulse aquí para escribir texto.</w:t>
          </w:r>
        </w:p>
      </w:docPartBody>
    </w:docPart>
    <w:docPart>
      <w:docPartPr>
        <w:name w:val="15482377D6E8458E978896BC423C674F"/>
        <w:category>
          <w:name w:val="General"/>
          <w:gallery w:val="placeholder"/>
        </w:category>
        <w:types>
          <w:type w:val="bbPlcHdr"/>
        </w:types>
        <w:behaviors>
          <w:behavior w:val="content"/>
        </w:behaviors>
        <w:guid w:val="{F4C926C3-1907-417C-A7CB-9DC6DE209943}"/>
      </w:docPartPr>
      <w:docPartBody>
        <w:p w:rsidR="00FB0FA4" w:rsidRDefault="001B1E2A" w:rsidP="001B1E2A">
          <w:pPr>
            <w:pStyle w:val="15482377D6E8458E978896BC423C674F"/>
          </w:pPr>
          <w:r w:rsidRPr="007B7FD7">
            <w:rPr>
              <w:rStyle w:val="Textodelmarcadordeposicin"/>
            </w:rPr>
            <w:t>Haga clic o pulse aquí para escribir texto.</w:t>
          </w:r>
        </w:p>
      </w:docPartBody>
    </w:docPart>
    <w:docPart>
      <w:docPartPr>
        <w:name w:val="EC7946CF310C498D8627D3D55E74FCAD"/>
        <w:category>
          <w:name w:val="General"/>
          <w:gallery w:val="placeholder"/>
        </w:category>
        <w:types>
          <w:type w:val="bbPlcHdr"/>
        </w:types>
        <w:behaviors>
          <w:behavior w:val="content"/>
        </w:behaviors>
        <w:guid w:val="{CECBD942-D3C7-4696-8926-37175FB44A91}"/>
      </w:docPartPr>
      <w:docPartBody>
        <w:p w:rsidR="00FB0FA4" w:rsidRDefault="001B1E2A" w:rsidP="001B1E2A">
          <w:pPr>
            <w:pStyle w:val="EC7946CF310C498D8627D3D55E74FCAD"/>
          </w:pPr>
          <w:r w:rsidRPr="007B7FD7">
            <w:rPr>
              <w:rStyle w:val="Textodelmarcadordeposicin"/>
            </w:rPr>
            <w:t>Haga clic o pulse aquí para escribir texto.</w:t>
          </w:r>
        </w:p>
      </w:docPartBody>
    </w:docPart>
    <w:docPart>
      <w:docPartPr>
        <w:name w:val="8642F04EBF0448B8AEE2D0617D27DF52"/>
        <w:category>
          <w:name w:val="General"/>
          <w:gallery w:val="placeholder"/>
        </w:category>
        <w:types>
          <w:type w:val="bbPlcHdr"/>
        </w:types>
        <w:behaviors>
          <w:behavior w:val="content"/>
        </w:behaviors>
        <w:guid w:val="{07D100A8-2148-481B-9A3C-365F4C962346}"/>
      </w:docPartPr>
      <w:docPartBody>
        <w:p w:rsidR="00FB0FA4" w:rsidRDefault="001B1E2A" w:rsidP="001B1E2A">
          <w:pPr>
            <w:pStyle w:val="8642F04EBF0448B8AEE2D0617D27DF52"/>
          </w:pPr>
          <w:r w:rsidRPr="007B7FD7">
            <w:rPr>
              <w:rStyle w:val="Textodelmarcadordeposicin"/>
            </w:rPr>
            <w:t>Haga clic o pulse aquí para escribir texto.</w:t>
          </w:r>
        </w:p>
      </w:docPartBody>
    </w:docPart>
    <w:docPart>
      <w:docPartPr>
        <w:name w:val="57990319C49B47A69FCF84DCEE1430DA"/>
        <w:category>
          <w:name w:val="General"/>
          <w:gallery w:val="placeholder"/>
        </w:category>
        <w:types>
          <w:type w:val="bbPlcHdr"/>
        </w:types>
        <w:behaviors>
          <w:behavior w:val="content"/>
        </w:behaviors>
        <w:guid w:val="{5B39D03C-8742-4120-A17C-10113B6F15DC}"/>
      </w:docPartPr>
      <w:docPartBody>
        <w:p w:rsidR="00FB0FA4" w:rsidRDefault="001B1E2A" w:rsidP="001B1E2A">
          <w:pPr>
            <w:pStyle w:val="57990319C49B47A69FCF84DCEE1430DA"/>
          </w:pPr>
          <w:r w:rsidRPr="007B7FD7">
            <w:rPr>
              <w:rStyle w:val="Textodelmarcadordeposicin"/>
            </w:rPr>
            <w:t>Haga clic o pulse aquí para escribir texto.</w:t>
          </w:r>
        </w:p>
      </w:docPartBody>
    </w:docPart>
    <w:docPart>
      <w:docPartPr>
        <w:name w:val="144B5B47B7244E2893FC7757BEE2665C"/>
        <w:category>
          <w:name w:val="General"/>
          <w:gallery w:val="placeholder"/>
        </w:category>
        <w:types>
          <w:type w:val="bbPlcHdr"/>
        </w:types>
        <w:behaviors>
          <w:behavior w:val="content"/>
        </w:behaviors>
        <w:guid w:val="{0C977446-14ED-46D4-8796-E21B2A3FF2A2}"/>
      </w:docPartPr>
      <w:docPartBody>
        <w:p w:rsidR="00FB0FA4" w:rsidRDefault="001B1E2A" w:rsidP="001B1E2A">
          <w:pPr>
            <w:pStyle w:val="144B5B47B7244E2893FC7757BEE2665C"/>
          </w:pPr>
          <w:r w:rsidRPr="007B7FD7">
            <w:rPr>
              <w:rStyle w:val="Textodelmarcadordeposicin"/>
            </w:rPr>
            <w:t>Haga clic o pulse aquí para escribir texto.</w:t>
          </w:r>
        </w:p>
      </w:docPartBody>
    </w:docPart>
    <w:docPart>
      <w:docPartPr>
        <w:name w:val="63E06E271ABC4E7C8163DEAFDA14300C"/>
        <w:category>
          <w:name w:val="General"/>
          <w:gallery w:val="placeholder"/>
        </w:category>
        <w:types>
          <w:type w:val="bbPlcHdr"/>
        </w:types>
        <w:behaviors>
          <w:behavior w:val="content"/>
        </w:behaviors>
        <w:guid w:val="{934EF400-5983-4511-8608-20BEE61EA9EE}"/>
      </w:docPartPr>
      <w:docPartBody>
        <w:p w:rsidR="00F5125A" w:rsidRDefault="00FB0FA4" w:rsidP="00FB0FA4">
          <w:pPr>
            <w:pStyle w:val="63E06E271ABC4E7C8163DEAFDA14300C"/>
          </w:pPr>
          <w:r w:rsidRPr="007B7FD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046CC"/>
    <w:rsid w:val="000075D2"/>
    <w:rsid w:val="00012A83"/>
    <w:rsid w:val="0001585E"/>
    <w:rsid w:val="00017AE9"/>
    <w:rsid w:val="000246EB"/>
    <w:rsid w:val="000470C8"/>
    <w:rsid w:val="000522D2"/>
    <w:rsid w:val="00060AC8"/>
    <w:rsid w:val="000668B3"/>
    <w:rsid w:val="000773ED"/>
    <w:rsid w:val="00090E7E"/>
    <w:rsid w:val="000973EF"/>
    <w:rsid w:val="000B06C9"/>
    <w:rsid w:val="000C5799"/>
    <w:rsid w:val="000E7FB8"/>
    <w:rsid w:val="000F7579"/>
    <w:rsid w:val="00105074"/>
    <w:rsid w:val="00116763"/>
    <w:rsid w:val="001356B9"/>
    <w:rsid w:val="001729C8"/>
    <w:rsid w:val="0017659A"/>
    <w:rsid w:val="00197716"/>
    <w:rsid w:val="001B1E2A"/>
    <w:rsid w:val="001B758D"/>
    <w:rsid w:val="001C1761"/>
    <w:rsid w:val="001C5250"/>
    <w:rsid w:val="001D0C4F"/>
    <w:rsid w:val="001E37B7"/>
    <w:rsid w:val="001E5D93"/>
    <w:rsid w:val="001F62EC"/>
    <w:rsid w:val="00202467"/>
    <w:rsid w:val="00216D90"/>
    <w:rsid w:val="0021713E"/>
    <w:rsid w:val="002172D4"/>
    <w:rsid w:val="00222D41"/>
    <w:rsid w:val="00230DA4"/>
    <w:rsid w:val="002404C4"/>
    <w:rsid w:val="002417A7"/>
    <w:rsid w:val="00247BB1"/>
    <w:rsid w:val="00253DA9"/>
    <w:rsid w:val="00256CF3"/>
    <w:rsid w:val="00264A55"/>
    <w:rsid w:val="002743A4"/>
    <w:rsid w:val="00285ABB"/>
    <w:rsid w:val="00286DC7"/>
    <w:rsid w:val="00297BEE"/>
    <w:rsid w:val="002A1A8A"/>
    <w:rsid w:val="002A5A3D"/>
    <w:rsid w:val="002B7194"/>
    <w:rsid w:val="002E299E"/>
    <w:rsid w:val="002E2C7D"/>
    <w:rsid w:val="002E7E30"/>
    <w:rsid w:val="003134B8"/>
    <w:rsid w:val="00313A21"/>
    <w:rsid w:val="00316213"/>
    <w:rsid w:val="00321DF4"/>
    <w:rsid w:val="003220D2"/>
    <w:rsid w:val="00332B3F"/>
    <w:rsid w:val="0033421F"/>
    <w:rsid w:val="0035333A"/>
    <w:rsid w:val="00356687"/>
    <w:rsid w:val="003701D6"/>
    <w:rsid w:val="00377752"/>
    <w:rsid w:val="00381DB7"/>
    <w:rsid w:val="0038427D"/>
    <w:rsid w:val="003843A6"/>
    <w:rsid w:val="00391414"/>
    <w:rsid w:val="003A4538"/>
    <w:rsid w:val="003B52F5"/>
    <w:rsid w:val="003B5A4F"/>
    <w:rsid w:val="003C062C"/>
    <w:rsid w:val="003C5E60"/>
    <w:rsid w:val="003C6B54"/>
    <w:rsid w:val="003E5941"/>
    <w:rsid w:val="003F1283"/>
    <w:rsid w:val="003F27AE"/>
    <w:rsid w:val="004012C8"/>
    <w:rsid w:val="00414211"/>
    <w:rsid w:val="00445513"/>
    <w:rsid w:val="004464B0"/>
    <w:rsid w:val="00464D88"/>
    <w:rsid w:val="00471E40"/>
    <w:rsid w:val="00495BEA"/>
    <w:rsid w:val="00496738"/>
    <w:rsid w:val="004A6127"/>
    <w:rsid w:val="004B1CE6"/>
    <w:rsid w:val="004B51B8"/>
    <w:rsid w:val="004D1071"/>
    <w:rsid w:val="004D280B"/>
    <w:rsid w:val="004D63E3"/>
    <w:rsid w:val="004F7095"/>
    <w:rsid w:val="004F7AAD"/>
    <w:rsid w:val="00512DDE"/>
    <w:rsid w:val="00513DED"/>
    <w:rsid w:val="00530F67"/>
    <w:rsid w:val="00544995"/>
    <w:rsid w:val="005450EB"/>
    <w:rsid w:val="00547BBF"/>
    <w:rsid w:val="0055716B"/>
    <w:rsid w:val="00557273"/>
    <w:rsid w:val="00561B85"/>
    <w:rsid w:val="00564BE3"/>
    <w:rsid w:val="00565135"/>
    <w:rsid w:val="005756A3"/>
    <w:rsid w:val="00583C94"/>
    <w:rsid w:val="00583CF2"/>
    <w:rsid w:val="00584756"/>
    <w:rsid w:val="005945A6"/>
    <w:rsid w:val="0059588B"/>
    <w:rsid w:val="005A0378"/>
    <w:rsid w:val="005B1BDB"/>
    <w:rsid w:val="005B4F7D"/>
    <w:rsid w:val="005B7C16"/>
    <w:rsid w:val="005C0EEB"/>
    <w:rsid w:val="005C5782"/>
    <w:rsid w:val="005D01FD"/>
    <w:rsid w:val="005D351E"/>
    <w:rsid w:val="005D400C"/>
    <w:rsid w:val="005E54B5"/>
    <w:rsid w:val="005E7B41"/>
    <w:rsid w:val="005F0D53"/>
    <w:rsid w:val="005F2A09"/>
    <w:rsid w:val="005F79D9"/>
    <w:rsid w:val="00610DE2"/>
    <w:rsid w:val="00631CD7"/>
    <w:rsid w:val="00642842"/>
    <w:rsid w:val="006433FA"/>
    <w:rsid w:val="0066761E"/>
    <w:rsid w:val="00674715"/>
    <w:rsid w:val="0068442F"/>
    <w:rsid w:val="006868CF"/>
    <w:rsid w:val="00687CA2"/>
    <w:rsid w:val="00696537"/>
    <w:rsid w:val="00696E1F"/>
    <w:rsid w:val="006B4615"/>
    <w:rsid w:val="006B7788"/>
    <w:rsid w:val="006C24C0"/>
    <w:rsid w:val="006C4396"/>
    <w:rsid w:val="006C68A3"/>
    <w:rsid w:val="006D186D"/>
    <w:rsid w:val="006D401D"/>
    <w:rsid w:val="006D4E76"/>
    <w:rsid w:val="006F5782"/>
    <w:rsid w:val="00701EE4"/>
    <w:rsid w:val="00712AA8"/>
    <w:rsid w:val="00716009"/>
    <w:rsid w:val="007245E1"/>
    <w:rsid w:val="00732D31"/>
    <w:rsid w:val="007B0AE9"/>
    <w:rsid w:val="007B25AC"/>
    <w:rsid w:val="007B6B29"/>
    <w:rsid w:val="007C1C7A"/>
    <w:rsid w:val="007E1C06"/>
    <w:rsid w:val="007E3C4D"/>
    <w:rsid w:val="007E4696"/>
    <w:rsid w:val="007E5A73"/>
    <w:rsid w:val="007F0AE7"/>
    <w:rsid w:val="007F1F10"/>
    <w:rsid w:val="007F309A"/>
    <w:rsid w:val="007F7C2F"/>
    <w:rsid w:val="00806A2D"/>
    <w:rsid w:val="008233C7"/>
    <w:rsid w:val="0085541D"/>
    <w:rsid w:val="0087752C"/>
    <w:rsid w:val="00895F8F"/>
    <w:rsid w:val="00895FE7"/>
    <w:rsid w:val="00896603"/>
    <w:rsid w:val="008A1B86"/>
    <w:rsid w:val="008A45A8"/>
    <w:rsid w:val="008A655F"/>
    <w:rsid w:val="008A658B"/>
    <w:rsid w:val="008A6857"/>
    <w:rsid w:val="008B7F48"/>
    <w:rsid w:val="008C4B3D"/>
    <w:rsid w:val="008C7E37"/>
    <w:rsid w:val="008E42CA"/>
    <w:rsid w:val="008E7D0C"/>
    <w:rsid w:val="008F29EF"/>
    <w:rsid w:val="008F6CBA"/>
    <w:rsid w:val="00911224"/>
    <w:rsid w:val="00925B76"/>
    <w:rsid w:val="009269B7"/>
    <w:rsid w:val="00936778"/>
    <w:rsid w:val="009413F1"/>
    <w:rsid w:val="00942F73"/>
    <w:rsid w:val="00945BE5"/>
    <w:rsid w:val="009659FB"/>
    <w:rsid w:val="00972CB7"/>
    <w:rsid w:val="0098406C"/>
    <w:rsid w:val="00985030"/>
    <w:rsid w:val="009B0F3D"/>
    <w:rsid w:val="009B183B"/>
    <w:rsid w:val="009B5CBE"/>
    <w:rsid w:val="009D0247"/>
    <w:rsid w:val="009D6665"/>
    <w:rsid w:val="00A001BD"/>
    <w:rsid w:val="00A039CC"/>
    <w:rsid w:val="00A05B37"/>
    <w:rsid w:val="00A22E2B"/>
    <w:rsid w:val="00A23E37"/>
    <w:rsid w:val="00A35768"/>
    <w:rsid w:val="00A44191"/>
    <w:rsid w:val="00A47D73"/>
    <w:rsid w:val="00A52F77"/>
    <w:rsid w:val="00A54E45"/>
    <w:rsid w:val="00A5724B"/>
    <w:rsid w:val="00A57EDC"/>
    <w:rsid w:val="00A74156"/>
    <w:rsid w:val="00A77A09"/>
    <w:rsid w:val="00A82B82"/>
    <w:rsid w:val="00A90B71"/>
    <w:rsid w:val="00A93827"/>
    <w:rsid w:val="00AA3723"/>
    <w:rsid w:val="00AD29FF"/>
    <w:rsid w:val="00AF1EC2"/>
    <w:rsid w:val="00B0011C"/>
    <w:rsid w:val="00B00BF4"/>
    <w:rsid w:val="00B05FF1"/>
    <w:rsid w:val="00B13498"/>
    <w:rsid w:val="00B17CE7"/>
    <w:rsid w:val="00B3755C"/>
    <w:rsid w:val="00B55BC2"/>
    <w:rsid w:val="00B6072F"/>
    <w:rsid w:val="00B73C2D"/>
    <w:rsid w:val="00B91E06"/>
    <w:rsid w:val="00BA0310"/>
    <w:rsid w:val="00BB2D83"/>
    <w:rsid w:val="00BB55F0"/>
    <w:rsid w:val="00BC0CBF"/>
    <w:rsid w:val="00BC5FCE"/>
    <w:rsid w:val="00BD783B"/>
    <w:rsid w:val="00BE0CF5"/>
    <w:rsid w:val="00BE2688"/>
    <w:rsid w:val="00BE57D9"/>
    <w:rsid w:val="00C022F5"/>
    <w:rsid w:val="00C1032C"/>
    <w:rsid w:val="00C11931"/>
    <w:rsid w:val="00C14560"/>
    <w:rsid w:val="00C2751E"/>
    <w:rsid w:val="00C275A9"/>
    <w:rsid w:val="00C3317B"/>
    <w:rsid w:val="00C347A0"/>
    <w:rsid w:val="00C4516E"/>
    <w:rsid w:val="00C527CC"/>
    <w:rsid w:val="00C54684"/>
    <w:rsid w:val="00C564B8"/>
    <w:rsid w:val="00C9090A"/>
    <w:rsid w:val="00C91C2D"/>
    <w:rsid w:val="00CA64E0"/>
    <w:rsid w:val="00CC4A93"/>
    <w:rsid w:val="00CD508B"/>
    <w:rsid w:val="00CE17DE"/>
    <w:rsid w:val="00CE32E4"/>
    <w:rsid w:val="00CE3CA0"/>
    <w:rsid w:val="00CF1B32"/>
    <w:rsid w:val="00CF491E"/>
    <w:rsid w:val="00D02D08"/>
    <w:rsid w:val="00D05FD2"/>
    <w:rsid w:val="00D109BB"/>
    <w:rsid w:val="00D24621"/>
    <w:rsid w:val="00D25197"/>
    <w:rsid w:val="00D31565"/>
    <w:rsid w:val="00D40D95"/>
    <w:rsid w:val="00D82127"/>
    <w:rsid w:val="00D822B4"/>
    <w:rsid w:val="00D85897"/>
    <w:rsid w:val="00D86FED"/>
    <w:rsid w:val="00DA7AB5"/>
    <w:rsid w:val="00DB0A63"/>
    <w:rsid w:val="00DB7D0D"/>
    <w:rsid w:val="00DD626A"/>
    <w:rsid w:val="00DE7904"/>
    <w:rsid w:val="00E00547"/>
    <w:rsid w:val="00E039F0"/>
    <w:rsid w:val="00E57FB7"/>
    <w:rsid w:val="00E868EC"/>
    <w:rsid w:val="00E904FA"/>
    <w:rsid w:val="00E90F7E"/>
    <w:rsid w:val="00E95B6B"/>
    <w:rsid w:val="00EA417A"/>
    <w:rsid w:val="00EB47AE"/>
    <w:rsid w:val="00EC19BA"/>
    <w:rsid w:val="00EC2710"/>
    <w:rsid w:val="00ED1840"/>
    <w:rsid w:val="00ED1C80"/>
    <w:rsid w:val="00EE47AF"/>
    <w:rsid w:val="00EF4050"/>
    <w:rsid w:val="00F02078"/>
    <w:rsid w:val="00F03C56"/>
    <w:rsid w:val="00F062E9"/>
    <w:rsid w:val="00F30CF2"/>
    <w:rsid w:val="00F41183"/>
    <w:rsid w:val="00F5125A"/>
    <w:rsid w:val="00F637BB"/>
    <w:rsid w:val="00F715C0"/>
    <w:rsid w:val="00F90479"/>
    <w:rsid w:val="00FB0FA4"/>
    <w:rsid w:val="00FB1049"/>
    <w:rsid w:val="00FB4232"/>
    <w:rsid w:val="00FC086C"/>
    <w:rsid w:val="00FC2045"/>
    <w:rsid w:val="00FD3EE2"/>
    <w:rsid w:val="00FE2FF3"/>
    <w:rsid w:val="00FE5ED8"/>
    <w:rsid w:val="00FF7AE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19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0FA4"/>
    <w:rPr>
      <w:color w:val="808080"/>
    </w:rPr>
  </w:style>
  <w:style w:type="paragraph" w:customStyle="1" w:styleId="52A95E2178D643B398D57C471B6FF8C51">
    <w:name w:val="52A95E2178D643B398D57C471B6FF8C51"/>
    <w:rsid w:val="002172D4"/>
    <w:pPr>
      <w:jc w:val="both"/>
    </w:pPr>
    <w:rPr>
      <w:rFonts w:ascii="Times New Roman" w:eastAsiaTheme="minorHAnsi" w:hAnsi="Times New Roman"/>
      <w:sz w:val="24"/>
      <w:lang w:eastAsia="en-US"/>
    </w:rPr>
  </w:style>
  <w:style w:type="paragraph" w:customStyle="1" w:styleId="AA6ADFB637C949588B4C71028492D5A8">
    <w:name w:val="AA6ADFB637C949588B4C71028492D5A8"/>
    <w:rsid w:val="004012C8"/>
  </w:style>
  <w:style w:type="paragraph" w:customStyle="1" w:styleId="514A1D4965294FE1AACF153E2E6DDA31">
    <w:name w:val="514A1D4965294FE1AACF153E2E6DDA31"/>
    <w:rsid w:val="00286DC7"/>
  </w:style>
  <w:style w:type="paragraph" w:customStyle="1" w:styleId="E5BA75A3F39446F09D928844DD9668EC">
    <w:name w:val="E5BA75A3F39446F09D928844DD9668EC"/>
    <w:rsid w:val="00286DC7"/>
  </w:style>
  <w:style w:type="paragraph" w:customStyle="1" w:styleId="41573E8C664148EFB2E02A9C76279967">
    <w:name w:val="41573E8C664148EFB2E02A9C76279967"/>
    <w:rsid w:val="008A655F"/>
    <w:pPr>
      <w:spacing w:line="278" w:lineRule="auto"/>
    </w:pPr>
    <w:rPr>
      <w:kern w:val="2"/>
      <w:sz w:val="24"/>
      <w:szCs w:val="24"/>
    </w:rPr>
  </w:style>
  <w:style w:type="paragraph" w:customStyle="1" w:styleId="505670272798493C940F2A21A88DF3D1">
    <w:name w:val="505670272798493C940F2A21A88DF3D1"/>
    <w:rPr>
      <w:kern w:val="2"/>
    </w:rPr>
  </w:style>
  <w:style w:type="paragraph" w:customStyle="1" w:styleId="C253DC77570F4E329353DB2CB0BA448B">
    <w:name w:val="C253DC77570F4E329353DB2CB0BA448B"/>
    <w:pPr>
      <w:spacing w:line="278" w:lineRule="auto"/>
    </w:pPr>
    <w:rPr>
      <w:kern w:val="2"/>
      <w:sz w:val="24"/>
      <w:szCs w:val="24"/>
    </w:rPr>
  </w:style>
  <w:style w:type="paragraph" w:customStyle="1" w:styleId="C2393C13F1B64E7D9486E5834AC1A0D0">
    <w:name w:val="C2393C13F1B64E7D9486E5834AC1A0D0"/>
    <w:pPr>
      <w:spacing w:line="278" w:lineRule="auto"/>
    </w:pPr>
    <w:rPr>
      <w:kern w:val="2"/>
      <w:sz w:val="24"/>
      <w:szCs w:val="24"/>
    </w:rPr>
  </w:style>
  <w:style w:type="paragraph" w:customStyle="1" w:styleId="689EC45628C41248A299345D18645521">
    <w:name w:val="689EC45628C41248A299345D18645521"/>
    <w:rsid w:val="004D1071"/>
    <w:pPr>
      <w:spacing w:line="278" w:lineRule="auto"/>
    </w:pPr>
    <w:rPr>
      <w:kern w:val="2"/>
      <w:sz w:val="24"/>
      <w:szCs w:val="24"/>
      <w:lang w:eastAsia="es-MX"/>
    </w:rPr>
  </w:style>
  <w:style w:type="paragraph" w:customStyle="1" w:styleId="D444E435CAFFC94A9C2F8D1FE444CD15">
    <w:name w:val="D444E435CAFFC94A9C2F8D1FE444CD15"/>
    <w:rsid w:val="004D1071"/>
    <w:pPr>
      <w:spacing w:line="278" w:lineRule="auto"/>
    </w:pPr>
    <w:rPr>
      <w:kern w:val="2"/>
      <w:sz w:val="24"/>
      <w:szCs w:val="24"/>
      <w:lang w:eastAsia="es-MX"/>
    </w:rPr>
  </w:style>
  <w:style w:type="paragraph" w:customStyle="1" w:styleId="2ACFCDC492CB56418669A6F849108796">
    <w:name w:val="2ACFCDC492CB56418669A6F849108796"/>
    <w:pPr>
      <w:spacing w:line="278" w:lineRule="auto"/>
    </w:pPr>
    <w:rPr>
      <w:kern w:val="2"/>
      <w:sz w:val="24"/>
      <w:szCs w:val="24"/>
      <w:lang w:eastAsia="es-MX"/>
    </w:rPr>
  </w:style>
  <w:style w:type="paragraph" w:customStyle="1" w:styleId="EFB16336C03CBF4483E30671BBF2C17F">
    <w:name w:val="EFB16336C03CBF4483E30671BBF2C17F"/>
    <w:pPr>
      <w:spacing w:line="278" w:lineRule="auto"/>
    </w:pPr>
    <w:rPr>
      <w:kern w:val="2"/>
      <w:sz w:val="24"/>
      <w:szCs w:val="24"/>
      <w:lang w:eastAsia="es-MX"/>
    </w:rPr>
  </w:style>
  <w:style w:type="paragraph" w:customStyle="1" w:styleId="9C5301A26627384E83DD4BA7130FFA44">
    <w:name w:val="9C5301A26627384E83DD4BA7130FFA44"/>
    <w:rsid w:val="00C2751E"/>
    <w:pPr>
      <w:spacing w:line="278" w:lineRule="auto"/>
    </w:pPr>
    <w:rPr>
      <w:kern w:val="2"/>
      <w:sz w:val="24"/>
      <w:szCs w:val="24"/>
      <w:lang w:eastAsia="es-MX"/>
    </w:rPr>
  </w:style>
  <w:style w:type="paragraph" w:customStyle="1" w:styleId="A915F7D734624F65A7562FF3E0590010">
    <w:name w:val="A915F7D734624F65A7562FF3E0590010"/>
    <w:rsid w:val="00FC2045"/>
    <w:pPr>
      <w:spacing w:line="278" w:lineRule="auto"/>
    </w:pPr>
    <w:rPr>
      <w:kern w:val="2"/>
      <w:sz w:val="24"/>
      <w:szCs w:val="24"/>
    </w:rPr>
  </w:style>
  <w:style w:type="paragraph" w:customStyle="1" w:styleId="702E472E19E24949990AE0805B3DCC5E">
    <w:name w:val="702E472E19E24949990AE0805B3DCC5E"/>
    <w:rsid w:val="00090E7E"/>
    <w:rPr>
      <w:lang w:val="en-US" w:eastAsia="en-US"/>
    </w:rPr>
  </w:style>
  <w:style w:type="paragraph" w:customStyle="1" w:styleId="7FB2DDD2F1164D6E8EC8BE2AD7C480B8">
    <w:name w:val="7FB2DDD2F1164D6E8EC8BE2AD7C480B8"/>
    <w:rsid w:val="00C1032C"/>
    <w:rPr>
      <w:lang w:val="en-US" w:eastAsia="en-US"/>
    </w:rPr>
  </w:style>
  <w:style w:type="paragraph" w:customStyle="1" w:styleId="CC1D3B8D166C4BFCAD38E0ED9E0012C9">
    <w:name w:val="CC1D3B8D166C4BFCAD38E0ED9E0012C9"/>
    <w:rsid w:val="00C1032C"/>
    <w:rPr>
      <w:lang w:val="en-US" w:eastAsia="en-US"/>
    </w:rPr>
  </w:style>
  <w:style w:type="paragraph" w:customStyle="1" w:styleId="6DB16FF16ED5417FB00E135D37F899BB">
    <w:name w:val="6DB16FF16ED5417FB00E135D37F899BB"/>
    <w:rsid w:val="00C1032C"/>
    <w:rPr>
      <w:lang w:val="en-US" w:eastAsia="en-US"/>
    </w:rPr>
  </w:style>
  <w:style w:type="paragraph" w:customStyle="1" w:styleId="3457BF9A5E30408A92377947471BBFCC">
    <w:name w:val="3457BF9A5E30408A92377947471BBFCC"/>
    <w:rsid w:val="00C1032C"/>
    <w:rPr>
      <w:lang w:val="en-US" w:eastAsia="en-US"/>
    </w:rPr>
  </w:style>
  <w:style w:type="paragraph" w:customStyle="1" w:styleId="D96D9B7653FE487EAF154F11B57DE6F2">
    <w:name w:val="D96D9B7653FE487EAF154F11B57DE6F2"/>
    <w:rsid w:val="00C1032C"/>
    <w:rPr>
      <w:lang w:val="en-US" w:eastAsia="en-US"/>
    </w:rPr>
  </w:style>
  <w:style w:type="paragraph" w:customStyle="1" w:styleId="D4912901F0A04688A8A791776B49D2A9">
    <w:name w:val="D4912901F0A04688A8A791776B49D2A9"/>
    <w:rsid w:val="00C1032C"/>
    <w:rPr>
      <w:lang w:val="en-US" w:eastAsia="en-US"/>
    </w:rPr>
  </w:style>
  <w:style w:type="paragraph" w:customStyle="1" w:styleId="0F8A00C57FAE4C64B520A4A5CC868D5A">
    <w:name w:val="0F8A00C57FAE4C64B520A4A5CC868D5A"/>
    <w:rsid w:val="0087752C"/>
    <w:rPr>
      <w:lang w:val="en-US" w:eastAsia="en-US"/>
    </w:rPr>
  </w:style>
  <w:style w:type="paragraph" w:customStyle="1" w:styleId="0F144165463C4ED8988724A0EE3F9C50">
    <w:name w:val="0F144165463C4ED8988724A0EE3F9C50"/>
    <w:rsid w:val="00391414"/>
    <w:rPr>
      <w:lang w:val="en-US" w:eastAsia="en-US"/>
    </w:rPr>
  </w:style>
  <w:style w:type="paragraph" w:customStyle="1" w:styleId="D9448890D5CA4AAEB709B07D45FD7AE4">
    <w:name w:val="D9448890D5CA4AAEB709B07D45FD7AE4"/>
    <w:rsid w:val="0087752C"/>
    <w:rPr>
      <w:lang w:val="en-US" w:eastAsia="en-US"/>
    </w:rPr>
  </w:style>
  <w:style w:type="paragraph" w:customStyle="1" w:styleId="DF46E68C75F04942B27A06B177074E2A">
    <w:name w:val="DF46E68C75F04942B27A06B177074E2A"/>
    <w:rsid w:val="00391414"/>
    <w:rPr>
      <w:lang w:val="en-US" w:eastAsia="en-US"/>
    </w:rPr>
  </w:style>
  <w:style w:type="paragraph" w:customStyle="1" w:styleId="DDE11A4E36984FD090385C75B86C27E5">
    <w:name w:val="DDE11A4E36984FD090385C75B86C27E5"/>
    <w:rsid w:val="0055716B"/>
  </w:style>
  <w:style w:type="paragraph" w:customStyle="1" w:styleId="22E2F13B21C941EDB8666B8A8128D2C2">
    <w:name w:val="22E2F13B21C941EDB8666B8A8128D2C2"/>
    <w:rsid w:val="00F02078"/>
    <w:rPr>
      <w:lang w:val="en-US" w:eastAsia="en-US"/>
    </w:rPr>
  </w:style>
  <w:style w:type="paragraph" w:customStyle="1" w:styleId="B393CE2993ED4022944F78B5DB20BC4E">
    <w:name w:val="B393CE2993ED4022944F78B5DB20BC4E"/>
    <w:rsid w:val="00F02078"/>
    <w:rPr>
      <w:lang w:val="en-US" w:eastAsia="en-US"/>
    </w:rPr>
  </w:style>
  <w:style w:type="paragraph" w:customStyle="1" w:styleId="B9E00E3199014ABFA22594D4C3567D12">
    <w:name w:val="B9E00E3199014ABFA22594D4C3567D12"/>
    <w:rsid w:val="00F02078"/>
    <w:rPr>
      <w:lang w:val="en-US" w:eastAsia="en-US"/>
    </w:rPr>
  </w:style>
  <w:style w:type="paragraph" w:customStyle="1" w:styleId="41E10594264A4AE8B533A1F6916CA1A1">
    <w:name w:val="41E10594264A4AE8B533A1F6916CA1A1"/>
    <w:rsid w:val="00F02078"/>
    <w:rPr>
      <w:lang w:val="en-US" w:eastAsia="en-US"/>
    </w:rPr>
  </w:style>
  <w:style w:type="paragraph" w:customStyle="1" w:styleId="A716CF43B8184696A38DC7DCB3A4FD23">
    <w:name w:val="A716CF43B8184696A38DC7DCB3A4FD23"/>
    <w:rsid w:val="00F02078"/>
    <w:rPr>
      <w:lang w:val="en-US" w:eastAsia="en-US"/>
    </w:rPr>
  </w:style>
  <w:style w:type="paragraph" w:customStyle="1" w:styleId="70F991F5A65E4998AA0B812E9BE696EE">
    <w:name w:val="70F991F5A65E4998AA0B812E9BE696EE"/>
    <w:rsid w:val="00F02078"/>
    <w:rPr>
      <w:lang w:val="en-US" w:eastAsia="en-US"/>
    </w:rPr>
  </w:style>
  <w:style w:type="paragraph" w:customStyle="1" w:styleId="4D865D9501F1410A8F142484483AED4C">
    <w:name w:val="4D865D9501F1410A8F142484483AED4C"/>
    <w:rsid w:val="00F02078"/>
    <w:rPr>
      <w:lang w:val="en-US" w:eastAsia="en-US"/>
    </w:rPr>
  </w:style>
  <w:style w:type="paragraph" w:customStyle="1" w:styleId="6B1A2D590737407489C391A7D16DA5C9">
    <w:name w:val="6B1A2D590737407489C391A7D16DA5C9"/>
    <w:rsid w:val="00DE7904"/>
    <w:rPr>
      <w:lang w:val="en-US" w:eastAsia="en-US"/>
    </w:rPr>
  </w:style>
  <w:style w:type="paragraph" w:customStyle="1" w:styleId="D3EBD1877D8C4E889FEA8554804752ED">
    <w:name w:val="D3EBD1877D8C4E889FEA8554804752ED"/>
    <w:rsid w:val="00DE7904"/>
    <w:rPr>
      <w:lang w:val="en-US" w:eastAsia="en-US"/>
    </w:rPr>
  </w:style>
  <w:style w:type="paragraph" w:customStyle="1" w:styleId="1F1824ACD25048AB84522310D7A683A5">
    <w:name w:val="1F1824ACD25048AB84522310D7A683A5"/>
    <w:rsid w:val="00DE7904"/>
    <w:rPr>
      <w:lang w:val="en-US" w:eastAsia="en-US"/>
    </w:rPr>
  </w:style>
  <w:style w:type="paragraph" w:customStyle="1" w:styleId="9FFBBD1CEBBE4934B6926A6EAFB8DAC4">
    <w:name w:val="9FFBBD1CEBBE4934B6926A6EAFB8DAC4"/>
    <w:rsid w:val="00DE7904"/>
    <w:rPr>
      <w:lang w:val="en-US" w:eastAsia="en-US"/>
    </w:rPr>
  </w:style>
  <w:style w:type="paragraph" w:customStyle="1" w:styleId="40477488BE4C4F439E78C76D2593710E">
    <w:name w:val="40477488BE4C4F439E78C76D2593710E"/>
    <w:rsid w:val="00DE7904"/>
    <w:rPr>
      <w:lang w:val="en-US" w:eastAsia="en-US"/>
    </w:rPr>
  </w:style>
  <w:style w:type="paragraph" w:customStyle="1" w:styleId="7B80CC2015444816AEA4BD9DC88634D3">
    <w:name w:val="7B80CC2015444816AEA4BD9DC88634D3"/>
    <w:rsid w:val="00DE7904"/>
    <w:rPr>
      <w:lang w:val="en-US" w:eastAsia="en-US"/>
    </w:rPr>
  </w:style>
  <w:style w:type="paragraph" w:customStyle="1" w:styleId="4856146539684334BA669B077612AEF9">
    <w:name w:val="4856146539684334BA669B077612AEF9"/>
    <w:rsid w:val="00DE7904"/>
    <w:rPr>
      <w:lang w:val="en-US" w:eastAsia="en-US"/>
    </w:rPr>
  </w:style>
  <w:style w:type="paragraph" w:customStyle="1" w:styleId="2E4161D9FAEB462C8E16D47AD9984A70">
    <w:name w:val="2E4161D9FAEB462C8E16D47AD9984A70"/>
    <w:rsid w:val="00DE7904"/>
    <w:rPr>
      <w:lang w:val="en-US" w:eastAsia="en-US"/>
    </w:rPr>
  </w:style>
  <w:style w:type="paragraph" w:customStyle="1" w:styleId="77FB7F01BA474A4F8B49F048E16B5A05">
    <w:name w:val="77FB7F01BA474A4F8B49F048E16B5A05"/>
    <w:rsid w:val="00564BE3"/>
    <w:rPr>
      <w:lang w:val="en-US" w:eastAsia="en-US"/>
    </w:rPr>
  </w:style>
  <w:style w:type="paragraph" w:customStyle="1" w:styleId="2575A455C82E429AB12B123531BBACD8">
    <w:name w:val="2575A455C82E429AB12B123531BBACD8"/>
    <w:rsid w:val="001B1E2A"/>
    <w:pPr>
      <w:spacing w:line="278" w:lineRule="auto"/>
    </w:pPr>
    <w:rPr>
      <w:kern w:val="2"/>
      <w:sz w:val="24"/>
      <w:szCs w:val="24"/>
      <w14:ligatures w14:val="standardContextual"/>
    </w:rPr>
  </w:style>
  <w:style w:type="paragraph" w:customStyle="1" w:styleId="025F97D9AA9F44EF98B15ECE53C2F9EB">
    <w:name w:val="025F97D9AA9F44EF98B15ECE53C2F9EB"/>
    <w:rsid w:val="001B1E2A"/>
    <w:pPr>
      <w:spacing w:line="278" w:lineRule="auto"/>
    </w:pPr>
    <w:rPr>
      <w:kern w:val="2"/>
      <w:sz w:val="24"/>
      <w:szCs w:val="24"/>
      <w14:ligatures w14:val="standardContextual"/>
    </w:rPr>
  </w:style>
  <w:style w:type="paragraph" w:customStyle="1" w:styleId="D6EA9A629192448EAE13D6F51E6F6702">
    <w:name w:val="D6EA9A629192448EAE13D6F51E6F6702"/>
    <w:rsid w:val="001B1E2A"/>
    <w:pPr>
      <w:spacing w:line="278" w:lineRule="auto"/>
    </w:pPr>
    <w:rPr>
      <w:kern w:val="2"/>
      <w:sz w:val="24"/>
      <w:szCs w:val="24"/>
      <w14:ligatures w14:val="standardContextual"/>
    </w:rPr>
  </w:style>
  <w:style w:type="paragraph" w:customStyle="1" w:styleId="9DE7E69FC61E47BBA466D4276670C166">
    <w:name w:val="9DE7E69FC61E47BBA466D4276670C166"/>
    <w:rsid w:val="001B1E2A"/>
    <w:pPr>
      <w:spacing w:line="278" w:lineRule="auto"/>
    </w:pPr>
    <w:rPr>
      <w:kern w:val="2"/>
      <w:sz w:val="24"/>
      <w:szCs w:val="24"/>
      <w14:ligatures w14:val="standardContextual"/>
    </w:rPr>
  </w:style>
  <w:style w:type="paragraph" w:customStyle="1" w:styleId="0ED4229A06F14E558FC8D6A31A3511F3">
    <w:name w:val="0ED4229A06F14E558FC8D6A31A3511F3"/>
    <w:rsid w:val="001B1E2A"/>
    <w:pPr>
      <w:spacing w:line="278" w:lineRule="auto"/>
    </w:pPr>
    <w:rPr>
      <w:kern w:val="2"/>
      <w:sz w:val="24"/>
      <w:szCs w:val="24"/>
      <w14:ligatures w14:val="standardContextual"/>
    </w:rPr>
  </w:style>
  <w:style w:type="paragraph" w:customStyle="1" w:styleId="E824D0ED1E1B466E90295CDF5CD44F14">
    <w:name w:val="E824D0ED1E1B466E90295CDF5CD44F14"/>
    <w:rsid w:val="001B1E2A"/>
    <w:pPr>
      <w:spacing w:line="278" w:lineRule="auto"/>
    </w:pPr>
    <w:rPr>
      <w:kern w:val="2"/>
      <w:sz w:val="24"/>
      <w:szCs w:val="24"/>
      <w14:ligatures w14:val="standardContextual"/>
    </w:rPr>
  </w:style>
  <w:style w:type="paragraph" w:customStyle="1" w:styleId="A24C4233DE5447ACA4B8B3D4C8B2803C">
    <w:name w:val="A24C4233DE5447ACA4B8B3D4C8B2803C"/>
    <w:rsid w:val="001B1E2A"/>
    <w:pPr>
      <w:spacing w:line="278" w:lineRule="auto"/>
    </w:pPr>
    <w:rPr>
      <w:kern w:val="2"/>
      <w:sz w:val="24"/>
      <w:szCs w:val="24"/>
      <w14:ligatures w14:val="standardContextual"/>
    </w:rPr>
  </w:style>
  <w:style w:type="paragraph" w:customStyle="1" w:styleId="A0D681AEAA854FCD99476F7D2A22EC84">
    <w:name w:val="A0D681AEAA854FCD99476F7D2A22EC84"/>
    <w:rsid w:val="001B1E2A"/>
    <w:pPr>
      <w:spacing w:line="278" w:lineRule="auto"/>
    </w:pPr>
    <w:rPr>
      <w:kern w:val="2"/>
      <w:sz w:val="24"/>
      <w:szCs w:val="24"/>
      <w14:ligatures w14:val="standardContextual"/>
    </w:rPr>
  </w:style>
  <w:style w:type="paragraph" w:customStyle="1" w:styleId="1EA71B1551094D4D86188876EF4FD413">
    <w:name w:val="1EA71B1551094D4D86188876EF4FD413"/>
    <w:rsid w:val="001B1E2A"/>
    <w:pPr>
      <w:spacing w:line="278" w:lineRule="auto"/>
    </w:pPr>
    <w:rPr>
      <w:kern w:val="2"/>
      <w:sz w:val="24"/>
      <w:szCs w:val="24"/>
      <w14:ligatures w14:val="standardContextual"/>
    </w:rPr>
  </w:style>
  <w:style w:type="paragraph" w:customStyle="1" w:styleId="0A54DB8A3D564FFDAE639402EEB50CEB">
    <w:name w:val="0A54DB8A3D564FFDAE639402EEB50CEB"/>
    <w:rsid w:val="001B1E2A"/>
    <w:pPr>
      <w:spacing w:line="278" w:lineRule="auto"/>
    </w:pPr>
    <w:rPr>
      <w:kern w:val="2"/>
      <w:sz w:val="24"/>
      <w:szCs w:val="24"/>
      <w14:ligatures w14:val="standardContextual"/>
    </w:rPr>
  </w:style>
  <w:style w:type="paragraph" w:customStyle="1" w:styleId="5C444781DAF54E308FAD4527A38899B2">
    <w:name w:val="5C444781DAF54E308FAD4527A38899B2"/>
    <w:rsid w:val="001B1E2A"/>
    <w:pPr>
      <w:spacing w:line="278" w:lineRule="auto"/>
    </w:pPr>
    <w:rPr>
      <w:kern w:val="2"/>
      <w:sz w:val="24"/>
      <w:szCs w:val="24"/>
      <w14:ligatures w14:val="standardContextual"/>
    </w:rPr>
  </w:style>
  <w:style w:type="paragraph" w:customStyle="1" w:styleId="15482377D6E8458E978896BC423C674F">
    <w:name w:val="15482377D6E8458E978896BC423C674F"/>
    <w:rsid w:val="001B1E2A"/>
    <w:pPr>
      <w:spacing w:line="278" w:lineRule="auto"/>
    </w:pPr>
    <w:rPr>
      <w:kern w:val="2"/>
      <w:sz w:val="24"/>
      <w:szCs w:val="24"/>
      <w14:ligatures w14:val="standardContextual"/>
    </w:rPr>
  </w:style>
  <w:style w:type="paragraph" w:customStyle="1" w:styleId="EC7946CF310C498D8627D3D55E74FCAD">
    <w:name w:val="EC7946CF310C498D8627D3D55E74FCAD"/>
    <w:rsid w:val="001B1E2A"/>
    <w:pPr>
      <w:spacing w:line="278" w:lineRule="auto"/>
    </w:pPr>
    <w:rPr>
      <w:kern w:val="2"/>
      <w:sz w:val="24"/>
      <w:szCs w:val="24"/>
      <w14:ligatures w14:val="standardContextual"/>
    </w:rPr>
  </w:style>
  <w:style w:type="paragraph" w:customStyle="1" w:styleId="8642F04EBF0448B8AEE2D0617D27DF52">
    <w:name w:val="8642F04EBF0448B8AEE2D0617D27DF52"/>
    <w:rsid w:val="001B1E2A"/>
    <w:pPr>
      <w:spacing w:line="278" w:lineRule="auto"/>
    </w:pPr>
    <w:rPr>
      <w:kern w:val="2"/>
      <w:sz w:val="24"/>
      <w:szCs w:val="24"/>
      <w14:ligatures w14:val="standardContextual"/>
    </w:rPr>
  </w:style>
  <w:style w:type="paragraph" w:customStyle="1" w:styleId="57990319C49B47A69FCF84DCEE1430DA">
    <w:name w:val="57990319C49B47A69FCF84DCEE1430DA"/>
    <w:rsid w:val="001B1E2A"/>
    <w:pPr>
      <w:spacing w:line="278" w:lineRule="auto"/>
    </w:pPr>
    <w:rPr>
      <w:kern w:val="2"/>
      <w:sz w:val="24"/>
      <w:szCs w:val="24"/>
      <w14:ligatures w14:val="standardContextual"/>
    </w:rPr>
  </w:style>
  <w:style w:type="paragraph" w:customStyle="1" w:styleId="144B5B47B7244E2893FC7757BEE2665C">
    <w:name w:val="144B5B47B7244E2893FC7757BEE2665C"/>
    <w:rsid w:val="001B1E2A"/>
    <w:pPr>
      <w:spacing w:line="278" w:lineRule="auto"/>
    </w:pPr>
    <w:rPr>
      <w:kern w:val="2"/>
      <w:sz w:val="24"/>
      <w:szCs w:val="24"/>
      <w14:ligatures w14:val="standardContextual"/>
    </w:rPr>
  </w:style>
  <w:style w:type="paragraph" w:customStyle="1" w:styleId="63E06E271ABC4E7C8163DEAFDA14300C">
    <w:name w:val="63E06E271ABC4E7C8163DEAFDA14300C"/>
    <w:rsid w:val="00FB0FA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FB8C28-4312-44B4-A7BD-16DD7C4FE369}">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7376228895"/>
    <we:property name="MENDELEY_CITATIONS" value="[{&quot;citationID&quot;:&quot;MENDELEY_CITATION_1801f23b-3a58-4379-a238-bfa32d5b532d&quot;,&quot;properties&quot;:{&quot;noteIndex&quot;:0},&quot;isEdited&quot;:false,&quot;manualOverride&quot;:{&quot;isManuallyOverridden&quot;:false,&quot;citeprocText&quot;:&quot;(Decreto 624 de 1989, Estatuto Tributario, 1989a)&quot;,&quot;manualOverrideText&quot;:&quot;&quot;},&quot;citationTag&quot;:&quot;MENDELEY_CITATION_v3_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&quot;,&quot;citationItems&quot;:[{&quot;id&quot;:&quot;b1f65cb5-b750-38ff-9d43-36fb214173aa&quot;,&quot;itemData&quot;:{&quot;type&quot;:&quot;legislation&quot;,&quot;id&quot;:&quot;b1f65cb5-b750-38ff-9d43-36fb214173aa&quot;,&quot;title&quot;:&quot;Decreto 624 de 1989, Estatuto Tributario&quot;,&quot;author&quot;:[{&quot;family&quot;:&quot;Colombia&quot;,&quot;given&quot;:&quot;Presidencia de la República&quot;,&quot;parse-names&quot;:false,&quot;dropping-particle&quot;:&quot;de&quot;,&quot;non-dropping-particle&quot;:&quot;&quot;}],&quot;URL&quot;:&quot;https://www.suin-juriscol.gov.co/viewDocument.asp?id=1132325&quot;,&quot;issued&quot;:{&quot;date-parts&quot;:[[1989]]},&quot;language&quot;:&quot;es&quot;,&quot;abstract&quot;:&quot;Contiene las disposiciones estructurales sobre obligación de retener, agente retenedor, periodicidad, sanciones, facilidades de pago y cobro coactivo, además del artículo 580-1.&quot;,&quot;publisher&quot;:&quot;Presidencia de la República de Colombia&quot;,&quot;container-title-short&quot;:&quot;&quot;},&quot;isTemporary&quot;:false}]},{&quot;citationID&quot;:&quot;MENDELEY_CITATION_5028819b-1f80-4c9c-87a1-ed0ff7ba5f12&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NTAyODgxOWItMWY4MC00YzljLTg3YTEtZWQwZmY3YmE1ZjE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6addef29-4119-4c1b-8b57-1d8d26a3d696&quot;,&quot;properties&quot;:{&quot;noteIndex&quot;:0},&quot;isEdited&quot;:false,&quot;manualOverride&quot;:{&quot;isManuallyOverridden&quot;:true,&quot;citeprocText&quot;:&quot;(Stiglitz, 2002a)&quot;,&quot;manualOverrideText&quot;:&quot;(Stiglitz, 2002)&quot;},&quot;citationTag&quot;:&quot;MENDELEY_CITATION_v3_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&quot;,&quot;citationItems&quot;:[{&quot;id&quot;:&quot;e95145aa-a9eb-3561-90f9-6ae2d6702a22&quot;,&quot;itemData&quot;:{&quot;type&quot;:&quot;book&quot;,&quot;id&quot;:&quot;e95145aa-a9eb-3561-90f9-6ae2d6702a22&quot;,&quot;title&quot;:&quot;La economía del sector público&quot;,&quot;groupId&quot;:&quot;971ce9a8-6561-39c7-bc05-0917ce119c89&quot;,&quot;author&quot;:[{&quot;family&quot;:&quot;Stiglitz&quot;,&quot;given&quot;:&quot;Joseph E..&quot;,&quot;parse-names&quot;:false,&quot;dropping-particle&quot;:&quot;&quot;,&quot;non-dropping-particle&quot;:&quot;&quot;}],&quot;ISBN&quot;:&quot;8495348055&quot;,&quot;issued&quot;:{&quot;date-parts&quot;:[[2002]]},&quot;abstract&quot;:&quot;3a. edition. &quot;,&quot;publisher&quot;:&quot;Antoni Bosh&quot;},&quot;isTemporary&quot;:false}]},{&quot;citationID&quot;:&quot;MENDELEY_CITATION_b5c5b026-51f6-4d72-a9e5-963440e3e9da&quot;,&quot;properties&quot;:{&quot;noteIndex&quot;:0},&quot;isEdited&quot;:false,&quot;manualOverride&quot;:{&quot;isManuallyOverridden&quot;:true,&quot;citeprocText&quot;:&quot;(Musgrave, 1959b)&quot;,&quot;manualOverrideText&quot;:&quot;(Musgrave, 1959)&quot;},&quot;citationTag&quot;:&quot;MENDELEY_CITATION_v3_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&quot;,&quot;citationItems&quot;:[{&quot;id&quot;:&quot;0170a934-f2f0-336c-bf22-0f352558f896&quot;,&quot;itemData&quot;:{&quot;type&quot;:&quot;article-journal&quot;,&quot;id&quot;:&quot;0170a934-f2f0-336c-bf22-0f352558f896&quot;,&quot;title&quot;:&quot;Hacienda Pública. Teórica y Aplicada&quot;,&quot;groupId&quot;:&quot;971ce9a8-6561-39c7-bc05-0917ce119c89&quot;,&quot;author&quot;:[{&quot;family&quot;:&quot;Musgrave&quot;,&quot;given&quot;:&quot;Richard&quot;,&quot;parse-names&quot;:false,&quot;dropping-particle&quot;:&quot;&quot;,&quot;non-dropping-particle&quot;:&quot;&quot;}],&quot;issued&quot;:{&quot;date-parts&quot;:[[1959]]}},&quot;isTemporary&quot;:false}]},{&quot;citationID&quot;:&quot;MENDELEY_CITATION_99fa181d-faff-4f93-bd0e-7c49e59b87a5&quot;,&quot;properties&quot;:{&quot;noteIndex&quot;:0},&quot;isEdited&quot;:false,&quot;manualOverride&quot;:{&quot;isManuallyOverridden&quot;:false,&quot;citeprocText&quot;:&quot;(Restrepo, 2024)&quot;,&quot;manualOverrideText&quot;:&quot;&quot;},&quot;citationTag&quot;:&quot;MENDELEY_CITATION_v3_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&quot;,&quot;citationItems&quot;:[{&quot;id&quot;:&quot;b9e58383-2a7f-3e1a-915d-3bd6865cd764&quot;,&quot;itemData&quot;:{&quot;type&quot;:&quot;report&quot;,&quot;id&quot;:&quot;b9e58383-2a7f-3e1a-915d-3bd6865cd764&quot;,&quot;title&quot;:&quot;hacienda pública&quot;,&quot;groupId&quot;:&quot;971ce9a8-6561-39c7-bc05-0917ce119c89&quot;,&quot;author&quot;:[{&quot;family&quot;:&quot;Restrepo&quot;,&quot;given&quot;:&quot;Juan Camilo&quot;,&quot;parse-names&quot;:false,&quot;dropping-particle&quot;:&quot;&quot;,&quot;non-dropping-particle&quot;:&quot;&quot;}],&quot;issued&quot;:{&quot;date-parts&quot;:[[2024]]}},&quot;isTemporary&quot;:false}]},{&quot;citationID&quot;:&quot;MENDELEY_CITATION_88a0286a-a72c-43cb-9c4a-92e4afdcec3e&quot;,&quot;properties&quot;:{&quot;noteIndex&quot;:0},&quot;isEdited&quot;:false,&quot;manualOverride&quot;:{&quot;isManuallyOverridden&quot;:true,&quot;citeprocText&quot;:&quot;(Palacio Rincón Paola Adriana, 2018)&quot;,&quot;manualOverrideText&quot;:&quot;Rincón (2018)&quot;},&quot;citationTag&quot;:&quot;MENDELEY_CITATION_v3_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&quot;,&quot;citationItems&quot;:[{&quot;id&quot;:&quot;570fb430-0f6b-3db8-9e22-48f8d35a7399&quot;,&quot;itemData&quot;:{&quot;type&quot;:&quot;report&quot;,&quot;id&quot;:&quot;570fb430-0f6b-3db8-9e22-48f8d35a7399&quot;,&quot;title&quot;:&quot;Revista de Derecho Fiscal n.º 13 • julio-diciembre de&quot;,&quot;author&quot;:[{&quot;family&quot;:&quot;Palacio Rincón Paola Adriana&quot;,&quot;given&quot;:&quot;&quot;,&quot;parse-names&quot;:false,&quot;dropping-particle&quot;:&quot;&quot;,&quot;non-dropping-particle&quot;:&quot;&quot;}],&quot;issued&quot;:{&quot;date-parts&quot;:[[2018]]},&quot;number-of-pages&quot;:&quot;273-312&quot;,&quot;abstract&quot;:&quot;istration point of view. In the beginning, it was thought that retention agents would be persuaded to present his declarations with payment. However, it became an obstacle for collecting taxes and it also promoted tax evasion. The legislator established the declarations without effects with the purpose of acelerate collecting taxes thinking about a voluntary compliance. Although, it seems that the legislator forgot that besides voluntary compliance it was needed that the tax administration counts with collecting tools and at the same time it was an opportune moment to evaluate the tax determination procedure. Introducción La retención en la fuente es un mecanismo que permite que el recaudo del impuesto se realice en el mismo momento en que se produce el hecho generador del gravamen sobre el cual recae, ya sea el impuesto sobre la ren-ta o el impuesto al valor agregado. En este sentido, con la retención, la administración tributaria recibe un flujo de recursos cons-tante sin necesidad de esperar a que finalice el período gravable de cada impuesto. Se ha considerado que es una manifestación del principio de eficiencia tributaria, en la me-dida en que se pretende que el recaudo del tributo sea sencillo para la administración y cómodo para el contribuyente. Sin embargo, la consagración de la ineficacia de las decla-raciones de retención en la fuente presenta-das sin pago ha desvirtuado la eficiencia del mecanismo. El presente artículo tiene como objetivo abordar la problemática asociada a la consa-gración de la ineficacia de las declaraciones de retención en la fuente, tomando como fuente primaria la experiencia adquirida de la gestión de los procesos administrativos de cobro tanto en etapa coactiva como en la de representación externa. Igualmente, se proponen las reformas legislativas y las adecuaciones internas y tecnológicas que a juicio de la autora se consideran necesarias para mejorar la eficiencia del mecanismo de recaudo. Para efectos de determinar las razones por las cuales la consagración de la ineficacia conllevó a la ineficiencia del mecanismo de recaudo, en primer lugar, se explicará la evolución de la figura en la legislación colombiana y los mecanismos empleados a lo largo de la historia reciente para san-cionar el incumplimiento en el pago de las retenciones. Seguidamente, se analizará a fondo la problemática exponiendo las dificultades para realizar el cobro de las declaraciones de retención en la fuente ineficaces, entre las cuales se encuentra la ausencia de títu-lo ejecutivo, por cuanto se requiere de la resolución sanción por no declarar y de la liquidación oficial de aforo, lo cual demanda la gestión de varias Divisiones de Gestión de la entidad y no solamente de la División de Gestión de Cobranzas. Así mismo, se plantea el problema de la omisión en la pre-sentación de las declaraciones como opción de planeación fiscal, el cual se agrava por la solicitud de apertura del trámite concursal de liquidación judicial.&quot;,&quot;container-title-short&quot;:&quot;&quot;},&quot;isTemporary&quot;:false}]},{&quot;citationID&quot;:&quot;MENDELEY_CITATION_c3bfe47f-08b7-45fe-9aa1-a121f2b2cdf9&quot;,&quot;properties&quot;:{&quot;noteIndex&quot;:0},&quot;isEdited&quot;:false,&quot;manualOverride&quot;:{&quot;isManuallyOverridden&quot;:false,&quot;citeprocText&quot;:&quot;(Estatuto Tributario, 1989a)&quot;,&quot;manualOverrideText&quot;:&quot;&quot;},&quot;citationTag&quot;:&quot;MENDELEY_CITATION_v3_eyJjaXRhdGlvbklEIjoiTUVOREVMRVlfQ0lUQVRJT05fYzNiZmU0N2YtMDhiNy00NWZlLTlhYTEtYTEyMWYyYjJjZGY5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f1f891a8-7caf-4ba5-a553-7141af14f490&quot;,&quot;properties&quot;:{&quot;noteIndex&quot;:0},&quot;isEdited&quot;:false,&quot;manualOverride&quot;:{&quot;isManuallyOverridden&quot;:false,&quot;citeprocText&quot;:&quot;(De &amp;#38; Peña Sánchez, 2016)&quot;,&quot;manualOverrideText&quot;:&quot;&quot;},&quot;citationTag&quot;:&quot;MENDELEY_CITATION_v3_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&quot;,&quot;citationItems&quot;:[{&quot;id&quot;:&quot;8480202f-2205-312d-aa00-73554bf69add&quot;,&quot;itemData&quot;:{&quot;type&quot;:&quot;report&quot;,&quot;id&quot;:&quot;8480202f-2205-312d-aa00-73554bf69add&quot;,&quot;title&quot;:&quot;Volumen 3 • 108-117 • Dic&quot;,&quot;author&quot;:[{&quot;family&quot;:&quot;De&quot;,&quot;given&quot;:&quot;Alcides&quot;,&quot;parse-names&quot;:false,&quot;dropping-particle&quot;:&quot;&quot;,&quot;non-dropping-particle&quot;:&quot;&quot;},{&quot;family&quot;:&quot;Peña Sánchez&quot;,&quot;given&quot;:&quot;Jesús&quot;,&quot;parse-names&quot;:false,&quot;dropping-particle&quot;:&quot;&quot;,&quot;non-dropping-particle&quot;:&quot;&quot;}],&quot;issued&quot;:{&quot;date-parts&quot;:[[2016]]},&quot;number-of-pages&quot;:&quot;2422-1732&quot;,&quot;abstract&quot;:&quot;RESUMEN La evasión de impuestos no es un fenómeno nuevo en el mundo ni en Colombia. En las personas naturales o en las personas fictas o morales, existe una reacción natural negativa hacia el pago de los impuestos. No es sino recordar aquella célebre frase atribuida al inventor norteamericano Benjamín Franklin: \&quot;En este mundo sólo hay dos cosas seguras: la muerte y pagar impuestos.\&quot; Existen una gran diversidad de pretextos o excusas para no pagar los tributos, entre ellas la de más fuerte arraigo, es la de la corrupción, tan arraigada en las administraciones publicas de muchos países del mundo pero en especial de América Latina, la corrupción es sinónimo del despilfarro de los recursos públicos, por tanto se constituye en el pretexto ideal para no pagar impuestos. La realidad Colombiana, está dada en cifras suministradas por la Dian (Morales, 2016) \&quot;La Dian calcula la evasión del IVA en 23 por ciento, y el Fondo Monetario Internacional (FMI) dice que llega a 40 por ciento. Si el recaudo del IVA en el 2015 fue de 45 billones, y el del impuesto al consumo, de 1,8 billones, un punto intermedio entre las dos estimaciones de evasión permite establecer que se dejan de percibir 14 billones (29,9 por ciento de 46,8 billones de pesos)\&quot;. La Dian también estima que la evasión del impuesto de renta es del 39 por ciento y el recaudo en el 2015 fue de 41,3 billones de pesos; luego el escape de recursos de este tributo sería de 16,1 billones de pesos. Entre los dos tributos citados, los recursos evadidos superan los 30 billones de pesos. Ante un panorama tan evidente de falta de recaudación de impuestos motivado por la evasión fiscal, es necesario que el Estado implemente medidas de choque, esta es la razón de la penalización de la conducta de evasión tributaria tipificada en la ley 1819 de 2016, artículos 338 y 339.&quot;,&quot;container-title-short&quot;:&quot;&quot;},&quot;isTemporary&quot;:false}]},{&quot;citationID&quot;:&quot;MENDELEY_CITATION_1d5d1473-0b0e-423f-be59-9f71cf53c0b9&quot;,&quot;properties&quot;:{&quot;noteIndex&quot;:0,&quot;mode&quot;:&quot;suppress-author&quot;},&quot;isEdited&quot;:false,&quot;manualOverride&quot;:{&quot;isManuallyOverridden&quot;:true,&quot;citeprocText&quot;:&quot;(s/f)&quot;,&quot;manualOverrideText&quot;:&quot;(Saldarriaga, 2024)&quot;},&quot;citationTag&quot;:&quot;MENDELEY_CITATION_v3_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&quot;,&quot;citationItems&quot;:[{&quot;displayAs&quot;:&quot;suppress-author&quot;,&quot;label&quot;:&quot;page&quot;,&quot;id&quot;:&quot;4c8eb880-d390-3a51-a433-2bf2c7f782d3&quot;,&quot;itemData&quot;:{&quot;type&quot;:&quot;thesis&quot;,&quot;id&quot;:&quot;4c8eb880-d390-3a51-a433-2bf2c7f782d3&quot;,&quot;title&quot;:&quot;Ineficacia de las declaraciones de retención en la fuente.\nUn análisis comparativo frente a los cambios normativos de los años 2011 al 2023 y su relación con la debida gestión de cobro por parte de la DIAN seccional Villavicencio&quot;,&quot;author&quot;:[{&quot;family&quot;:&quot;Saldarriaga Sergio&quot;,&quot;given&quot;:&quot;&quot;,&quot;parse-names&quot;:false,&quot;dropping-particle&quot;:&quot;&quot;,&quot;non-dropping-particle&quot;:&quot;&quot;}],&quot;container-title-short&quot;:&quot;&quot;},&quot;isTemporary&quot;:false,&quot;suppress-author&quot;:true,&quot;composite&quot;:false,&quot;author-only&quot;:false}]},{&quot;citationID&quot;:&quot;MENDELEY_CITATION_7f38bec0-97e1-40ae-80c5-08359b6ed9fc&quot;,&quot;properties&quot;:{&quot;noteIndex&quot;:0},&quot;isEdited&quot;:false,&quot;manualOverride&quot;:{&quot;isManuallyOverridden&quot;:false,&quot;citeprocText&quot;:&quot;(Ley 1943, 2018)&quot;,&quot;manualOverrideText&quot;:&quot;&quot;},&quot;citationTag&quot;:&quot;MENDELEY_CITATION_v3_eyJjaXRhdGlvbklEIjoiTUVOREVMRVlfQ0lUQVRJT05fN2YzOGJlYzAtOTdlMS00MGFlLTgwYzUtMDgzNTliNmVkOWZj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quot;,&quot;citationItems&quot;:[{&quot;id&quot;:&quot;b6a08f7f-216c-36b0-b35b-f7d514276068&quot;,&quot;itemData&quot;:{&quot;type&quot;:&quot;legislation&quot;,&quot;id&quot;:&quot;b6a08f7f-216c-36b0-b35b-f7d514276068&quot;,&quot;title&quot;:&quot;Ley 1943&quot;,&quot;author&quot;:[{&quot;family&quot;:&quot;Congreso de Colombia&quot;,&quot;given&quot;:&quot;&quot;,&quot;parse-names&quot;:false,&quot;dropping-particle&quot;:&quot;&quot;,&quot;non-dropping-particle&quot;:&quot;&quot;}],&quot;accessed&quot;:{&quot;date-parts&quot;:[[2025,10,21]]},&quot;URL&quot;:&quot;http://www.secretariasenado.gov.co/senado/basedoc/ley_1943_2018.html&quot;,&quot;issued&quot;:{&quot;date-parts&quot;:[[2018]]},&quot;container-title-short&quot;:&quot;&quot;},&quot;isTemporary&quot;:false}]},{&quot;citationID&quot;:&quot;MENDELEY_CITATION_2f57c20d-5525-4b09-87dc-836bd858fc7b&quot;,&quot;properties&quot;:{&quot;noteIndex&quot;:0},&quot;isEdited&quot;:false,&quot;manualOverride&quot;:{&quot;isManuallyOverridden&quot;:false,&quot;citeprocText&quot;:&quot;(Ley 2155, 2021)&quot;,&quot;manualOverrideText&quot;:&quot;&quot;},&quot;citationTag&quot;:&quot;MENDELEY_CITATION_v3_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&quot;,&quot;citationItems&quot;:[{&quot;id&quot;:&quot;9c989e12-872c-35c3-a3ec-937909d7114d&quot;,&quot;itemData&quot;:{&quot;type&quot;:&quot;legislation&quot;,&quot;id&quot;:&quot;9c989e12-872c-35c3-a3ec-937909d7114d&quot;,&quot;title&quot;:&quot;Ley 2155&quot;,&quot;author&quot;:[{&quot;family&quot;:&quot;Congreso de Colombia&quot;,&quot;given&quot;:&quot;&quot;,&quot;parse-names&quot;:false,&quot;dropping-particle&quot;:&quot;&quot;,&quot;non-dropping-particle&quot;:&quot;&quot;}],&quot;issued&quot;:{&quot;date-parts&quot;:[[2021]]},&quot;container-title-short&quot;:&quot;&quot;},&quot;isTemporary&quot;:false}]},{&quot;citationID&quot;:&quot;MENDELEY_CITATION_64335f05-f334-41fa-a39a-beb1cbba5480&quot;,&quot;properties&quot;:{&quot;noteIndex&quot;:0},&quot;isEdited&quot;:false,&quot;manualOverride&quot;:{&quot;isManuallyOverridden&quot;:false,&quot;citeprocText&quot;:&quot;(Estatuto Tributario, 1989a)&quot;,&quot;manualOverrideText&quot;:&quot;&quot;},&quot;citationTag&quot;:&quot;MENDELEY_CITATION_v3_eyJjaXRhdGlvbklEIjoiTUVOREVMRVlfQ0lUQVRJT05fNjQzMzVmMDUtZjMzNC00MWZhLWEzOWEtYmViMWNiYmE1NDgw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58f409bc-f895-4a96-b13b-e0de7042e9c0&quot;,&quot;properties&quot;:{&quot;noteIndex&quot;:0},&quot;isEdited&quot;:false,&quot;manualOverride&quot;:{&quot;isManuallyOverridden&quot;:true,&quot;citeprocText&quot;:&quot;(Ley 2277, 2022a)&quot;,&quot;manualOverrideText&quot;:&quot;(Ley 2277, 2022)&quot;},&quot;citationTag&quot;:&quot;MENDELEY_CITATION_v3_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IyNzdfMjAyMi5odG1sIiwiaXNzdWVkIjp7ImRhdGUtcGFydHMiOltbMjAyMl1dfX0sImlzVGVtcG9yYXJ5IjpmYWxzZX1dfQ==&quot;,&quot;citationItems&quot;:[{&quot;id&quot;:&quot;5f980bb7-f9df-333e-aa9f-ebb78b1908b5&quot;,&quot;itemData&quot;:{&quot;type&quot;:&quot;legislation&quot;,&quot;id&quot;:&quot;5f980bb7-f9df-333e-aa9f-ebb78b1908b5&quot;,&quot;title&quot;:&quot;Ley 2277&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2277_2022.html&quot;,&quot;issued&quot;:{&quot;date-parts&quot;:[[2022]]}},&quot;isTemporary&quot;:false}]},{&quot;citationID&quot;:&quot;MENDELEY_CITATION_1bfd7b7b-e3de-466d-b44a-dce5f2193600&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MWJmZDdiN2ItZTNkZS00NjZkLWI0NGEtZGNlNWYyMTkzNjAw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46aa0d20-4e5a-421e-a487-2d6ef9733422&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NDZhYTBkMjAtNGU1YS00MjFlLWE0ODctMmQ2ZWY5NzMzNDIy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eb1160a7-24e2-4622-bfa4-241b299939b6&quot;,&quot;properties&quot;:{&quot;noteIndex&quot;:0},&quot;isEdited&quot;:false,&quot;manualOverride&quot;:{&quot;isManuallyOverridden&quot;:false,&quot;citeprocText&quot;:&quot;(Ley 1819, 2016a)&quot;,&quot;manualOverrideText&quot;:&quot;&quot;},&quot;citationTag&quot;:&quot;MENDELEY_CITATION_v3_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gxOV8yMDE2Lmh0bWwiLCJpc3N1ZWQiOnsiZGF0ZS1wYXJ0cyI6W1syMDE2XV19LCJjb250YWluZXItdGl0bGUtc2hvcnQiOiIifSwiaXNUZW1wb3JhcnkiOmZhbHNlfV19&quot;,&quot;citationItems&quot;:[{&quot;id&quot;:&quot;010139d3-91cc-35a5-8e50-815cf07b4c84&quot;,&quot;itemData&quot;:{&quot;type&quot;:&quot;legislation&quot;,&quot;id&quot;:&quot;010139d3-91cc-35a5-8e50-815cf07b4c84&quot;,&quot;title&quot;:&quot;Ley 181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container-title-short&quot;:&quot;&quot;},&quot;isTemporary&quot;:false}]},{&quot;citationID&quot;:&quot;MENDELEY_CITATION_27800b2c-0b23-4724-a492-580363b1288c&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Mjc4MDBiMmMtMGIyMy00NzI0LWE0OTItNTgwMzYzYjEyODh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91023107-508c-4bea-bb57-0bfbd1c3afe8&quot;,&quot;properties&quot;:{&quot;noteIndex&quot;:0},&quot;isEdited&quot;:false,&quot;manualOverride&quot;:{&quot;isManuallyOverridden&quot;:true,&quot;citeprocText&quot;:&quot;(Espinosa Díaz et al., 2022a)&quot;,&quot;manualOverrideText&quot;:&quot;Espinosa Díaz (2022)&quot;},&quot;citationTag&quot;:&quot;MENDELEY_CITATION_v3_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&quot;,&quot;citationItems&quot;:[{&quot;id&quot;:&quot;b0bcdbf9-2755-3590-8a04-8e918a58b9d8&quot;,&quot;itemData&quot;:{&quot;type&quot;:&quot;article-journal&quot;,&quot;id&quot;:&quot;b0bcdbf9-2755-3590-8a04-8e918a58b9d8&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2,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1970ec76-de52-495d-ab5e-34bf52d1cada&quot;,&quot;properties&quot;:{&quot;noteIndex&quot;:0},&quot;isEdited&quot;:false,&quot;manualOverride&quot;:{&quot;isManuallyOverridden&quot;:true,&quot;citeprocText&quot;:&quot;(Espinosa Díaz et al., 2022a)&quot;,&quot;manualOverrideText&quot;:&quot;Espinosa Díaz (2022)&quot;},&quot;citationTag&quot;:&quot;MENDELEY_CITATION_v3_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&quot;,&quot;citationItems&quot;:[{&quot;id&quot;:&quot;b0bcdbf9-2755-3590-8a04-8e918a58b9d8&quot;,&quot;itemData&quot;:{&quot;type&quot;:&quot;article-journal&quot;,&quot;id&quot;:&quot;b0bcdbf9-2755-3590-8a04-8e918a58b9d8&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2,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1ac2de9f-4822-4b09-b2e5-ab139d0b3074&quot;,&quot;properties&quot;:{&quot;noteIndex&quot;:0},&quot;isEdited&quot;:false,&quot;manualOverride&quot;:{&quot;isManuallyOverridden&quot;:true,&quot;citeprocText&quot;:&quot;(Galvan et al., s/f-a)&quot;,&quot;manualOverrideText&quot;:&quot;(Galván, 2024)&quot;},&quot;citationTag&quot;:&quot;MENDELEY_CITATION_v3_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&quot;,&quot;citationItems&quot;:[{&quot;id&quot;:&quot;3243d9f0-ebb6-3ffd-8614-2a93c93d2b73&quot;,&quot;itemData&quot;:{&quot;type&quot;:&quot;report&quot;,&quot;id&quot;:&quot;3243d9f0-ebb6-3ffd-8614-2a93c93d2b73&quot;,&quot;title&quot;:&quot;Planeación Tributaria en las empresas para el uso eficiente de los recursos fiscales&quot;,&quot;author&quot;:[{&quot;family&quot;:&quot;Galvan&quot;,&quot;given&quot;:&quot;Gustavo&quot;,&quot;parse-names&quot;:false,&quot;dropping-particle&quot;:&quot;&quot;,&quot;non-dropping-particle&quot;:&quot;&quot;},{&quot;family&quot;:&quot;Slendys&quot;,&quot;given&quot;:&quot;Castro&quot;,&quot;parse-names&quot;:false,&quot;dropping-particle&quot;:&quot;&quot;,&quot;non-dropping-particle&quot;:&quot;&quot;},{&quot;family&quot;:&quot;Hoyos&quot;,&quot;given&quot;:&quot;Romero&quot;,&quot;parse-names&quot;:false,&quot;dropping-particle&quot;:&quot;&quot;,&quot;non-dropping-particle&quot;:&quot;De&quot;}],&quot;URL&quot;:&quot;www.usbcali.edu.co&quot;,&quot;container-title-short&quot;:&quot;&quot;},&quot;isTemporary&quot;:false}]},{&quot;citationID&quot;:&quot;MENDELEY_CITATION_051c1388-098a-4515-95b7-beb2782f41cc&quot;,&quot;properties&quot;:{&quot;noteIndex&quot;:0},&quot;isEdited&quot;:false,&quot;manualOverride&quot;:{&quot;isManuallyOverridden&quot;:true,&quot;citeprocText&quot;:&quot;(Galvan et al., s/f-a)&quot;,&quot;manualOverrideText&quot;:&quot;(Galván,2024)&quot;},&quot;citationTag&quot;:&quot;MENDELEY_CITATION_v3_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&quot;,&quot;citationItems&quot;:[{&quot;id&quot;:&quot;3243d9f0-ebb6-3ffd-8614-2a93c93d2b73&quot;,&quot;itemData&quot;:{&quot;type&quot;:&quot;report&quot;,&quot;id&quot;:&quot;3243d9f0-ebb6-3ffd-8614-2a93c93d2b73&quot;,&quot;title&quot;:&quot;Planeación Tributaria en las empresas para el uso eficiente de los recursos fiscales&quot;,&quot;author&quot;:[{&quot;family&quot;:&quot;Galvan&quot;,&quot;given&quot;:&quot;Gustavo&quot;,&quot;parse-names&quot;:false,&quot;dropping-particle&quot;:&quot;&quot;,&quot;non-dropping-particle&quot;:&quot;&quot;},{&quot;family&quot;:&quot;Slendys&quot;,&quot;given&quot;:&quot;Castro&quot;,&quot;parse-names&quot;:false,&quot;dropping-particle&quot;:&quot;&quot;,&quot;non-dropping-particle&quot;:&quot;&quot;},{&quot;family&quot;:&quot;Hoyos&quot;,&quot;given&quot;:&quot;Romero&quot;,&quot;parse-names&quot;:false,&quot;dropping-particle&quot;:&quot;&quot;,&quot;non-dropping-particle&quot;:&quot;De&quot;}],&quot;URL&quot;:&quot;www.usbcali.edu.co&quot;,&quot;container-title-short&quot;:&quot;&quot;},&quot;isTemporary&quot;:false}]},{&quot;citationID&quot;:&quot;MENDELEY_CITATION_2f1b7a41-2f72-463f-aa1e-b18cae00de67&quot;,&quot;properties&quot;:{&quot;noteIndex&quot;:0},&quot;isEdited&quot;:false,&quot;manualOverride&quot;:{&quot;isManuallyOverridden&quot;:true,&quot;citeprocText&quot;:&quot;(Ley 1430, 2010a)&quot;,&quot;manualOverrideText&quot;:&quot;(Ley 1430, 2010)&quot;},&quot;citationTag&quot;:&quot;MENDELEY_CITATION_v3_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QzMF8yMDEwLmh0bWwiLCJpc3N1ZWQiOnsiZGF0ZS1wYXJ0cyI6W1syMDEwXV19LCJjb250YWluZXItdGl0bGUtc2hvcnQiOiIifSwiaXNUZW1wb3JhcnkiOmZhbHNlfV19&quot;,&quot;citationItems&quot;:[{&quot;id&quot;:&quot;532565fb-7ab2-3ca1-a820-a7cdf3e4e2a4&quot;,&quot;itemData&quot;:{&quot;type&quot;:&quot;legislation&quot;,&quot;id&quot;:&quot;532565fb-7ab2-3ca1-a820-a7cdf3e4e2a4&quot;,&quot;title&quot;:&quot;Ley 1430&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container-title-short&quot;:&quot;&quot;},&quot;isTemporary&quot;:false}]},{&quot;citationID&quot;:&quot;MENDELEY_CITATION_cc91934f-9359-41d2-a842-ea9721b222ee&quot;,&quot;properties&quot;:{&quot;noteIndex&quot;:0},&quot;isEdited&quot;:false,&quot;manualOverride&quot;:{&quot;isManuallyOverridden&quot;:false,&quot;citeprocText&quot;:&quot;(Ley 1819, 2016a)&quot;,&quot;manualOverrideText&quot;:&quot;&quot;},&quot;citationTag&quot;:&quot;MENDELEY_CITATION_v3_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gxOV8yMDE2Lmh0bWwiLCJpc3N1ZWQiOnsiZGF0ZS1wYXJ0cyI6W1syMDE2XV19LCJjb250YWluZXItdGl0bGUtc2hvcnQiOiIifSwiaXNUZW1wb3JhcnkiOmZhbHNlfV19&quot;,&quot;citationItems&quot;:[{&quot;id&quot;:&quot;010139d3-91cc-35a5-8e50-815cf07b4c84&quot;,&quot;itemData&quot;:{&quot;type&quot;:&quot;legislation&quot;,&quot;id&quot;:&quot;010139d3-91cc-35a5-8e50-815cf07b4c84&quot;,&quot;title&quot;:&quot;Ley 181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container-title-short&quot;:&quot;&quot;},&quot;isTemporary&quot;:false}]},{&quot;citationID&quot;:&quot;MENDELEY_CITATION_c4909e53-76dd-4976-ba71-f42c06b53985&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0sImNvbnRhaW5lci10aXRsZS1zaG9ydCI6IiJ9LCJpc1RlbXBvcmFyeSI6ZmFsc2V9XX0=&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184184f4-98fa-404f-b4c9-70f8375cdcd5&quot;,&quot;properties&quot;:{&quot;noteIndex&quot;:0},&quot;isEdited&quot;:false,&quot;manualOverride&quot;:{&quot;isManuallyOverridden&quot;:false,&quot;citeprocText&quot;:&quot;(Ley 1943, 2018)&quot;,&quot;manualOverrideText&quot;:&quot;&quot;},&quot;citationTag&quot;:&quot;MENDELEY_CITATION_v3_eyJjaXRhdGlvbklEIjoiTUVOREVMRVlfQ0lUQVRJT05fMTg0MTg0ZjQtOThmYS00MDRmLWI0YzktNzBmODM3NWNkY2Q1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quot;,&quot;citationItems&quot;:[{&quot;id&quot;:&quot;b6a08f7f-216c-36b0-b35b-f7d514276068&quot;,&quot;itemData&quot;:{&quot;type&quot;:&quot;legislation&quot;,&quot;id&quot;:&quot;b6a08f7f-216c-36b0-b35b-f7d514276068&quot;,&quot;title&quot;:&quot;Ley 1943&quot;,&quot;author&quot;:[{&quot;family&quot;:&quot;Congreso de Colombia&quot;,&quot;given&quot;:&quot;&quot;,&quot;parse-names&quot;:false,&quot;dropping-particle&quot;:&quot;&quot;,&quot;non-dropping-particle&quot;:&quot;&quot;}],&quot;accessed&quot;:{&quot;date-parts&quot;:[[2025,10,21]]},&quot;URL&quot;:&quot;http://www.secretariasenado.gov.co/senado/basedoc/ley_1943_2018.html&quot;,&quot;issued&quot;:{&quot;date-parts&quot;:[[2018]]},&quot;container-title-short&quot;:&quot;&quot;},&quot;isTemporary&quot;:false}]},{&quot;citationID&quot;:&quot;MENDELEY_CITATION_ad49084a-19dd-468a-8e46-b9a333b180e8&quot;,&quot;properties&quot;:{&quot;noteIndex&quot;:0},&quot;isEdited&quot;:false,&quot;manualOverride&quot;:{&quot;isManuallyOverridden&quot;:false,&quot;citeprocText&quot;:&quot;(Ley 2155, 2021)&quot;,&quot;manualOverrideText&quot;:&quot;&quot;},&quot;citationTag&quot;:&quot;MENDELEY_CITATION_v3_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&quot;,&quot;citationItems&quot;:[{&quot;id&quot;:&quot;9c989e12-872c-35c3-a3ec-937909d7114d&quot;,&quot;itemData&quot;:{&quot;type&quot;:&quot;legislation&quot;,&quot;id&quot;:&quot;9c989e12-872c-35c3-a3ec-937909d7114d&quot;,&quot;title&quot;:&quot;Ley 2155&quot;,&quot;author&quot;:[{&quot;family&quot;:&quot;Congreso de Colombia&quot;,&quot;given&quot;:&quot;&quot;,&quot;parse-names&quot;:false,&quot;dropping-particle&quot;:&quot;&quot;,&quot;non-dropping-particle&quot;:&quot;&quot;}],&quot;issued&quot;:{&quot;date-parts&quot;:[[2021]]},&quot;container-title-short&quot;:&quot;&quot;},&quot;isTemporary&quot;:false}]},{&quot;citationID&quot;:&quot;MENDELEY_CITATION_05ad148c-e2e2-4ecc-9984-c7760176d5c2&quot;,&quot;properties&quot;:{&quot;noteIndex&quot;:0},&quot;isEdited&quot;:false,&quot;manualOverride&quot;:{&quot;isManuallyOverridden&quot;:false,&quot;citeprocText&quot;:&quot;(Ley 2277, 2022b)&quot;,&quot;manualOverrideText&quot;:&quot;&quot;},&quot;citationTag&quot;:&quot;MENDELEY_CITATION_v3_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jI3N18yMDIyLmh0bWwiLCJpc3N1ZWQiOnsiZGF0ZS1wYXJ0cyI6W1syMDIyXV19LCJjb250YWluZXItdGl0bGUtc2hvcnQiOiIifSwiaXNUZW1wb3JhcnkiOmZhbHNlfV19&quot;,&quot;citationItems&quot;:[{&quot;id&quot;:&quot;6a90f2ca-b2b0-376f-a42b-23bec6a0b97a&quot;,&quot;itemData&quot;:{&quot;type&quot;:&quot;legislation&quot;,&quot;id&quot;:&quot;6a90f2ca-b2b0-376f-a42b-23bec6a0b97a&quot;,&quot;title&quot;:&quot;Ley 2277&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2277_2022.html&quot;,&quot;issued&quot;:{&quot;date-parts&quot;:[[2022]]},&quot;container-title-short&quot;:&quot;&quot;},&quot;isTemporary&quot;:false}]},{&quot;citationID&quot;:&quot;MENDELEY_CITATION_561740be-cd85-4f69-854b-71eb97063443&quot;,&quot;properties&quot;:{&quot;noteIndex&quot;:0},&quot;isEdited&quot;:false,&quot;manualOverride&quot;:{&quot;isManuallyOverridden&quot;:true,&quot;citeprocText&quot;:&quot;(Saldarriaga Ramírez, 2024)&quot;,&quot;manualOverrideText&quot;:&quot;Saldarriaga Ramírez (2024)&quot;},&quot;citationTag&quot;:&quot;MENDELEY_CITATION_v3_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&quot;,&quot;citationItems&quot;:[{&quot;id&quot;:&quot;2f3ef643-f428-3c3f-b6c9-6e7177e1ce29&quot;,&quot;itemData&quot;:{&quot;type&quot;:&quot;thesis&quot;,&quot;id&quot;:&quot;2f3ef643-f428-3c3f-b6c9-6e7177e1ce29&quot;,&quot;title&quot;:&quot;Ineficacia de las declaraciones de retención en la fuente. Un análisis comparativo frente a los cambios normativos de los años 2011 al 2023 y su relación con la debida gestión de cobro por parte de la DIAN seccional Villavicencio&quot;,&quot;groupId&quot;:&quot;971ce9a8-6561-39c7-bc05-0917ce119c89&quot;,&quot;author&quot;:[{&quot;family&quot;:&quot;Saldarriaga Ramírez&quot;,&quot;given&quot;:&quot;Sandra Andrea&quot;,&quot;parse-names&quot;:false,&quot;dropping-particle&quot;:&quot;&quot;,&quot;non-dropping-particle&quot;:&quot;&quot;}],&quot;URL&quot;:&quot;https://bdigital.uexternado.edu.co/entities/publication/3ec883d7-845e-490b-82b7-dabaf430d714&quot;,&quot;issued&quot;:{&quot;date-parts&quot;:[[2024]]},&quot;language&quot;:&quot;es&quot;,&quot;abstract&quot;:&quot;Analiza comparativamente la evolución normativa de la figura y su relación con la gestión de cobro de una seccional DIAN.&quot;},&quot;isTemporary&quot;:false}]},{&quot;citationID&quot;:&quot;MENDELEY_CITATION_d0d012e7-3f97-4aad-baa0-ed0524e3db87&quot;,&quot;properties&quot;:{&quot;noteIndex&quot;:0},&quot;isEdited&quot;:false,&quot;manualOverride&quot;:{&quot;isManuallyOverridden&quot;:false,&quot;citeprocText&quot;:&quot;(Ley 1943, 2018)&quot;,&quot;manualOverrideText&quot;:&quot;&quot;},&quot;citationTag&quot;:&quot;MENDELEY_CITATION_v3_eyJjaXRhdGlvbklEIjoiTUVOREVMRVlfQ0lUQVRJT05fZDBkMDEyZTctM2Y5Ny00YWFkLWJhYTAtZWQwNTI0ZTNkYjg3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quot;,&quot;citationItems&quot;:[{&quot;id&quot;:&quot;b6a08f7f-216c-36b0-b35b-f7d514276068&quot;,&quot;itemData&quot;:{&quot;type&quot;:&quot;legislation&quot;,&quot;id&quot;:&quot;b6a08f7f-216c-36b0-b35b-f7d514276068&quot;,&quot;title&quot;:&quot;Ley 1943&quot;,&quot;author&quot;:[{&quot;family&quot;:&quot;Congreso de Colombia&quot;,&quot;given&quot;:&quot;&quot;,&quot;parse-names&quot;:false,&quot;dropping-particle&quot;:&quot;&quot;,&quot;non-dropping-particle&quot;:&quot;&quot;}],&quot;accessed&quot;:{&quot;date-parts&quot;:[[2025,10,21]]},&quot;URL&quot;:&quot;http://www.secretariasenado.gov.co/senado/basedoc/ley_1943_2018.html&quot;,&quot;issued&quot;:{&quot;date-parts&quot;:[[2018]]},&quot;container-title-short&quot;:&quot;&quot;},&quot;isTemporary&quot;:false}]},{&quot;citationID&quot;:&quot;MENDELEY_CITATION_c9ce52e2-409c-46d1-b6d6-340e0216a356&quot;,&quot;properties&quot;:{&quot;noteIndex&quot;:0},&quot;isEdited&quot;:false,&quot;manualOverride&quot;:{&quot;isManuallyOverridden&quot;:true,&quot;citeprocText&quot;:&quot;(Rincon, 2018)&quot;,&quot;manualOverrideText&quot;:&quot;(Rincón (2018)&quot;},&quot;citationTag&quot;:&quot;MENDELEY_CITATION_v3_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&quot;,&quot;citationItems&quot;:[{&quot;id&quot;:&quot;8ec0faa7-492f-32bf-ad62-44b5eccdd242&quot;,&quot;itemData&quot;:{&quot;type&quot;:&quot;report&quot;,&quot;id&quot;:&quot;8ec0faa7-492f-32bf-ad62-44b5eccdd242&quot;,&quot;title&quot;:&quot;¿Cuándo se incumple el deber de presentar declaraciones tributarias?&quot;,&quot;author&quot;:[{&quot;family&quot;:&quot;Rincon&quot;,&quot;given&quot;:&quot;Adriana&quot;,&quot;parse-names&quot;:false,&quot;dropping-particle&quot;:&quot;&quot;,&quot;non-dropping-particle&quot;:&quot;&quot;}],&quot;issued&quot;:{&quot;date-parts&quot;:[[2018,2]]},&quot;abstract&quot;:&quot;Por su parte, en el artículo 580 E.T. se enlista una serie de situaciones que, por incumplimiento de requisitos, configuran incumplimiento del deber de declarar bajo el señalamiento de declaraciones que se entienden por no presentadas, ya que, de acuerdo con lo indicado por la Corte Constitucional en Sentencia C-844 de 1999 2 : \&quot;[L]a indicación de todos los elementos que integran la declaración tributaria que prevé el artículo 580 cuentan con un claro objetivo, el cual es facilitar el control que se requiere, por parte de la autoridad tributaria, para hacer posible una tributación que consulte lo dispuesto en el artículo 95 num. 9 y 363 superiores\&quot;. Lo anterior, sin perder de vista lo precisado por la Corte Constitucional en la Sentencia C-690 de 1996 3 , donde se resaltó que el régimen tributario excluye la posibilidad de imposición de sanciones por mero resultado, ya que, de hacerlo, desconocería principios constitucionales de justicia y equidad tributarias: \&quot;En tales circunstancias, se considera legítima la presentación de declaraciones tributarias por intermedio de agentes oficiosos, o la ausencia de firma del contador público o del revisor fiscal, o la exhibición de la declaración tributaria en forma extemporánea o en el lugar diferente al señalado por la ley, cuando por hechos que configuren caso fortuito o fuerza mayor haya sido imposible al contribuyente la presentación de la declaración tributaria, en los términos de la ley\&quot;. Declaraciones que se entienden como no presentadas (art. 580 E.T. bajo el análisis de la Corte Constitucional) La Corte Constitucional señaló en Sentencia C-844 de 1999 que el conjunto de causales señaladas en el artículo 580 E.T. no es aplicable en forma automática por simple ministerio de la ley, ya que, para aplicar estas disposiciones, la autoridad tributaria debe llevar a cabo \&quot;la actuación administrativa sujeta al principio de la legalidad y a las reglas del debido proceso, para oír en descargos al contribuyente y garantizar el derecho de defensa\&quot;.&quot;,&quot;container-title-short&quot;:&quot;&quot;},&quot;isTemporary&quot;:false}]},{&quot;citationID&quot;:&quot;MENDELEY_CITATION_3c1a992b-0b76-4027-9040-c5675d4f2d51&quot;,&quot;properties&quot;:{&quot;noteIndex&quot;:0},&quot;isEdited&quot;:false,&quot;manualOverride&quot;:{&quot;isManuallyOverridden&quot;:false,&quot;citeprocText&quot;:&quot;(Ley 38, 1969)&quot;,&quot;manualOverrideText&quot;:&quot;&quot;},&quot;citationTag&quot;:&quot;MENDELEY_CITATION_v3_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&quot;,&quot;citationItems&quot;:[{&quot;id&quot;:&quot;e12c0cf3-2d94-3026-9f93-e7446e8b8dc5&quot;,&quot;itemData&quot;:{&quot;type&quot;:&quot;legislation&quot;,&quot;id&quot;:&quot;e12c0cf3-2d94-3026-9f93-e7446e8b8dc5&quot;,&quot;title&quot;:&quot;Ley 38&quot;,&quot;author&quot;:[{&quot;family&quot;:&quot;Congreso de la República de Colombia&quot;,&quot;given&quot;:&quot;&quot;,&quot;parse-names&quot;:false,&quot;dropping-particle&quot;:&quot;&quot;,&quot;non-dropping-particle&quot;:&quot;&quot;}],&quot;accessed&quot;:{&quot;date-parts&quot;:[[2025,10,22]]},&quot;URL&quot;:&quot;https://www.suin-juriscol.gov.co/viewDocument.asp?ruta=Leyes/1593818&quot;,&quot;issued&quot;:{&quot;date-parts&quot;:[[1969,12,30]]},&quot;container-title-short&quot;:&quot;&quot;},&quot;isTemporary&quot;:false}]},{&quot;citationID&quot;:&quot;MENDELEY_CITATION_afca0dd9-9f88-480c-a528-35e273c11851&quot;,&quot;properties&quot;:{&quot;noteIndex&quot;:0},&quot;isEdited&quot;:false,&quot;manualOverride&quot;:{&quot;isManuallyOverridden&quot;:false,&quot;citeprocText&quot;:&quot;(Ley 599, 2000)&quot;,&quot;manualOverrideText&quot;:&quot;&quot;},&quot;citationTag&quot;:&quot;MENDELEY_CITATION_v3_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DU5OV8yMDAwLmh0bWwiLCJpc3N1ZWQiOnsiZGF0ZS1wYXJ0cyI6W1syMDAwLDcsMjRdXX0sImNvbnRhaW5lci10aXRsZS1zaG9ydCI6IiJ9LCJpc1RlbXBvcmFyeSI6ZmFsc2V9XX0=&quot;,&quot;citationItems&quot;:[{&quot;id&quot;:&quot;bc27adec-19bd-32a9-b824-c8a51355816a&quot;,&quot;itemData&quot;:{&quot;type&quot;:&quot;legislation&quot;,&quot;id&quot;:&quot;bc27adec-19bd-32a9-b824-c8a51355816a&quot;,&quot;title&quot;:&quot;Ley 59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0599_2000.html&quot;,&quot;issued&quot;:{&quot;date-parts&quot;:[[2000,7,24]]},&quot;container-title-short&quot;:&quot;&quot;},&quot;isTemporary&quot;:false}]},{&quot;citationID&quot;:&quot;MENDELEY_CITATION_860a0ed0-8087-4123-b9a5-d060f7783eff&quot;,&quot;properties&quot;:{&quot;noteIndex&quot;:0},&quot;isEdited&quot;:false,&quot;manualOverride&quot;:{&quot;isManuallyOverridden&quot;:true,&quot;citeprocText&quot;:&quot;(CONSEJO DE ESTADO SALA DE LO CONTENCIOSO ADMINISTRATIVO SECCIÓN CUARTA, s/f)&quot;,&quot;manualOverrideText&quot;:&quot;Piza Rodríguez (2020)&quot;},&quot;citationTag&quot;:&quot;MENDELEY_CITATION_v3_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&quot;,&quot;citationItems&quot;:[{&quot;id&quot;:&quot;f091179c-85dd-351b-8169-ba5c617319f6&quot;,&quot;itemData&quot;:{&quot;type&quot;:&quot;report&quot;,&quot;id&quot;:&quot;f091179c-85dd-351b-8169-ba5c617319f6&quot;,&quot;title&quot;:&quot;CONSEJO DE ESTADO SALA DE LO CONTENCIOSO ADMINISTRATIVO SECCIÓN CUARTA&quot;,&quot;URL&quot;:&quot;www.consejodeestado.gov.co&quot;,&quot;container-title-short&quot;:&quot;&quot;},&quot;isTemporary&quot;:false}]},{&quot;citationID&quot;:&quot;MENDELEY_CITATION_f7e1ac8f-2e7b-43fa-822c-a0fb11a07f75&quot;,&quot;properties&quot;:{&quot;noteIndex&quot;:0},&quot;isEdited&quot;:false,&quot;manualOverride&quot;:{&quot;isManuallyOverridden&quot;:true,&quot;citeprocText&quot;:&quot;(Palacio Rincón Paola Adriana, 2018)&quot;,&quot;manualOverrideText&quot;:&quot;Rincón Palacio, (2018)&quot;},&quot;citationTag&quot;:&quot;MENDELEY_CITATION_v3_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&quot;,&quot;citationItems&quot;:[{&quot;id&quot;:&quot;570fb430-0f6b-3db8-9e22-48f8d35a7399&quot;,&quot;itemData&quot;:{&quot;type&quot;:&quot;report&quot;,&quot;id&quot;:&quot;570fb430-0f6b-3db8-9e22-48f8d35a7399&quot;,&quot;title&quot;:&quot;Revista de Derecho Fiscal n.º 13 • julio-diciembre de&quot;,&quot;author&quot;:[{&quot;family&quot;:&quot;Palacio Rincón Paola Adriana&quot;,&quot;given&quot;:&quot;&quot;,&quot;parse-names&quot;:false,&quot;dropping-particle&quot;:&quot;&quot;,&quot;non-dropping-particle&quot;:&quot;&quot;}],&quot;issued&quot;:{&quot;date-parts&quot;:[[2018]]},&quot;number-of-pages&quot;:&quot;273-312&quot;,&quot;abstract&quot;:&quot;istration point of view. In the beginning, it was thought that retention agents would be persuaded to present his declarations with payment. However, it became an obstacle for collecting taxes and it also promoted tax evasion. The legislator established the declarations without effects with the purpose of acelerate collecting taxes thinking about a voluntary compliance. Although, it seems that the legislator forgot that besides voluntary compliance it was needed that the tax administration counts with collecting tools and at the same time it was an opportune moment to evaluate the tax determination procedure. Introducción La retención en la fuente es un mecanismo que permite que el recaudo del impuesto se realice en el mismo momento en que se produce el hecho generador del gravamen sobre el cual recae, ya sea el impuesto sobre la ren-ta o el impuesto al valor agregado. En este sentido, con la retención, la administración tributaria recibe un flujo de recursos cons-tante sin necesidad de esperar a que finalice el período gravable de cada impuesto. Se ha considerado que es una manifestación del principio de eficiencia tributaria, en la me-dida en que se pretende que el recaudo del tributo sea sencillo para la administración y cómodo para el contribuyente. Sin embargo, la consagración de la ineficacia de las decla-raciones de retención en la fuente presenta-das sin pago ha desvirtuado la eficiencia del mecanismo. El presente artículo tiene como objetivo abordar la problemática asociada a la consa-gración de la ineficacia de las declaraciones de retención en la fuente, tomando como fuente primaria la experiencia adquirida de la gestión de los procesos administrativos de cobro tanto en etapa coactiva como en la de representación externa. Igualmente, se proponen las reformas legislativas y las adecuaciones internas y tecnológicas que a juicio de la autora se consideran necesarias para mejorar la eficiencia del mecanismo de recaudo. Para efectos de determinar las razones por las cuales la consagración de la ineficacia conllevó a la ineficiencia del mecanismo de recaudo, en primer lugar, se explicará la evolución de la figura en la legislación colombiana y los mecanismos empleados a lo largo de la historia reciente para san-cionar el incumplimiento en el pago de las retenciones. Seguidamente, se analizará a fondo la problemática exponiendo las dificultades para realizar el cobro de las declaraciones de retención en la fuente ineficaces, entre las cuales se encuentra la ausencia de títu-lo ejecutivo, por cuanto se requiere de la resolución sanción por no declarar y de la liquidación oficial de aforo, lo cual demanda la gestión de varias Divisiones de Gestión de la entidad y no solamente de la División de Gestión de Cobranzas. Así mismo, se plantea el problema de la omisión en la pre-sentación de las declaraciones como opción de planeación fiscal, el cual se agrava por la solicitud de apertura del trámite concursal de liquidación judicial.&quot;,&quot;container-title-short&quot;:&quot;&quot;},&quot;isTemporary&quot;:false}]},{&quot;citationID&quot;:&quot;MENDELEY_CITATION_7a9cebec-808e-453f-83c7-81865eef976e&quot;,&quot;properties&quot;:{&quot;noteIndex&quot;:0},&quot;isEdited&quot;:false,&quot;manualOverride&quot;:{&quot;isManuallyOverridden&quot;:false,&quot;citeprocText&quot;:&quot;(Ley 2155, 2021)&quot;,&quot;manualOverrideText&quot;:&quot;&quot;},&quot;citationTag&quot;:&quot;MENDELEY_CITATION_v3_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&quot;,&quot;citationItems&quot;:[{&quot;id&quot;:&quot;9c989e12-872c-35c3-a3ec-937909d7114d&quot;,&quot;itemData&quot;:{&quot;type&quot;:&quot;legislation&quot;,&quot;id&quot;:&quot;9c989e12-872c-35c3-a3ec-937909d7114d&quot;,&quot;title&quot;:&quot;Ley 2155&quot;,&quot;author&quot;:[{&quot;family&quot;:&quot;Congreso de Colombia&quot;,&quot;given&quot;:&quot;&quot;,&quot;parse-names&quot;:false,&quot;dropping-particle&quot;:&quot;&quot;,&quot;non-dropping-particle&quot;:&quot;&quot;}],&quot;issued&quot;:{&quot;date-parts&quot;:[[2021]]},&quot;container-title-short&quot;:&quot;&quot;},&quot;isTemporary&quot;:false}]},{&quot;citationID&quot;:&quot;MENDELEY_CITATION_c716da9f-8cdd-48b3-b6b8-877e3a589b7b&quot;,&quot;properties&quot;:{&quot;noteIndex&quot;:0},&quot;isEdited&quot;:false,&quot;manualOverride&quot;:{&quot;isManuallyOverridden&quot;:false,&quot;citeprocText&quot;:&quot;(Ley 2277, 2022b)&quot;,&quot;manualOverrideText&quot;:&quot;&quot;},&quot;citationTag&quot;:&quot;MENDELEY_CITATION_v3_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jI3N18yMDIyLmh0bWwiLCJpc3N1ZWQiOnsiZGF0ZS1wYXJ0cyI6W1syMDIyXV19LCJjb250YWluZXItdGl0bGUtc2hvcnQiOiIifSwiaXNUZW1wb3JhcnkiOmZhbHNlfV19&quot;,&quot;citationItems&quot;:[{&quot;id&quot;:&quot;6a90f2ca-b2b0-376f-a42b-23bec6a0b97a&quot;,&quot;itemData&quot;:{&quot;type&quot;:&quot;legislation&quot;,&quot;id&quot;:&quot;6a90f2ca-b2b0-376f-a42b-23bec6a0b97a&quot;,&quot;title&quot;:&quot;Ley 2277&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2277_2022.html&quot;,&quot;issued&quot;:{&quot;date-parts&quot;:[[2022]]},&quot;container-title-short&quot;:&quot;&quot;},&quot;isTemporary&quot;:false}]},{&quot;citationID&quot;:&quot;MENDELEY_CITATION_07de172b-96dd-4a6c-b9ec-eaed970e8c63&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0sImNvbnRhaW5lci10aXRsZS1zaG9ydCI6IiJ9LCJpc1RlbXBvcmFyeSI6ZmFsc2V9XX0=&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061513a2-d3dc-439f-9595-efb45c29e861&quot;,&quot;properties&quot;:{&quot;noteIndex&quot;:0},&quot;isEdited&quot;:false,&quot;manualOverride&quot;:{&quot;isManuallyOverridden&quot;:false,&quot;citeprocText&quot;:&quot;(Decreto 1651, 1961)&quot;,&quot;manualOverrideText&quot;:&quot;&quot;},&quot;citationTag&quot;:&quot;MENDELEY_CITATION_v3_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&quot;,&quot;citationItems&quot;:[{&quot;id&quot;:&quot;0b905256-8f0c-390b-8d45-aa5ee7f0df7f&quot;,&quot;itemData&quot;:{&quot;type&quot;:&quot;legislation&quot;,&quot;id&quot;:&quot;0b905256-8f0c-390b-8d45-aa5ee7f0df7f&quot;,&quot;title&quot;:&quot;Decreto 1651&quot;,&quot;author&quot;:[{&quot;family&quot;:&quot;Presidencia de la República&quot;,&quot;given&quot;:&quot;&quot;,&quot;parse-names&quot;:false,&quot;dropping-particle&quot;:&quot;&quot;,&quot;non-dropping-particle&quot;:&quot;&quot;}],&quot;accessed&quot;:{&quot;date-parts&quot;:[[2025,10,22]]},&quot;URL&quot;:&quot;https://www.suin-juriscol.gov.co/viewDocument.asp?id=1326395&quot;,&quot;issued&quot;:{&quot;date-parts&quot;:[[1961]]},&quot;container-title-short&quot;:&quot;&quot;},&quot;isTemporary&quot;:false}]},{&quot;citationID&quot;:&quot;MENDELEY_CITATION_98ef5f33-5d24-4606-a81a-c558f7d76479&quot;,&quot;properties&quot;:{&quot;noteIndex&quot;:0},&quot;isEdited&quot;:false,&quot;manualOverride&quot;:{&quot;isManuallyOverridden&quot;:false,&quot;citeprocText&quot;:&quot;(Decreto 2053, 1974; Decreto 2876, 1974)&quot;,&quot;manualOverrideText&quot;:&quot;&quot;},&quot;citationTag&quot;:&quot;MENDELEY_CITATION_v3_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&quot;,&quot;citationItems&quot;:[{&quot;id&quot;:&quot;da327597-8442-395a-a7d6-980534a78002&quot;,&quot;itemData&quot;:{&quot;type&quot;:&quot;legislation&quot;,&quot;id&quot;:&quot;da327597-8442-395a-a7d6-980534a78002&quot;,&quot;title&quot;:&quot;Decreto 2053&quot;,&quot;author&quot;:[{&quot;family&quot;:&quot;Presidencia de la República&quot;,&quot;given&quot;:&quot;&quot;,&quot;parse-names&quot;:false,&quot;dropping-particle&quot;:&quot;&quot;,&quot;non-dropping-particle&quot;:&quot;&quot;}],&quot;accessed&quot;:{&quot;date-parts&quot;:[[2025,10,22]]},&quot;URL&quot;:&quot;https://www.suin-juriscol.gov.co/viewDocument.asp?id=30008496&quot;,&quot;issued&quot;:{&quot;date-parts&quot;:[[1974]]},&quot;container-title-short&quot;:&quot;&quot;},&quot;isTemporary&quot;:false},{&quot;id&quot;:&quot;21bd5313-ec26-343b-a804-bd0aff6ca5ba&quot;,&quot;itemData&quot;:{&quot;type&quot;:&quot;legislation&quot;,&quot;id&quot;:&quot;21bd5313-ec26-343b-a804-bd0aff6ca5ba&quot;,&quot;title&quot;:&quot;Decreto 2876&quot;,&quot;author&quot;:[{&quot;family&quot;:&quot;Presidencia de la República&quot;,&quot;given&quot;:&quot;&quot;,&quot;parse-names&quot;:false,&quot;dropping-particle&quot;:&quot;&quot;,&quot;non-dropping-particle&quot;:&quot;&quot;}],&quot;accessed&quot;:{&quot;date-parts&quot;:[[2025,10,22]]},&quot;URL&quot;:&quot;https://www.funcionpublica.gov.co/eva/gestornormativo/norma.php?i=168506&quot;,&quot;issued&quot;:{&quot;date-parts&quot;:[[1974]]},&quot;container-title-short&quot;:&quot;&quot;},&quot;isTemporary&quot;:false}]},{&quot;citationID&quot;:&quot;MENDELEY_CITATION_5672ef86-171a-45c0-bda2-efb1a2f1a13e&quot;,&quot;properties&quot;:{&quot;noteIndex&quot;:0},&quot;isEdited&quot;:false,&quot;manualOverride&quot;:{&quot;isManuallyOverridden&quot;:false,&quot;citeprocText&quot;:&quot;(Estatuto Tributario, 1989a)&quot;,&quot;manualOverrideText&quot;:&quot;&quot;},&quot;citationTag&quot;:&quot;MENDELEY_CITATION_v3_eyJjaXRhdGlvbklEIjoiTUVOREVMRVlfQ0lUQVRJT05fNTY3MmVmODYtMTcxYS00NWMwLWJkYTItZWZiMWEyZjFhMTNl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85d322e2-43bc-41d1-8819-be92f6f6078e&quot;,&quot;properties&quot;:{&quot;noteIndex&quot;:0},&quot;isEdited&quot;:false,&quot;manualOverride&quot;:{&quot;isManuallyOverridden&quot;:false,&quot;citeprocText&quot;:&quot;(Ley 1430, 2010b)&quot;,&quot;manualOverrideText&quot;:&quot;&quot;},&quot;citationTag&quot;:&quot;MENDELEY_CITATION_v3_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QzMF8yMDEwLmh0bWwiLCJpc3N1ZWQiOnsiZGF0ZS1wYXJ0cyI6W1syMDEwXV19LCJjb250YWluZXItdGl0bGUtc2hvcnQiOiIifSwiaXNUZW1wb3JhcnkiOmZhbHNlfV19&quot;,&quot;citationItems&quot;:[{&quot;id&quot;:&quot;5c06c554-5aef-3317-b280-47efa632d96b&quot;,&quot;itemData&quot;:{&quot;type&quot;:&quot;legislation&quot;,&quot;id&quot;:&quot;5c06c554-5aef-3317-b280-47efa632d96b&quot;,&quot;title&quot;:&quot;Ley 1430&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container-title-short&quot;:&quot;&quot;},&quot;isTemporary&quot;:false}]},{&quot;citationID&quot;:&quot;MENDELEY_CITATION_aa0342a9-7a24-4ea7-96e5-9798b7b1728f&quot;,&quot;properties&quot;:{&quot;noteIndex&quot;:0},&quot;isEdited&quot;:false,&quot;manualOverride&quot;:{&quot;isManuallyOverridden&quot;:false,&quot;citeprocText&quot;:&quot;(Ley 1819, 2016a)&quot;,&quot;manualOverrideText&quot;:&quot;&quot;},&quot;citationTag&quot;:&quot;MENDELEY_CITATION_v3_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gxOV8yMDE2Lmh0bWwiLCJpc3N1ZWQiOnsiZGF0ZS1wYXJ0cyI6W1syMDE2XV19LCJjb250YWluZXItdGl0bGUtc2hvcnQiOiIifSwiaXNUZW1wb3JhcnkiOmZhbHNlfV19&quot;,&quot;citationItems&quot;:[{&quot;id&quot;:&quot;010139d3-91cc-35a5-8e50-815cf07b4c84&quot;,&quot;itemData&quot;:{&quot;type&quot;:&quot;legislation&quot;,&quot;id&quot;:&quot;010139d3-91cc-35a5-8e50-815cf07b4c84&quot;,&quot;title&quot;:&quot;Ley 181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container-title-short&quot;:&quot;&quot;},&quot;isTemporary&quot;:false}]},{&quot;citationID&quot;:&quot;MENDELEY_CITATION_86770a65-0465-4898-a80c-60a88417d8c1&quot;,&quot;properties&quot;:{&quot;noteIndex&quot;:0},&quot;isEdited&quot;:false,&quot;manualOverride&quot;:{&quot;isManuallyOverridden&quot;:false,&quot;citeprocText&quot;:&quot;(Ley 1943, 2018)&quot;,&quot;manualOverrideText&quot;:&quot;&quot;},&quot;citationTag&quot;:&quot;MENDELEY_CITATION_v3_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&quot;,&quot;citationItems&quot;:[{&quot;id&quot;:&quot;b6a08f7f-216c-36b0-b35b-f7d514276068&quot;,&quot;itemData&quot;:{&quot;type&quot;:&quot;legislation&quot;,&quot;id&quot;:&quot;b6a08f7f-216c-36b0-b35b-f7d514276068&quot;,&quot;title&quot;:&quot;Ley 1943&quot;,&quot;author&quot;:[{&quot;family&quot;:&quot;Congreso de Colombia&quot;,&quot;given&quot;:&quot;&quot;,&quot;parse-names&quot;:false,&quot;dropping-particle&quot;:&quot;&quot;,&quot;non-dropping-particle&quot;:&quot;&quot;}],&quot;accessed&quot;:{&quot;date-parts&quot;:[[2025,10,21]]},&quot;URL&quot;:&quot;http://www.secretariasenado.gov.co/senado/basedoc/ley_1943_2018.html&quot;,&quot;issued&quot;:{&quot;date-parts&quot;:[[2018]]},&quot;container-title-short&quot;:&quot;&quot;},&quot;isTemporary&quot;:false}]},{&quot;citationID&quot;:&quot;MENDELEY_CITATION_db799ce2-5639-462b-9951-489e5c93a47a&quot;,&quot;properties&quot;:{&quot;noteIndex&quot;:0},&quot;isEdited&quot;:false,&quot;manualOverride&quot;:{&quot;isManuallyOverridden&quot;:true,&quot;citeprocText&quot;:&quot;(González Peñaloza et al., 2024)&quot;,&quot;manualOverrideText&quot;:&quot;González Peñaloza y Diaz López (2024)&quot;},&quot;citationTag&quot;:&quot;MENDELEY_CITATION_v3_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&quot;,&quot;citationItems&quot;:[{&quot;id&quot;:&quot;e1eb7db1-4d4f-3ef8-97b3-18f62430832c&quot;,&quot;itemData&quot;:{&quot;type&quot;:&quot;report&quot;,&quot;id&quot;:&quot;e1eb7db1-4d4f-3ef8-97b3-18f62430832c&quot;,&quot;title&quot;:&quot;Controles tributarios y la evasión fiscal en Colombia&quot;,&quot;author&quot;:[{&quot;family&quot;:&quot;González Peñaloza&quot;,&quot;given&quot;:&quot;Ana Jeniffer&quot;,&quot;parse-names&quot;:false,&quot;dropping-particle&quot;:&quot;&quot;,&quot;non-dropping-particle&quot;:&quot;&quot;},{&quot;family&quot;:&quot;Stevenson&quot;,&quot;given&quot;:&quot;Danilo&quot;,&quot;parse-names&quot;:false,&quot;dropping-particle&quot;:&quot;&quot;,&quot;non-dropping-particle&quot;:&quot;&quot;},{&quot;family&quot;:&quot;López&quot;,&quot;given&quot;:&quot;Díaz&quot;,&quot;parse-names&quot;:false,&quot;dropping-particle&quot;:&quot;&quot;,&quot;non-dropping-particle&quot;:&quot;&quot;}],&quot;issued&quot;:{&quot;date-parts&quot;:[[2024]]},&quot;container-title-short&quot;:&quot;&quot;},&quot;isTemporary&quot;:false}]},{&quot;citationID&quot;:&quot;MENDELEY_CITATION_70ef946e-9dca-40a8-9b60-be07d50f405e&quot;,&quot;properties&quot;:{&quot;noteIndex&quot;:0},&quot;isEdited&quot;:false,&quot;manualOverride&quot;:{&quot;isManuallyOverridden&quot;:true,&quot;citeprocText&quot;:&quot;(&lt;i&gt;PAEZ ARISTIZABAL Y CABRERA GANZON&lt;/i&gt;, s/f)&quot;,&quot;manualOverrideText&quot;:&quot;Páez y Cabrera (2020)&quot;},&quot;citationTag&quot;:&quot;MENDELEY_CITATION_v3_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&quot;,&quot;citationItems&quot;:[{&quot;id&quot;:&quot;53844d9b-3553-39fc-a78a-ba1e7a60876a&quot;,&quot;itemData&quot;:{&quot;type&quot;:&quot;article-journal&quot;,&quot;id&quot;:&quot;53844d9b-3553-39fc-a78a-ba1e7a60876a&quot;,&quot;title&quot;:&quot;PAEZ ARISTIZABAL Y CABRERA GANZON&quot;,&quot;container-title-short&quot;:&quot;&quot;},&quot;isTemporary&quot;:false}]},{&quot;citationID&quot;:&quot;MENDELEY_CITATION_9c9cb3f1-3695-4756-92f0-2bf20306d530&quot;,&quot;properties&quot;:{&quot;noteIndex&quot;:0},&quot;isEdited&quot;:false,&quot;manualOverride&quot;:{&quot;isManuallyOverridden&quot;:false,&quot;citeprocText&quot;:&quot;(Sentencia 73001-23-33-000-2019-00336-00, 2022)&quot;,&quot;manualOverrideText&quot;:&quot;&quot;},&quot;citationTag&quot;:&quot;MENDELEY_CITATION_v3_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&quot;,&quot;citationItems&quot;:[{&quot;id&quot;:&quot;7bfefc56-0435-3c01-b47c-8fcaf6915155&quot;,&quot;itemData&quot;:{&quot;type&quot;:&quot;legislation&quot;,&quot;id&quot;:&quot;7bfefc56-0435-3c01-b47c-8fcaf6915155&quot;,&quot;title&quot;:&quot;Sentencia 73001-23-33-000-2019-00336-00&quot;,&quot;author&quot;:[{&quot;family&quot;:&quot;Mendieta Rodriguez Carlos Arturo&quot;,&quot;given&quot;:&quot;&quot;,&quot;parse-names&quot;:false,&quot;dropping-particle&quot;:&quot;&quot;,&quot;non-dropping-particle&quot;:&quot;&quot;}],&quot;accessed&quot;:{&quot;date-parts&quot;:[[2025,10,22]]},&quot;URL&quot;:&quot;https://portalhistorico.ramajudicial.gov.co/documents/84293914/98675837/2019-336+ago.+18-22+sanci%C3%B3n+por+omitir+presentar+declaraci%C3%B3n+de+retenci%C3%B3n.pdf/59bca997-da96-4e10-aedd-59e83ff24cc8&quot;,&quot;issued&quot;:{&quot;date-parts&quot;:[[2022,8,18]]},&quot;container-title-short&quot;:&quot;&quot;},&quot;isTemporary&quot;:false}]},{&quot;citationID&quot;:&quot;MENDELEY_CITATION_8a47c3f3-4690-4749-8e5e-d446d5122441&quot;,&quot;properties&quot;:{&quot;noteIndex&quot;:0},&quot;isEdited&quot;:false,&quot;manualOverride&quot;:{&quot;isManuallyOverridden&quot;:false,&quot;citeprocText&quot;:&quot;(Estatuto Tributario, 1989a)&quot;,&quot;manualOverrideText&quot;:&quot;&quot;},&quot;citationTag&quot;:&quot;MENDELEY_CITATION_v3_eyJjaXRhdGlvbklEIjoiTUVOREVMRVlfQ0lUQVRJT05fOGE0N2MzZjMtNDY5MC00NzQ5LThlNWUtZDQ0NmQ1MTIyNDQx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6e725e73-5f6d-4f3c-a319-0f63c7aec9a1&quot;,&quot;properties&quot;:{&quot;noteIndex&quot;:0},&quot;isEdited&quot;:false,&quot;manualOverride&quot;:{&quot;isManuallyOverridden&quot;:true,&quot;citeprocText&quot;:&quot;(Ley 1430, 2010a)&quot;,&quot;manualOverrideText&quot;:&quot;(Ley 1430, 2010)&quot;},&quot;citationTag&quot;:&quot;MENDELEY_CITATION_v3_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TQzMF8yMDEwLmh0bWwiLCJpc3N1ZWQiOnsiZGF0ZS1wYXJ0cyI6W1syMDEwXV19LCJjb250YWluZXItdGl0bGUtc2hvcnQiOiIifSwiaXNUZW1wb3JhcnkiOmZhbHNlfV19&quot;,&quot;citationItems&quot;:[{&quot;id&quot;:&quot;532565fb-7ab2-3ca1-a820-a7cdf3e4e2a4&quot;,&quot;itemData&quot;:{&quot;type&quot;:&quot;legislation&quot;,&quot;id&quot;:&quot;532565fb-7ab2-3ca1-a820-a7cdf3e4e2a4&quot;,&quot;title&quot;:&quot;Ley 1430&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container-title-short&quot;:&quot;&quot;},&quot;isTemporary&quot;:false}]},{&quot;citationID&quot;:&quot;MENDELEY_CITATION_9ea8d791-bc69-44bd-a8c7-7718c30acd8e&quot;,&quot;properties&quot;:{&quot;noteIndex&quot;:0},&quot;isEdited&quot;:false,&quot;manualOverride&quot;:{&quot;isManuallyOverridden&quot;:true,&quot;citeprocText&quot;:&quot;(Reyes Casallas Laura Sofia, 2023)&quot;,&quot;manualOverrideText&quot;:&quot;(Reyes, 2023)&quot;},&quot;citationTag&quot;:&quot;MENDELEY_CITATION_v3_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&quot;,&quot;citationItems&quot;:[{&quot;id&quot;:&quot;858e3c0f-f6b7-3a91-ba79-0255f57073f1&quot;,&quot;itemData&quot;:{&quot;type&quot;:&quot;thesis&quot;,&quot;id&quot;:&quot;858e3c0f-f6b7-3a91-ba79-0255f57073f1&quot;,&quot;title&quot;:&quot;Análisis del Impacto Económico de los Impuestos Nacionales en las Pequeñas y Medianas\nEmpresas (PYMES) colombianas&quot;,&quot;author&quot;:[{&quot;family&quot;:&quot;Reyes Casallas Laura Sofia&quot;,&quot;given&quot;:&quot;&quot;,&quot;parse-names&quot;:false,&quot;dropping-particle&quot;:&quot;&quot;,&quot;non-dropping-particle&quot;:&quot;&quot;}],&quot;issued&quot;:{&quot;date-parts&quot;:[[2023]]},&quot;publisher-place&quot;:&quot;Ibagué&quot;,&quot;number-of-pages&quot;:&quot;1-62&quot;,&quot;language&quot;:&quot;Español&quot;,&quot;abstract&quot;:&quot;La siguiente monografía presenta un análisis en torno al impacto que ejerce la carga fiscal\ne impositiva de los impuestos nacionales sobre la competitividad en las Pequeñas y Medianas\nEmpresas - PYMES en Colombia. Tras la implementación de nuevas reformas tributarias y los\nconstantes cambios económicos, las PYMES han tenido que implementar estrategias que les\npermita ser competitivas en un mercado donde la innovación, la globalización, y el auge de las\ntecnologías de la información y comunicación TICS les exige constantemente estar a la par de las\nnuevas tendencias, tanto en lo productivo como en la calidad de los servicios ofertados. Las\nPYMES hacen un gran aporte al Producto Interno Bruto -PIB, representando así mismo un papel\nimportante en la economía del país, por tanto, es muy importante reconocer cómo la carga\ntributaria afecta directamente sus operaciones tanto a nivel nacional como internacional. Para\nello, esta monografía presenta como principal pregunta problémica, ¿Cuál es el impacto\neconómico que ejerce la carga impositiva de impuestos nacionales sobre las pequeñas y\nmedianas empresas (PYMES) en Colombia?, para dar respuesta a esta pregunta se lleva a cabo\nuna investigación cualitativa de tipo documental, utilizando fuentes de información secundarias a\ntravés de una revisión bibliográfica que presente los diferentes enfoques teóricos los cuales se\nhan desarrollado alrededor de esta temática lo cual constituye un importante sustento teórico para\neste trabajo.&quot;,&quot;publisher&quot;:&quot;Universidad de Ibagué&quot;,&quot;container-title-short&quot;:&quot;&quot;},&quot;isTemporary&quot;:false}]},{&quot;citationID&quot;:&quot;MENDELEY_CITATION_9e019aff-620e-4d2d-b0b7-3656b930f3ba&quot;,&quot;properties&quot;:{&quot;noteIndex&quot;:0},&quot;isEdited&quot;:false,&quot;manualOverride&quot;:{&quot;isManuallyOverridden&quot;:true,&quot;citeprocText&quot;:&quot;(UNIVERSIDAD EXTERNADO DE COLOMBIA, s/f)&quot;,&quot;manualOverrideText&quot;:&quot;(Saldarriaga Ramírez, 2024)&quot;},&quot;citationTag&quot;:&quot;MENDELEY_CITATION_v3_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&quot;,&quot;citationItems&quot;:[{&quot;id&quot;:&quot;dcd97c8e-93fe-3cb3-9264-d2e9dbf39ac2&quot;,&quot;itemData&quot;:{&quot;type&quot;:&quot;report&quot;,&quot;id&quot;:&quot;dcd97c8e-93fe-3cb3-9264-d2e9dbf39ac2&quot;,&quot;title&quot;:&quot;UNIVERSIDAD EXTERNADO DE COLOMBIA&quot;,&quot;container-title-short&quot;:&quot;&quot;},&quot;isTemporary&quot;:false}]},{&quot;citationID&quot;:&quot;MENDELEY_CITATION_05997dfc-e16b-45a6-9bcd-bf27fa071280&quot;,&quot;properties&quot;:{&quot;noteIndex&quot;:0},&quot;isEdited&quot;:false,&quot;manualOverride&quot;:{&quot;isManuallyOverridden&quot;:true,&quot;citeprocText&quot;:&quot;(Espinosa Díaz et al., 2022b)&quot;,&quot;manualOverrideText&quot;:&quot;(Espinosa Díaz et al., 2021)&quot;},&quot;citationTag&quot;:&quot;MENDELEY_CITATION_v3_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&quot;,&quot;citationItems&quot;:[{&quot;id&quot;:&quot;ba70959f-7ee4-31aa-b49c-067a36eafb7e&quot;,&quot;itemData&quot;:{&quot;type&quot;:&quot;article-journal&quot;,&quot;id&quot;:&quot;ba70959f-7ee4-31aa-b49c-067a36eafb7e&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2,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ce3bca74-420a-443a-ae28-dbbc046951df&quot;,&quot;properties&quot;:{&quot;noteIndex&quot;:0},&quot;isEdited&quot;:false,&quot;manualOverride&quot;:{&quot;isManuallyOverridden&quot;:true,&quot;citeprocText&quot;:&quot;(Saldarriaga Sergio, s/f)&quot;,&quot;manualOverrideText&quot;:&quot;(Saldarriaga, 2024)&quot;},&quot;citationTag&quot;:&quot;MENDELEY_CITATION_v3_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&quot;,&quot;citationItems&quot;:[{&quot;id&quot;:&quot;4c8eb880-d390-3a51-a433-2bf2c7f782d3&quot;,&quot;itemData&quot;:{&quot;type&quot;:&quot;thesis&quot;,&quot;id&quot;:&quot;4c8eb880-d390-3a51-a433-2bf2c7f782d3&quot;,&quot;title&quot;:&quot;Ineficacia de las declaraciones de retención en la fuente.\nUn análisis comparativo frente a los cambios normativos de los años 2011 al 2023 y su relación con la debida gestión de cobro por parte de la DIAN seccional Villavicencio&quot;,&quot;author&quot;:[{&quot;family&quot;:&quot;Saldarriaga Sergio&quot;,&quot;given&quot;:&quot;&quot;,&quot;parse-names&quot;:false,&quot;dropping-particle&quot;:&quot;&quot;,&quot;non-dropping-particle&quot;:&quot;&quot;}],&quot;container-title-short&quot;:&quot;&quot;},&quot;isTemporary&quot;:false}]},{&quot;citationID&quot;:&quot;MENDELEY_CITATION_f1b3d12b-5074-46b3-b2bc-0a4a1ce471c6&quot;,&quot;properties&quot;:{&quot;noteIndex&quot;:0},&quot;isEdited&quot;:false,&quot;manualOverride&quot;:{&quot;isManuallyOverridden&quot;:true,&quot;citeprocText&quot;:&quot;(Camacho Tovar, 2021a)&quot;,&quot;manualOverrideText&quot;:&quot;Camacho (2021)&quot;},&quot;citationTag&quot;:&quot;MENDELEY_CITATION_v3_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&quot;,&quot;citationItems&quot;:[{&quot;id&quot;:&quot;552ba83f-e7f6-326d-9563-e74a6a799058&quot;,&quot;itemData&quot;:{&quot;type&quot;:&quot;article-journal&quot;,&quot;id&quot;:&quot;552ba83f-e7f6-326d-9563-e74a6a799058&quot;,&quot;title&quot;:&quot;Retención en la fuente para efectos del impuesto sobre la renta en ingresos de la cédula del trabajo: análisis del caso de los docentes catedráticos y personas naturales con vinculación múltiple en Colombia&quot;,&quot;author&quot;:[{&quot;family&quot;:&quot;Camacho Tovar&quot;,&quot;given&quot;:&quot;Paola Andrea&quot;,&quot;parse-names&quot;:false,&quot;dropping-particle&quot;:&quot;&quot;,&quot;non-dropping-particle&quot;:&quot;&quot;}],&quot;issued&quot;:{&quot;date-parts&quot;:[[2021,7]]},&quot;page&quot;:&quot;133-159&quot;,&quot;abstract&quot;:&quot;Resumen La retención en la fuente, para efectos del impuesto sobre la renta en ingresos de rentas de trabajo, presentó cambios con la Ley 1819 de 2016 e implantó el sistema cedular, lo cual representó inestabilidad e incertidumbre jurídica a los agentes de retención al mo-mento de aplicar la norma. Así mismo, se analiza la responsabilidad de los agentes de retención como responsa-bles solidarios de la obligación principal del contribuyente, y el impacto en términos financieros de la aplicación de la normatividad actual, específicamente en los casos de docentes de cátedra y personas naturales con vinculación múltiple. Palabras clave: retención en la fuente; rentas de trabajo; docentes de cátedra; personas naturales con vinculación múltiple; sistema de seguridad social; contratos de prestación de servicio; contrato con vinculación laboral o legal y reglamentaria. Abstract The withholding at source for income tax purposes in income from work income presented changes with Law 1819 of 2016 and implemented the ID system; presenting the same, instability and legal uncertainty to the retention agents at the time of applying the rule. Likewise, the responsibility of withholding agents is analyzed as joint and severally liable for the main obligation of the taxpayer and the impact in financial terms of the application of current regulations, specifically in the cases of university professors and natural persons with multiple ties.&quot;,&quot;container-title-short&quot;:&quot;&quot;},&quot;isTemporary&quot;:false}]},{&quot;citationID&quot;:&quot;MENDELEY_CITATION_3ea57591-7e6a-4e4b-946a-c0737e82741a&quot;,&quot;properties&quot;:{&quot;noteIndex&quot;:0},&quot;isEdited&quot;:false,&quot;manualOverride&quot;:{&quot;isManuallyOverridden&quot;:false,&quot;citeprocText&quot;:&quot;(Espinosa Díaz et al., 2021a)&quot;,&quot;manualOverrideText&quot;:&quot;&quot;},&quot;citationTag&quot;:&quot;MENDELEY_CITATION_v3_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S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quot;,&quot;citationItems&quot;:[{&quot;id&quot;:&quot;94a93c82-4978-3d25-829e-27195d5ca750&quot;,&quot;itemData&quot;:{&quot;type&quot;:&quot;article-journal&quot;,&quot;id&quot;:&quot;94a93c82-4978-3d25-829e-27195d5ca750&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1,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bc71ffbf-b6d3-4e03-8428-b1fa9999d305&quot;,&quot;properties&quot;:{&quot;noteIndex&quot;:0},&quot;isEdited&quot;:false,&quot;manualOverride&quot;:{&quot;isManuallyOverridden&quot;:true,&quot;citeprocText&quot;:&quot;(Mendoza Vega, 2023)&quot;,&quot;manualOverrideText&quot;:&quot;Mendoza (2023)&quot;},&quot;citationTag&quot;:&quot;MENDELEY_CITATION_v3_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&quot;,&quot;citationItems&quot;:[{&quot;id&quot;:&quot;fc8b24ee-b4ae-37de-9c19-09a9ff78c09c&quot;,&quot;itemData&quot;:{&quot;type&quot;:&quot;report&quot;,&quot;id&quot;:&quot;fc8b24ee-b4ae-37de-9c19-09a9ff78c09c&quot;,&quot;title&quot;:&quot;Lo que debe saber sobre declaraciones tributarias ineficaces en vigencia de la Ley 2277 de 2022&quot;,&quot;author&quot;:[{&quot;family&quot;:&quot;Mendoza Vega&quot;,&quot;given&quot;:&quot;David Fernando&quot;,&quot;parse-names&quot;:false,&quot;dropping-particle&quot;:&quot;&quot;,&quot;non-dropping-particle&quot;:&quot;&quot;}],&quot;issued&quot;:{&quot;date-parts&quot;:[[2023,2]]},&quot;abstract&quot;:&quot;Por su parte, en el artículo 580 E.T. se enlista una serie de situaciones que, por incumplimiento de requisitos, configuran incumplimiento del deber de declarar bajo el señalamiento de declaraciones que se entienden por no presentadas, ya que, de acuerdo con lo indicado por la Corte Constitucional en Sentencia C-844 de 1999 2 : \&quot;[L]a indicación de todos los elementos que integran la declaración tributaria que prevé el artículo 580 cuentan con un claro objetivo, el cual es facilitar el control que se requiere, por parte de la autoridad tributaria, para hacer posible una tributación que consulte lo dispuesto en el artículo 95 num. 9 y 363 superiores\&quot;. Lo anterior, sin perder de vista lo precisado por la Corte Constitucional en la Sentencia C-690 de 1996 3 , donde se resaltó que el régimen tributario excluye la posibilidad de imposición de sanciones por mero resultado, ya que, de hacerlo, desconocería principios constitucionales de justicia y equidad tributarias: \&quot;En tales circunstancias, se considera legítima la presentación de declaraciones tributarias por intermedio de agentes oficiosos, o la ausencia de firma del contador público o del revisor fiscal, o la exhibición de la declaración tributaria en forma extemporánea o en el lugar diferente al señalado por la ley, cuando por hechos que configuren caso fortuito o fuerza mayor haya sido imposible al contribuyente la presentación de la declaración tributaria, en los términos de la ley\&quot;. Declaraciones que se entienden como no presentadas (art. 580 E.T. bajo el análisis de la Corte Constitucional) La Corte Constitucional señaló en Sentencia C-844 de 1999 que el conjunto de causales señaladas en el artículo 580 E.T. no es aplicable en forma automática por simple ministerio de la ley, ya que, para aplicar estas disposiciones, la autoridad tributaria debe llevar a cabo \&quot;la actuación administrativa sujeta al principio de la legalidad y a las reglas del debido proceso, para oír en descargos al contribuyente y garantizar el derecho de defensa\&quot;.&quot;,&quot;container-title-short&quot;:&quot;&quot;},&quot;isTemporary&quot;:false}]},{&quot;citationID&quot;:&quot;MENDELEY_CITATION_1194b1d7-fb3c-405a-bc28-1ddbee8efd16&quot;,&quot;properties&quot;:{&quot;noteIndex&quot;:0},&quot;isEdited&quot;:false,&quot;manualOverride&quot;:{&quot;isManuallyOverridden&quot;:true,&quot;citeprocText&quot;:&quot;(DEBATES DE DERECHO TRIBUTARIO Y FINANCIERO, s/f)&quot;,&quot;manualOverrideText&quot;:&quot;(Debates De Derecho Tributario Y Financiero.)&quot;},&quot;citationTag&quot;:&quot;MENDELEY_CITATION_v3_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&quot;,&quot;citationItems&quot;:[{&quot;id&quot;:&quot;aecb73c5-0d5a-36f1-a8e9-209d1aad514d&quot;,&quot;itemData&quot;:{&quot;type&quot;:&quot;report&quot;,&quot;id&quot;:&quot;aecb73c5-0d5a-36f1-a8e9-209d1aad514d&quot;,&quot;title&quot;:&quot;DEBATES DE DERECHO TRIBUTARIO Y FINANCIERO&quot;,&quot;URL&quot;:&quot;www.derecho.uba.ar&quot;,&quot;container-title-short&quot;:&quot;&quot;},&quot;isTemporary&quot;:false}]},{&quot;citationID&quot;:&quot;MENDELEY_CITATION_b5c76191-eeb3-4232-ab9d-bb27ba21c95b&quot;,&quot;properties&quot;:{&quot;noteIndex&quot;:0},&quot;isEdited&quot;:false,&quot;manualOverride&quot;:{&quot;isManuallyOverridden&quot;:false,&quot;citeprocText&quot;:&quot;(Villalobos, 2023a)&quot;,&quot;manualOverrideText&quot;:&quot;&quot;},&quot;citationTag&quot;:&quot;MENDELEY_CITATION_v3_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&quot;,&quot;citationItems&quot;:[{&quot;id&quot;:&quot;795eaf71-db72-37f1-92c5-1b121a264527&quot;,&quot;itemData&quot;:{&quot;type&quot;:&quot;article-journal&quot;,&quot;id&quot;:&quot;795eaf71-db72-37f1-92c5-1b121a264527&quot;,&quot;title&quot;:&quot;La indispensable Reforma Tributaria en México para 2024&quot;,&quot;author&quot;:[{&quot;family&quot;:&quot;Villalobos&quot;,&quot;given&quot;:&quot;José Antonio&quot;,&quot;parse-names&quot;:false,&quot;dropping-particle&quot;:&quot;&quot;,&quot;non-dropping-particle&quot;:&quot;&quot;}],&quot;container-title&quot;:&quot;Política, Globalidad y Ciudadanía&quot;,&quot;DOI&quot;:&quot;10.29105/rpgyc10.19-247&quot;,&quot;issued&quot;:{&quot;date-parts&quot;:[[2023,12,30]]},&quot;page&quot;:&quot;108&quot;,&quot;abstract&quot;:&quot;Este trabajo sigue el método deductivo, con paradigma hermenéutico y con un enfoque cualitativo. México es un país que vive una desigualdad brutal del ingreso, la presión fiscal del país en 2021 es de 14.7% del PIB (sin aportaciones de seguridad social) cuando en promedio los países de Latinoamérica presentan 17.9% y la Organización para la Cooperación y Desarrollo Económicos (OCDE) 24.6% del PIB, diferencia muy profunda de 10 puntos porcentuales. Ante ello, se hace imprescindible una reforma tributaria, la cual en una primera etapa debe buscar igualar a las naciones latinoamericanas y en segunda instancia acercarse lo más posible a los países de la OCDE.&quot;,&quot;publisher&quot;:&quot;Universidad Autonoma de Nuevo Leon&quot;,&quot;issue&quot;:&quot;19&quot;,&quot;volume&quot;:&quot;10&quot;,&quot;container-title-short&quot;:&quot;&quot;},&quot;isTemporary&quot;:false}]},{&quot;citationID&quot;:&quot;MENDELEY_CITATION_2f6a41ba-8506-4405-a7d9-0eaeade3358d&quot;,&quot;properties&quot;:{&quot;noteIndex&quot;:0},&quot;isEdited&quot;:false,&quot;manualOverride&quot;:{&quot;isManuallyOverridden&quot;:false,&quot;citeprocText&quot;:&quot;(Ief, s/f)&quot;,&quot;manualOverrideText&quot;:&quot;&quot;},&quot;citationTag&quot;:&quot;MENDELEY_CITATION_v3_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&quot;,&quot;citationItems&quot;:[{&quot;id&quot;:&quot;1162974a-57c8-312e-abe8-46d9ae5c63a8&quot;,&quot;itemData&quot;:{&quot;type&quot;:&quot;report&quot;,&quot;id&quot;:&quot;1162974a-57c8-312e-abe8-46d9ae5c63a8&quot;,&quot;title&quot;:&quot;Documento de Trabajo 8/2022&quot;,&quot;author&quot;:[{&quot;family&quot;:&quot;Ief&quot;,&quot;given&quot;:&quot;&quot;,&quot;parse-names&quot;:false,&quot;dropping-particle&quot;:&quot;&quot;,&quot;non-dropping-particle&quot;:&quot;&quot;}],&quot;ISBN&quot;:&quot;140-22-031-7&quot;,&quot;container-title-short&quot;:&quot;&quot;},&quot;isTemporary&quot;:false}]},{&quot;citationID&quot;:&quot;MENDELEY_CITATION_ecfd95dc-3a4e-4d07-a588-d322671c52f8&quot;,&quot;properties&quot;:{&quot;noteIndex&quot;:0},&quot;isEdited&quot;:false,&quot;manualOverride&quot;:{&quot;isManuallyOverridden&quot;:false,&quot;citeprocText&quot;:&quot;(Unidas, 2030)&quot;,&quot;manualOverrideText&quot;:&quot;&quot;},&quot;citationTag&quot;:&quot;MENDELEY_CITATION_v3_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&quot;,&quot;citationItems&quot;:[{&quot;id&quot;:&quot;c5d080ab-e928-3250-9236-3c05a37781af&quot;,&quot;itemData&quot;:{&quot;type&quot;:&quot;article-journal&quot;,&quot;id&quot;:&quot;c5d080ab-e928-3250-9236-3c05a37781af&quot;,&quot;title&quot;:&quot;Estrategias para abordar la evasión tributaria en América Latina y el Caribe: avances en su medición y panorama de las medidas recientes para reducir su magnitud&quot;,&quot;author&quot;:[{&quot;family&quot;:&quot;Unidas&quot;,&quot;given&quot;:&quot;Naciones&quot;,&quot;parse-names&quot;:false,&quot;dropping-particle&quot;:&quot;&quot;,&quot;non-dropping-particle&quot;:&quot;&quot;}],&quot;ISSN&quot;:&quot;1680-8851&quot;,&quot;URL&quot;:&quot;www.cepal.org/apps&quot;,&quot;issued&quot;:{&quot;date-parts&quot;:[[2030]]},&quot;container-title-short&quot;:&quot;&quot;},&quot;isTemporary&quot;:false}]},{&quot;citationID&quot;:&quot;MENDELEY_CITATION_11518dd5-22b4-45fa-b991-fca9d328da56&quot;,&quot;properties&quot;:{&quot;noteIndex&quot;:0},&quot;isEdited&quot;:false,&quot;manualOverride&quot;:{&quot;isManuallyOverridden&quot;:true,&quot;citeprocText&quot;:&quot;(Barreira, 2020)&quot;,&quot;manualOverrideText&quot;:&quot;Barreira (2020)&quot;},&quot;citationTag&quot;:&quot;MENDELEY_CITATION_v3_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&quot;,&quot;citationItems&quot;:[{&quot;id&quot;:&quot;43a74d9f-dfec-362f-a621-b50bb0ce8b9e&quot;,&quot;itemData&quot;:{&quot;type&quot;:&quot;report&quot;,&quot;id&quot;:&quot;43a74d9f-dfec-362f-a621-b50bb0ce8b9e&quot;,&quot;title&quot;:&quot;Evasión Fiscal en Argentina y el rol del Contador Público\ncomo auditor externo&quot;,&quot;author&quot;:[{&quot;family&quot;:&quot;Barreira&quot;,&quot;given&quot;:&quot;Daniela Vanina&quot;,&quot;parse-names&quot;:false,&quot;dropping-particle&quot;:&quot;&quot;,&quot;non-dropping-particle&quot;:&quot;&quot;}],&quot;issued&quot;:{&quot;date-parts&quot;:[[2020,10]]},&quot;abstract&quot;:&quot;El presente trabajo tiene por finalidad realizar una investigación descriptiva acerca de la\nevasión fiscal en nuestro país considerando este delito como parte del lavado de dinero,\ntambién se estudiara la normativa vinculada a este delito y el organismo que la promueve\n(UIF).\nLa presente investigación comprenderá en una primera parte la definición de conceptos\nque nos permitirán comprender el fenómeno del Lavado de Dinero y Evasión Fiscal para\nluego incursionar en el conocimiento de las normas dictadas a los efectos de luchar contra\nel mismo y de los Organismos creados para tal fin, haciendo hincapié en la evasión\nimpositiva.\nAsimismo se analizara cuál es el rol del profesional en ciencias económicas ante este\ntema, cuáles son sus responsabilidades y obligaciones, según la R420/11 y la R65/201,\ntanto en lo profesional como en lo legal.\nTambién se estudiaran las causas que conllevan a la evasión fiscal y sus consecuencias\ntanto a nivel mundial como en nuestro país en particular.&quot;,&quot;container-title-short&quot;:&quot;&quot;},&quot;isTemporary&quot;:false}]},{&quot;citationID&quot;:&quot;MENDELEY_CITATION_96e4b81d-8cc8-4e44-ad1c-106789d5f6cc&quot;,&quot;properties&quot;:{&quot;noteIndex&quot;:0},&quot;isEdited&quot;:false,&quot;manualOverride&quot;:{&quot;isManuallyOverridden&quot;:true,&quot;citeprocText&quot;:&quot;(Villalobos, 2023b)&quot;,&quot;manualOverrideText&quot;:&quot;Villalobos (2023)&quot;},&quot;citationTag&quot;:&quot;MENDELEY_CITATION_v3_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&quot;,&quot;citationItems&quot;:[{&quot;id&quot;:&quot;2eb11b07-b73e-3e90-ac30-558ce1f15fb6&quot;,&quot;itemData&quot;:{&quot;type&quot;:&quot;article-journal&quot;,&quot;id&quot;:&quot;2eb11b07-b73e-3e90-ac30-558ce1f15fb6&quot;,&quot;title&quot;:&quot;La indispensable Reforma Tributaria en México para 2024&quot;,&quot;author&quot;:[{&quot;family&quot;:&quot;Villalobos&quot;,&quot;given&quot;:&quot;José Antonio&quot;,&quot;parse-names&quot;:false,&quot;dropping-particle&quot;:&quot;&quot;,&quot;non-dropping-particle&quot;:&quot;&quot;}],&quot;container-title&quot;:&quot;Política, Globalidad y Ciudadanía&quot;,&quot;DOI&quot;:&quot;10.29105/rpgyc10.19-247&quot;,&quot;issued&quot;:{&quot;date-parts&quot;:[[2023,12,30]]},&quot;page&quot;:&quot;108&quot;,&quot;abstract&quot;:&quot;Este trabajo sigue el método deductivo, con paradigma hermenéutico y con un enfoque cualitativo. México es un país que vive una desigualdad brutal del ingreso, la presión fiscal del país en 2021 es de 14.7% del PIB (sin aportaciones de seguridad social) cuando en promedio los países de Latinoamérica presentan 17.9% y la Organización para la Cooperación y Desarrollo Económicos (OCDE) 24.6% del PIB, diferencia muy profunda de 10 puntos porcentuales. Ante ello, se hace imprescindible una reforma tributaria, la cual en una primera etapa debe buscar igualar a las naciones latinoamericanas y en segunda instancia acercarse lo más posible a los países de la OCDE.&quot;,&quot;publisher&quot;:&quot;Universidad Autonoma de Nuevo Leon&quot;,&quot;issue&quot;:&quot;19&quot;,&quot;volume&quot;:&quot;10&quot;,&quot;container-title-short&quot;:&quot;&quot;},&quot;isTemporary&quot;:false}]},{&quot;citationID&quot;:&quot;MENDELEY_CITATION_85a1ca73-00bb-4cba-9fd9-2c1c5ae3dabc&quot;,&quot;properties&quot;:{&quot;noteIndex&quot;:0},&quot;isEdited&quot;:false,&quot;manualOverride&quot;:{&quot;isManuallyOverridden&quot;:true,&quot;citeprocText&quot;:&quot;(Gómez Sabaini &amp;#38; Dalmiro, 2020)&quot;,&quot;manualOverrideText&quot;:&quot;Gómez &amp; Dalmiro (2020)&quot;},&quot;citationTag&quot;:&quot;MENDELEY_CITATION_v3_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&quot;,&quot;citationItems&quot;:[{&quot;id&quot;:&quot;060ff45b-465c-3616-ad8a-a6a60112bf2a&quot;,&quot;itemData&quot;:{&quot;type&quot;:&quot;article-journal&quot;,&quot;id&quot;:&quot;060ff45b-465c-3616-ad8a-a6a60112bf2a&quot;,&quot;title&quot;:&quot;Estrategias para abordar la evasión tributaria en América Latina y el Caribe: avances en su medición y panorama de las medidas recientes para reducir su magnitud&quot;,&quot;author&quot;:[{&quot;family&quot;:&quot;Gómez Sabaini&quot;,&quot;given&quot;:&quot;Juan Carlos&quot;,&quot;parse-names&quot;:false,&quot;dropping-particle&quot;:&quot;&quot;,&quot;non-dropping-particle&quot;:&quot;&quot;},{&quot;family&quot;:&quot;Dalmiro&quot;,&quot;given&quot;:&quot;Morán&quot;,&quot;parse-names&quot;:false,&quot;dropping-particle&quot;:&quot;&quot;,&quot;non-dropping-particle&quot;:&quot;&quot;}],&quot;ISSN&quot;:&quot;1680-8851&quot;,&quot;URL&quot;:&quot;www.cepal.org/apps&quot;,&quot;issued&quot;:{&quot;date-parts&quot;:[[2020]]},&quot;container-title-short&quot;:&quot;&quot;},&quot;isTemporary&quot;:false}]},{&quot;citationID&quot;:&quot;MENDELEY_CITATION_26c81831-4cf0-4c1d-9fe1-905c2434facf&quot;,&quot;properties&quot;:{&quot;noteIndex&quot;:0},&quot;isEdited&quot;:false,&quot;manualOverride&quot;:{&quot;isManuallyOverridden&quot;:false,&quot;citeprocText&quot;:&quot;(Fonrouge, 1975)&quot;,&quot;manualOverrideText&quot;:&quot;&quot;},&quot;citationTag&quot;:&quot;MENDELEY_CITATION_v3_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&quot;,&quot;citationItems&quot;:[{&quot;id&quot;:&quot;85ee3bdc-794e-38a6-a836-136dbbdeb562&quot;,&quot;itemData&quot;:{&quot;type&quot;:&quot;book&quot;,&quot;id&quot;:&quot;85ee3bdc-794e-38a6-a836-136dbbdeb562&quot;,&quot;title&quot;:&quot;Derecho Financiero&quot;,&quot;author&quot;:[{&quot;family&quot;:&quot;Fonrouge&quot;,&quot;given&quot;:&quot;Alberto María&quot;,&quot;parse-names&quot;:false,&quot;dropping-particle&quot;:&quot;&quot;,&quot;non-dropping-particle&quot;:&quot;&quot;}],&quot;issued&quot;:{&quot;date-parts&quot;:[[1975]]},&quot;container-title-short&quot;:&quot;&quot;},&quot;isTemporary&quot;:false}]},{&quot;citationID&quot;:&quot;MENDELEY_CITATION_4dc53939-74d3-43ee-8791-bd0b3699ae34&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0sImNvbnRhaW5lci10aXRsZS1zaG9ydCI6IiJ9LCJpc1RlbXBvcmFyeSI6ZmFsc2V9XX0=&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eaa72b5b-35a3-4535-8772-3edadc2e8198&quot;,&quot;properties&quot;:{&quot;noteIndex&quot;:0},&quot;isEdited&quot;:false,&quot;manualOverride&quot;:{&quot;isManuallyOverridden&quot;:true,&quot;citeprocText&quot;:&quot;(&lt;i&gt;Jarach 1951&lt;/i&gt;, s/f)&quot;,&quot;manualOverrideText&quot;:&quot;Jarach (1951)&quot;},&quot;citationTag&quot;:&quot;MENDELEY_CITATION_v3_eyJjaXRhdGlvbklEIjoiTUVOREVMRVlfQ0lUQVRJT05fZWFhNzJiNWItMzVhMy00NTM1LTg3NzItM2VkYWRjMmU4MTk4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quot;,&quot;citationItems&quot;:[{&quot;id&quot;:&quot;254edf2d-b8e2-319a-b588-01ec776689d2&quot;,&quot;itemData&quot;:{&quot;type&quot;:&quot;article-journal&quot;,&quot;id&quot;:&quot;254edf2d-b8e2-319a-b588-01ec776689d2&quot;,&quot;title&quot;:&quot;Jarach 1951&quot;,&quot;container-title-short&quot;:&quot;&quot;},&quot;isTemporary&quot;:false}]},{&quot;citationID&quot;:&quot;MENDELEY_CITATION_839dba10-7acd-44c9-91ea-1ba22c5cf867&quot;,&quot;properties&quot;:{&quot;noteIndex&quot;:0},&quot;isEdited&quot;:false,&quot;manualOverride&quot;:{&quot;isManuallyOverridden&quot;:false,&quot;citeprocText&quot;:&quot;(Rosen, 2008)&quot;,&quot;manualOverrideText&quot;:&quot;&quot;},&quot;citationTag&quot;:&quot;MENDELEY_CITATION_v3_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&quot;,&quot;citationItems&quot;:[{&quot;id&quot;:&quot;5606a7c8-1657-37cb-ae15-6812bf77ed5b&quot;,&quot;itemData&quot;:{&quot;type&quot;:&quot;book&quot;,&quot;id&quot;:&quot;5606a7c8-1657-37cb-ae15-6812bf77ed5b&quot;,&quot;title&quot;:&quot;Hacienda Pública&quot;,&quot;author&quot;:[{&quot;family&quot;:&quot;Rosen&quot;,&quot;given&quot;:&quot;Harvey&quot;,&quot;parse-names&quot;:false,&quot;dropping-particle&quot;:&quot;&quot;,&quot;non-dropping-particle&quot;:&quot;&quot;}],&quot;issued&quot;:{&quot;date-parts&quot;:[[2008]]},&quot;container-title-short&quot;:&quot;&quot;},&quot;isTemporary&quot;:false}]},{&quot;citationID&quot;:&quot;MENDELEY_CITATION_54afa7a5-7508-4ddc-bd48-d20810f6d6e9&quot;,&quot;properties&quot;:{&quot;noteIndex&quot;:0},&quot;isEdited&quot;:false,&quot;manualOverride&quot;:{&quot;isManuallyOverridden&quot;:false,&quot;citeprocText&quot;:&quot;(Musgrave, 1959a)&quot;,&quot;manualOverrideText&quot;:&quot;&quot;},&quot;citationTag&quot;:&quot;MENDELEY_CITATION_v3_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&quot;,&quot;citationItems&quot;:[{&quot;id&quot;:&quot;6a57962e-9876-3e8c-a8e5-7a8bce516f3d&quot;,&quot;itemData&quot;:{&quot;type&quot;:&quot;article-journal&quot;,&quot;id&quot;:&quot;6a57962e-9876-3e8c-a8e5-7a8bce516f3d&quot;,&quot;title&quot;:&quot;Hacienda Pública. Teórica y Aplicada&quot;,&quot;author&quot;:[{&quot;family&quot;:&quot;Musgrave&quot;,&quot;given&quot;:&quot;Richard&quot;,&quot;parse-names&quot;:false,&quot;dropping-particle&quot;:&quot;&quot;,&quot;non-dropping-particle&quot;:&quot;&quot;}],&quot;issued&quot;:{&quot;date-parts&quot;:[[1959]]},&quot;container-title-short&quot;:&quot;&quot;},&quot;isTemporary&quot;:false}]},{&quot;citationID&quot;:&quot;MENDELEY_CITATION_394a54c8-806c-4584-86f1-81a919965a30&quot;,&quot;properties&quot;:{&quot;noteIndex&quot;:0},&quot;isEdited&quot;:false,&quot;manualOverride&quot;:{&quot;isManuallyOverridden&quot;:false,&quot;citeprocText&quot;:&quot;(Rosen, 2008)&quot;,&quot;manualOverrideText&quot;:&quot;&quot;},&quot;citationTag&quot;:&quot;MENDELEY_CITATION_v3_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&quot;,&quot;citationItems&quot;:[{&quot;id&quot;:&quot;5606a7c8-1657-37cb-ae15-6812bf77ed5b&quot;,&quot;itemData&quot;:{&quot;type&quot;:&quot;book&quot;,&quot;id&quot;:&quot;5606a7c8-1657-37cb-ae15-6812bf77ed5b&quot;,&quot;title&quot;:&quot;Hacienda Pública&quot;,&quot;author&quot;:[{&quot;family&quot;:&quot;Rosen&quot;,&quot;given&quot;:&quot;Harvey&quot;,&quot;parse-names&quot;:false,&quot;dropping-particle&quot;:&quot;&quot;,&quot;non-dropping-particle&quot;:&quot;&quot;}],&quot;issued&quot;:{&quot;date-parts&quot;:[[2008]]},&quot;container-title-short&quot;:&quot;&quot;},&quot;isTemporary&quot;:false}]},{&quot;citationID&quot;:&quot;MENDELEY_CITATION_017773f9-18c0-48fa-85b2-e906d7686ec0&quot;,&quot;properties&quot;:{&quot;noteIndex&quot;:0},&quot;isEdited&quot;:false,&quot;manualOverride&quot;:{&quot;isManuallyOverridden&quot;:false,&quot;citeprocText&quot;:&quot;(Musgrave, 1959a)&quot;,&quot;manualOverrideText&quot;:&quot;&quot;},&quot;citationTag&quot;:&quot;MENDELEY_CITATION_v3_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&quot;,&quot;citationItems&quot;:[{&quot;id&quot;:&quot;6a57962e-9876-3e8c-a8e5-7a8bce516f3d&quot;,&quot;itemData&quot;:{&quot;type&quot;:&quot;article-journal&quot;,&quot;id&quot;:&quot;6a57962e-9876-3e8c-a8e5-7a8bce516f3d&quot;,&quot;title&quot;:&quot;Hacienda Pública. Teórica y Aplicada&quot;,&quot;author&quot;:[{&quot;family&quot;:&quot;Musgrave&quot;,&quot;given&quot;:&quot;Richard&quot;,&quot;parse-names&quot;:false,&quot;dropping-particle&quot;:&quot;&quot;,&quot;non-dropping-particle&quot;:&quot;&quot;}],&quot;issued&quot;:{&quot;date-parts&quot;:[[1959]]},&quot;container-title-short&quot;:&quot;&quot;},&quot;isTemporary&quot;:false}]},{&quot;citationID&quot;:&quot;MENDELEY_CITATION_db2c12b3-6a09-4958-a040-ed593f582bf1&quot;,&quot;properties&quot;:{&quot;noteIndex&quot;:0},&quot;isEdited&quot;:false,&quot;manualOverride&quot;:{&quot;isManuallyOverridden&quot;:true,&quot;citeprocText&quot;:&quot;(hacienda pública, s/f-a)&quot;,&quot;manualOverrideText&quot;:&quot;Restrepo (2014)&quot;},&quot;citationTag&quot;:&quot;MENDELEY_CITATION_v3_eyJjaXRhdGlvbklEIjoiTUVOREVMRVlfQ0lUQVRJT05fZGIyYzEyYjMtNmEwOS00OTU4LWEwNDAtZWQ1OTNmNTgyYmYx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quot;,&quot;citationItems&quot;:[{&quot;id&quot;:&quot;f2d0ff06-7cc0-3128-b76b-9a9cd85a6b7a&quot;,&quot;itemData&quot;:{&quot;type&quot;:&quot;report&quot;,&quot;id&quot;:&quot;f2d0ff06-7cc0-3128-b76b-9a9cd85a6b7a&quot;,&quot;title&quot;:&quot;hacienda pública&quot;,&quot;container-title-short&quot;:&quot;&quot;},&quot;isTemporary&quot;:false}]},{&quot;citationID&quot;:&quot;MENDELEY_CITATION_0654d11b-3385-4a6f-9e15-b29cac4f1c93&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0sImNvbnRhaW5lci10aXRsZS1zaG9ydCI6IiJ9LCJpc1RlbXBvcmFyeSI6ZmFsc2V9XX0=&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ccc3fc5f-c03d-4c52-bacd-3176d9c56bbd&quot;,&quot;properties&quot;:{&quot;noteIndex&quot;:0},&quot;isEdited&quot;:false,&quot;manualOverride&quot;:{&quot;isManuallyOverridden&quot;:true,&quot;citeprocText&quot;:&quot;(Espinosa Díaz et al., 2022a)&quot;,&quot;manualOverrideText&quot;:&quot;Espinosa y Rodríguez (2022)&quot;},&quot;citationTag&quot;:&quot;MENDELEY_CITATION_v3_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i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quot;,&quot;citationItems&quot;:[{&quot;id&quot;:&quot;b0bcdbf9-2755-3590-8a04-8e918a58b9d8&quot;,&quot;itemData&quot;:{&quot;type&quot;:&quot;article-journal&quot;,&quot;id&quot;:&quot;b0bcdbf9-2755-3590-8a04-8e918a58b9d8&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2,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45b6bdd6-60a0-46bd-89e7-72d9d13c389a&quot;,&quot;properties&quot;:{&quot;noteIndex&quot;:0},&quot;isEdited&quot;:false,&quot;manualOverride&quot;:{&quot;isManuallyOverridden&quot;:true,&quot;citeprocText&quot;:&quot;(Rincon, 2018)&quot;,&quot;manualOverrideText&quot;:&quot;Rincón (2018)&quot;},&quot;citationTag&quot;:&quot;MENDELEY_CITATION_v3_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&quot;,&quot;citationItems&quot;:[{&quot;id&quot;:&quot;8ec0faa7-492f-32bf-ad62-44b5eccdd242&quot;,&quot;itemData&quot;:{&quot;type&quot;:&quot;report&quot;,&quot;id&quot;:&quot;8ec0faa7-492f-32bf-ad62-44b5eccdd242&quot;,&quot;title&quot;:&quot;¿Cuándo se incumple el deber de presentar declaraciones tributarias?&quot;,&quot;author&quot;:[{&quot;family&quot;:&quot;Rincon&quot;,&quot;given&quot;:&quot;Adriana&quot;,&quot;parse-names&quot;:false,&quot;dropping-particle&quot;:&quot;&quot;,&quot;non-dropping-particle&quot;:&quot;&quot;}],&quot;issued&quot;:{&quot;date-parts&quot;:[[2018,2]]},&quot;abstract&quot;:&quot;Por su parte, en el artículo 580 E.T. se enlista una serie de situaciones que, por incumplimiento de requisitos, configuran incumplimiento del deber de declarar bajo el señalamiento de declaraciones que se entienden por no presentadas, ya que, de acuerdo con lo indicado por la Corte Constitucional en Sentencia C-844 de 1999 2 : \&quot;[L]a indicación de todos los elementos que integran la declaración tributaria que prevé el artículo 580 cuentan con un claro objetivo, el cual es facilitar el control que se requiere, por parte de la autoridad tributaria, para hacer posible una tributación que consulte lo dispuesto en el artículo 95 num. 9 y 363 superiores\&quot;. Lo anterior, sin perder de vista lo precisado por la Corte Constitucional en la Sentencia C-690 de 1996 3 , donde se resaltó que el régimen tributario excluye la posibilidad de imposición de sanciones por mero resultado, ya que, de hacerlo, desconocería principios constitucionales de justicia y equidad tributarias: \&quot;En tales circunstancias, se considera legítima la presentación de declaraciones tributarias por intermedio de agentes oficiosos, o la ausencia de firma del contador público o del revisor fiscal, o la exhibición de la declaración tributaria en forma extemporánea o en el lugar diferente al señalado por la ley, cuando por hechos que configuren caso fortuito o fuerza mayor haya sido imposible al contribuyente la presentación de la declaración tributaria, en los términos de la ley\&quot;. Declaraciones que se entienden como no presentadas (art. 580 E.T. bajo el análisis de la Corte Constitucional) La Corte Constitucional señaló en Sentencia C-844 de 1999 que el conjunto de causales señaladas en el artículo 580 E.T. no es aplicable en forma automática por simple ministerio de la ley, ya que, para aplicar estas disposiciones, la autoridad tributaria debe llevar a cabo \&quot;la actuación administrativa sujeta al principio de la legalidad y a las reglas del debido proceso, para oír en descargos al contribuyente y garantizar el derecho de defensa\&quot;.&quot;,&quot;container-title-short&quot;:&quot;&quot;},&quot;isTemporary&quot;:false}]},{&quot;citationID&quot;:&quot;MENDELEY_CITATION_26bf270d-8cbd-4a82-b845-466f06295e5d&quot;,&quot;properties&quot;:{&quot;noteIndex&quot;:0},&quot;isEdited&quot;:false,&quot;manualOverride&quot;:{&quot;isManuallyOverridden&quot;:false,&quot;citeprocText&quot;:&quot;(Musgrave, 1959a)&quot;,&quot;manualOverrideText&quot;:&quot;&quot;},&quot;citationTag&quot;:&quot;MENDELEY_CITATION_v3_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&quot;,&quot;citationItems&quot;:[{&quot;id&quot;:&quot;6a57962e-9876-3e8c-a8e5-7a8bce516f3d&quot;,&quot;itemData&quot;:{&quot;type&quot;:&quot;article-journal&quot;,&quot;id&quot;:&quot;6a57962e-9876-3e8c-a8e5-7a8bce516f3d&quot;,&quot;title&quot;:&quot;Hacienda Pública. Teórica y Aplicada&quot;,&quot;author&quot;:[{&quot;family&quot;:&quot;Musgrave&quot;,&quot;given&quot;:&quot;Richard&quot;,&quot;parse-names&quot;:false,&quot;dropping-particle&quot;:&quot;&quot;,&quot;non-dropping-particle&quot;:&quot;&quot;}],&quot;issued&quot;:{&quot;date-parts&quot;:[[1959]]},&quot;container-title-short&quot;:&quot;&quot;},&quot;isTemporary&quot;:false}]},{&quot;citationID&quot;:&quot;MENDELEY_CITATION_5aff3d18-1702-4412-bcbb-17af89e47fd5&quot;,&quot;properties&quot;:{&quot;noteIndex&quot;:0},&quot;isEdited&quot;:false,&quot;manualOverride&quot;:{&quot;isManuallyOverridden&quot;:true,&quot;citeprocText&quot;:&quot;(&lt;i&gt;Kelsen 1934&lt;/i&gt;, s/f)&quot;,&quot;manualOverrideText&quot;:&quot;Kelsen (1934)&quot;},&quot;citationTag&quot;:&quot;MENDELEY_CITATION_v3_eyJjaXRhdGlvbklEIjoiTUVOREVMRVlfQ0lUQVRJT05fNWFmZjNkMTgtMTcwMi00NDEyLWJjYmItMTdhZjg5ZTQ3ZmQ1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quot;,&quot;citationItems&quot;:[{&quot;id&quot;:&quot;96010ff3-762b-3fe4-9e74-75a840358288&quot;,&quot;itemData&quot;:{&quot;type&quot;:&quot;article-journal&quot;,&quot;id&quot;:&quot;96010ff3-762b-3fe4-9e74-75a840358288&quot;,&quot;title&quot;:&quot;Kelsen 1934&quot;,&quot;container-title-short&quot;:&quot;&quot;},&quot;isTemporary&quot;:false}]},{&quot;citationID&quot;:&quot;MENDELEY_CITATION_fdafec9c-2129-4865-8591-4a1d35336a76&quot;,&quot;properties&quot;:{&quot;noteIndex&quot;:0},&quot;isEdited&quot;:false,&quot;manualOverride&quot;:{&quot;isManuallyOverridden&quot;:true,&quot;citeprocText&quot;:&quot;(Stiglitz, 2002b)&quot;,&quot;manualOverrideText&quot;:&quot;Stiglitz (2002)&quot;},&quot;citationTag&quot;:&quot;MENDELEY_CITATION_v3_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&quot;,&quot;citationItems&quot;:[{&quot;id&quot;:&quot;1d8c9b3e-2726-3daa-a891-e009cfd6f860&quot;,&quot;itemData&quot;:{&quot;type&quot;:&quot;book&quot;,&quot;id&quot;:&quot;1d8c9b3e-2726-3daa-a891-e009cfd6f860&quot;,&quot;title&quot;:&quot;La economía del sector público&quot;,&quot;author&quot;:[{&quot;family&quot;:&quot;Stiglitz&quot;,&quot;given&quot;:&quot;Joseph E..&quot;,&quot;parse-names&quot;:false,&quot;dropping-particle&quot;:&quot;&quot;,&quot;non-dropping-particle&quot;:&quot;&quot;}],&quot;ISBN&quot;:&quot;8495348055&quot;,&quot;issued&quot;:{&quot;date-parts&quot;:[[2002]]},&quot;abstract&quot;:&quot;3a. edition. &quot;,&quot;publisher&quot;:&quot;Antoni Bosh&quot;,&quot;container-title-short&quot;:&quot;&quot;},&quot;isTemporary&quot;:false}]},{&quot;citationID&quot;:&quot;MENDELEY_CITATION_17b2719d-52dc-4f6f-acac-c60d66596fdc&quot;,&quot;properties&quot;:{&quot;noteIndex&quot;:0},&quot;isEdited&quot;:false,&quot;manualOverride&quot;:{&quot;isManuallyOverridden&quot;:true,&quot;citeprocText&quot;:&quot;(&lt;i&gt;Kelsen 1934&lt;/i&gt;, s/f)&quot;,&quot;manualOverrideText&quot;:&quot;Kelsen (1934)&quot;},&quot;citationTag&quot;:&quot;MENDELEY_CITATION_v3_eyJjaXRhdGlvbklEIjoiTUVOREVMRVlfQ0lUQVRJT05fMTdiMjcxOWQtNTJkYy00ZjZmLWFjYWMtYzYwZDY2NTk2ZmRj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quot;,&quot;citationItems&quot;:[{&quot;id&quot;:&quot;96010ff3-762b-3fe4-9e74-75a840358288&quot;,&quot;itemData&quot;:{&quot;type&quot;:&quot;article-journal&quot;,&quot;id&quot;:&quot;96010ff3-762b-3fe4-9e74-75a840358288&quot;,&quot;title&quot;:&quot;Kelsen 1934&quot;,&quot;container-title-short&quot;:&quot;&quot;},&quot;isTemporary&quot;:false}]},{&quot;citationID&quot;:&quot;MENDELEY_CITATION_09a8fa19-0937-4888-a1b4-e02cdaac6e5d&quot;,&quot;properties&quot;:{&quot;noteIndex&quot;:0},&quot;isEdited&quot;:false,&quot;manualOverride&quot;:{&quot;isManuallyOverridden&quot;:true,&quot;citeprocText&quot;:&quot;(&lt;i&gt;Jarach 1951&lt;/i&gt;, s/f)&quot;,&quot;manualOverrideText&quot;:&quot;Jarach (1951)&quot;},&quot;citationTag&quot;:&quot;MENDELEY_CITATION_v3_eyJjaXRhdGlvbklEIjoiTUVOREVMRVlfQ0lUQVRJT05fMDlhOGZhMTktMDkzNy00ODg4LWExYjQtZTAyY2RhYWM2ZTVk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quot;,&quot;citationItems&quot;:[{&quot;id&quot;:&quot;254edf2d-b8e2-319a-b588-01ec776689d2&quot;,&quot;itemData&quot;:{&quot;type&quot;:&quot;article-journal&quot;,&quot;id&quot;:&quot;254edf2d-b8e2-319a-b588-01ec776689d2&quot;,&quot;title&quot;:&quot;Jarach 1951&quot;,&quot;container-title-short&quot;:&quot;&quot;},&quot;isTemporary&quot;:false}]},{&quot;citationID&quot;:&quot;MENDELEY_CITATION_19b5e4ed-7ce2-4897-b3c4-95503eb66552&quot;,&quot;properties&quot;:{&quot;noteIndex&quot;:0},&quot;isEdited&quot;:false,&quot;manualOverride&quot;:{&quot;isManuallyOverridden&quot;:true,&quot;citeprocText&quot;:&quot;(hacienda pública, s/f-a)&quot;,&quot;manualOverrideText&quot;:&quot;Restrepo (2014)&quot;},&quot;citationTag&quot;:&quot;MENDELEY_CITATION_v3_eyJjaXRhdGlvbklEIjoiTUVOREVMRVlfQ0lUQVRJT05fMTliNWU0ZWQtN2NlMi00ODk3LWIzYzQtOTU1MDNlYjY2NTUy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quot;,&quot;citationItems&quot;:[{&quot;id&quot;:&quot;f2d0ff06-7cc0-3128-b76b-9a9cd85a6b7a&quot;,&quot;itemData&quot;:{&quot;type&quot;:&quot;report&quot;,&quot;id&quot;:&quot;f2d0ff06-7cc0-3128-b76b-9a9cd85a6b7a&quot;,&quot;title&quot;:&quot;hacienda pública&quot;,&quot;container-title-short&quot;:&quot;&quot;},&quot;isTemporary&quot;:false}]},{&quot;citationID&quot;:&quot;MENDELEY_CITATION_f02caf80-a09c-46a2-a6d6-ba33c6e694da&quot;,&quot;properties&quot;:{&quot;noteIndex&quot;:0},&quot;isEdited&quot;:false,&quot;manualOverride&quot;:{&quot;isManuallyOverridden&quot;:true,&quot;citeprocText&quot;:&quot;(hacienda pública, s/f-a)&quot;,&quot;manualOverrideText&quot;:&quot;Restrepo (2014)&quot;},&quot;citationTag&quot;:&quot;MENDELEY_CITATION_v3_eyJjaXRhdGlvbklEIjoiTUVOREVMRVlfQ0lUQVRJT05fZjAyY2FmODAtYTA5Yy00NmEyLWE2ZDYtYmEzM2M2ZTY5NGRh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quot;,&quot;citationItems&quot;:[{&quot;id&quot;:&quot;f2d0ff06-7cc0-3128-b76b-9a9cd85a6b7a&quot;,&quot;itemData&quot;:{&quot;type&quot;:&quot;report&quot;,&quot;id&quot;:&quot;f2d0ff06-7cc0-3128-b76b-9a9cd85a6b7a&quot;,&quot;title&quot;:&quot;hacienda pública&quot;,&quot;container-title-short&quot;:&quot;&quot;},&quot;isTemporary&quot;:false}]},{&quot;citationID&quot;:&quot;MENDELEY_CITATION_b9011d52-1d60-4312-ab91-e19b555b6045&quot;,&quot;properties&quot;:{&quot;noteIndex&quot;:0},&quot;isEdited&quot;:false,&quot;manualOverride&quot;:{&quot;isManuallyOverridden&quot;:true,&quot;citeprocText&quot;:&quot;(Galvan et al., s/f-b)&quot;,&quot;manualOverrideText&quot;:&quot;Galván Castro – Romero de Hoyos (2024)&quot;},&quot;citationTag&quot;:&quot;MENDELEY_CITATION_v3_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&quot;,&quot;citationItems&quot;:[{&quot;id&quot;:&quot;f55b5d66-4544-3e04-8141-9c1fa1cc47cd&quot;,&quot;itemData&quot;:{&quot;type&quot;:&quot;report&quot;,&quot;id&quot;:&quot;f55b5d66-4544-3e04-8141-9c1fa1cc47cd&quot;,&quot;title&quot;:&quot;Planeación Tributaria en las empresas para el uso eficiente de los recursos fiscales&quot;,&quot;author&quot;:[{&quot;family&quot;:&quot;Galvan&quot;,&quot;given&quot;:&quot;Gustavo&quot;,&quot;parse-names&quot;:false,&quot;dropping-particle&quot;:&quot;&quot;,&quot;non-dropping-particle&quot;:&quot;&quot;},{&quot;family&quot;:&quot;Slendys&quot;,&quot;given&quot;:&quot;Castro&quot;,&quot;parse-names&quot;:false,&quot;dropping-particle&quot;:&quot;&quot;,&quot;non-dropping-particle&quot;:&quot;&quot;},{&quot;family&quot;:&quot;Hoyos&quot;,&quot;given&quot;:&quot;Romero&quot;,&quot;parse-names&quot;:false,&quot;dropping-particle&quot;:&quot;&quot;,&quot;non-dropping-particle&quot;:&quot;De&quot;}],&quot;URL&quot;:&quot;www.usbcali.edu.co&quot;,&quot;container-title-short&quot;:&quot;&quot;},&quot;isTemporary&quot;:false}]},{&quot;citationID&quot;:&quot;MENDELEY_CITATION_d4c28ebd-eac3-419d-912b-bd993c5bb309&quot;,&quot;properties&quot;:{&quot;noteIndex&quot;:0},&quot;isEdited&quot;:false,&quot;manualOverride&quot;:{&quot;isManuallyOverridden&quot;:true,&quot;citeprocText&quot;:&quot;(Rosen, 2008)&quot;,&quot;manualOverrideText&quot;:&quot;Rosen (2008)&quot;},&quot;citationTag&quot;:&quot;MENDELEY_CITATION_v3_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&quot;,&quot;citationItems&quot;:[{&quot;id&quot;:&quot;5606a7c8-1657-37cb-ae15-6812bf77ed5b&quot;,&quot;itemData&quot;:{&quot;type&quot;:&quot;book&quot;,&quot;id&quot;:&quot;5606a7c8-1657-37cb-ae15-6812bf77ed5b&quot;,&quot;title&quot;:&quot;Hacienda Pública&quot;,&quot;author&quot;:[{&quot;family&quot;:&quot;Rosen&quot;,&quot;given&quot;:&quot;Harvey&quot;,&quot;parse-names&quot;:false,&quot;dropping-particle&quot;:&quot;&quot;,&quot;non-dropping-particle&quot;:&quot;&quot;}],&quot;issued&quot;:{&quot;date-parts&quot;:[[2008]]},&quot;container-title-short&quot;:&quot;&quot;},&quot;isTemporary&quot;:false}]},{&quot;citationID&quot;:&quot;MENDELEY_CITATION_c495de45-70a7-43bd-8305-cb5a52c5b021&quot;,&quot;properties&quot;:{&quot;noteIndex&quot;:0},&quot;isEdited&quot;:false,&quot;manualOverride&quot;:{&quot;isManuallyOverridden&quot;:true,&quot;citeprocText&quot;:&quot;(&lt;i&gt;Kelsen 1934&lt;/i&gt;, s/f)&quot;,&quot;manualOverrideText&quot;:&quot;Kelsen (1934,)&quot;},&quot;citationTag&quot;:&quot;MENDELEY_CITATION_v3_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&quot;,&quot;citationItems&quot;:[{&quot;id&quot;:&quot;96010ff3-762b-3fe4-9e74-75a840358288&quot;,&quot;itemData&quot;:{&quot;type&quot;:&quot;article-journal&quot;,&quot;id&quot;:&quot;96010ff3-762b-3fe4-9e74-75a840358288&quot;,&quot;title&quot;:&quot;Kelsen 1934&quot;,&quot;container-title-short&quot;:&quot;&quot;},&quot;isTemporary&quot;:false}]},{&quot;citationID&quot;:&quot;MENDELEY_CITATION_432b2053-a6bc-4a78-bd95-976df4883ce8&quot;,&quot;properties&quot;:{&quot;noteIndex&quot;:0},&quot;isEdited&quot;:false,&quot;manualOverride&quot;:{&quot;isManuallyOverridden&quot;:true,&quot;citeprocText&quot;:&quot;(&lt;i&gt;Jarach 1951&lt;/i&gt;, s/f)&quot;,&quot;manualOverrideText&quot;:&quot;Jarach (1951)&quot;},&quot;citationTag&quot;:&quot;MENDELEY_CITATION_v3_eyJjaXRhdGlvbklEIjoiTUVOREVMRVlfQ0lUQVRJT05fNDMyYjIwNTMtYTZiYy00YTc4LWJkOTUtOTc2ZGY0ODgzY2U4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quot;,&quot;citationItems&quot;:[{&quot;id&quot;:&quot;254edf2d-b8e2-319a-b588-01ec776689d2&quot;,&quot;itemData&quot;:{&quot;type&quot;:&quot;article-journal&quot;,&quot;id&quot;:&quot;254edf2d-b8e2-319a-b588-01ec776689d2&quot;,&quot;title&quot;:&quot;Jarach 1951&quot;,&quot;container-title-short&quot;:&quot;&quot;},&quot;isTemporary&quot;:false}]},{&quot;citationID&quot;:&quot;MENDELEY_CITATION_48c8f740-1e97-4912-b4fa-3e8dcb3cad5e&quot;,&quot;properties&quot;:{&quot;noteIndex&quot;:0},&quot;isEdited&quot;:false,&quot;manualOverride&quot;:{&quot;isManuallyOverridden&quot;:true,&quot;citeprocText&quot;:&quot;(Ramsey, 1927)&quot;,&quot;manualOverrideText&quot;:&quot;Ramsey (1927)&quot;},&quot;citationTag&quot;:&quot;MENDELEY_CITATION_v3_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&quot;,&quot;citationItems&quot;:[{&quot;id&quot;:&quot;f1395215-dd0c-39d8-bc3c-68131df773af&quot;,&quot;itemData&quot;:{&quot;type&quot;:&quot;book&quot;,&quot;id&quot;:&quot;f1395215-dd0c-39d8-bc3c-68131df773af&quot;,&quot;title&quot;:&quot;Imposición Óptima&quot;,&quot;author&quot;:[{&quot;family&quot;:&quot;Ramsey&quot;,&quot;given&quot;:&quot;Frank&quot;,&quot;parse-names&quot;:false,&quot;dropping-particle&quot;:&quot;&quot;,&quot;non-dropping-particle&quot;:&quot;&quot;}],&quot;issued&quot;:{&quot;date-parts&quot;:[[1927]]},&quot;container-title-short&quot;:&quot;&quot;},&quot;isTemporary&quot;:false}]},{&quot;citationID&quot;:&quot;MENDELEY_CITATION_f7fbbef4-0dd2-448b-9c09-e95347ef8bbf&quot;,&quot;properties&quot;:{&quot;noteIndex&quot;:0},&quot;isEdited&quot;:false,&quot;manualOverride&quot;:{&quot;isManuallyOverridden&quot;:false,&quot;citeprocText&quot;:&quot;(Rosen, 2005)&quot;,&quot;manualOverrideText&quot;:&quot;&quot;},&quot;citationTag&quot;:&quot;MENDELEY_CITATION_v3_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&quot;,&quot;citationItems&quot;:[{&quot;id&quot;:&quot;ba3c8ac7-6ce6-3a93-99ed-dadf29daefc9&quot;,&quot;itemData&quot;:{&quot;type&quot;:&quot;book&quot;,&quot;id&quot;:&quot;ba3c8ac7-6ce6-3a93-99ed-dadf29daefc9&quot;,&quot;title&quot;:&quot;Hacienda Pública&quot;,&quot;author&quot;:[{&quot;family&quot;:&quot;Rosen&quot;,&quot;given&quot;:&quot;Harvey&quot;,&quot;parse-names&quot;:false,&quot;dropping-particle&quot;:&quot;&quot;,&quot;non-dropping-particle&quot;:&quot;&quot;}],&quot;issued&quot;:{&quot;date-parts&quot;:[[2005]]},&quot;container-title-short&quot;:&quot;&quot;},&quot;isTemporary&quot;:false}]},{&quot;citationID&quot;:&quot;MENDELEY_CITATION_49cf975b-be77-4b9b-8168-d17bff62b071&quot;,&quot;properties&quot;:{&quot;noteIndex&quot;:0},&quot;isEdited&quot;:false,&quot;manualOverride&quot;:{&quot;isManuallyOverridden&quot;:false,&quot;citeprocText&quot;:&quot;(Ramsey, 1927)&quot;,&quot;manualOverrideText&quot;:&quot;&quot;},&quot;citationTag&quot;:&quot;MENDELEY_CITATION_v3_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&quot;,&quot;citationItems&quot;:[{&quot;id&quot;:&quot;f1395215-dd0c-39d8-bc3c-68131df773af&quot;,&quot;itemData&quot;:{&quot;type&quot;:&quot;book&quot;,&quot;id&quot;:&quot;f1395215-dd0c-39d8-bc3c-68131df773af&quot;,&quot;title&quot;:&quot;Imposición Óptima&quot;,&quot;author&quot;:[{&quot;family&quot;:&quot;Ramsey&quot;,&quot;given&quot;:&quot;Frank&quot;,&quot;parse-names&quot;:false,&quot;dropping-particle&quot;:&quot;&quot;,&quot;non-dropping-particle&quot;:&quot;&quot;}],&quot;issued&quot;:{&quot;date-parts&quot;:[[1927]]},&quot;container-title-short&quot;:&quot;&quot;},&quot;isTemporary&quot;:false}]},{&quot;citationID&quot;:&quot;MENDELEY_CITATION_ae2f9d0a-8ad8-4197-9e5c-7afb876e63c3&quot;,&quot;properties&quot;:{&quot;noteIndex&quot;:0},&quot;isEdited&quot;:false,&quot;manualOverride&quot;:{&quot;isManuallyOverridden&quot;:false,&quot;citeprocText&quot;:&quot;(Ramsey, 1927)&quot;,&quot;manualOverrideText&quot;:&quot;&quot;},&quot;citationTag&quot;:&quot;MENDELEY_CITATION_v3_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&quot;,&quot;citationItems&quot;:[{&quot;id&quot;:&quot;f1395215-dd0c-39d8-bc3c-68131df773af&quot;,&quot;itemData&quot;:{&quot;type&quot;:&quot;book&quot;,&quot;id&quot;:&quot;f1395215-dd0c-39d8-bc3c-68131df773af&quot;,&quot;title&quot;:&quot;Imposición Óptima&quot;,&quot;author&quot;:[{&quot;family&quot;:&quot;Ramsey&quot;,&quot;given&quot;:&quot;Frank&quot;,&quot;parse-names&quot;:false,&quot;dropping-particle&quot;:&quot;&quot;,&quot;non-dropping-particle&quot;:&quot;&quot;}],&quot;issued&quot;:{&quot;date-parts&quot;:[[1927]]},&quot;container-title-short&quot;:&quot;&quot;},&quot;isTemporary&quot;:false}]},{&quot;citationID&quot;:&quot;MENDELEY_CITATION_5e54a08d-a1c0-4da5-b7ed-7a9b4bab0bfb&quot;,&quot;properties&quot;:{&quot;noteIndex&quot;:0},&quot;isEdited&quot;:false,&quot;manualOverride&quot;:{&quot;isManuallyOverridden&quot;:true,&quot;citeprocText&quot;:&quot;(hacienda pública, s/f-a)&quot;,&quot;manualOverrideText&quot;:&quot;Restrepo (2014)&quot;},&quot;citationTag&quot;:&quot;MENDELEY_CITATION_v3_eyJjaXRhdGlvbklEIjoiTUVOREVMRVlfQ0lUQVRJT05fNWU1NGEwOGQtYTFjMC00ZGE1LWI3ZWQtN2E5YjRiYWIwYmZi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quot;,&quot;citationItems&quot;:[{&quot;id&quot;:&quot;f2d0ff06-7cc0-3128-b76b-9a9cd85a6b7a&quot;,&quot;itemData&quot;:{&quot;type&quot;:&quot;report&quot;,&quot;id&quot;:&quot;f2d0ff06-7cc0-3128-b76b-9a9cd85a6b7a&quot;,&quot;title&quot;:&quot;hacienda pública&quot;,&quot;container-title-short&quot;:&quot;&quot;},&quot;isTemporary&quot;:false}]},{&quot;citationID&quot;:&quot;MENDELEY_CITATION_05c42d18-daf3-49f5-82aa-84f7da06c970&quot;,&quot;properties&quot;:{&quot;noteIndex&quot;:0},&quot;isEdited&quot;:false,&quot;manualOverride&quot;:{&quot;isManuallyOverridden&quot;:true,&quot;citeprocText&quot;:&quot;(Stiglitz, 2002b)&quot;,&quot;manualOverrideText&quot;:&quot;Stiglitz (2002)&quot;},&quot;citationTag&quot;:&quot;MENDELEY_CITATION_v3_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&quot;,&quot;citationItems&quot;:[{&quot;id&quot;:&quot;1d8c9b3e-2726-3daa-a891-e009cfd6f860&quot;,&quot;itemData&quot;:{&quot;type&quot;:&quot;book&quot;,&quot;id&quot;:&quot;1d8c9b3e-2726-3daa-a891-e009cfd6f860&quot;,&quot;title&quot;:&quot;La economía del sector público&quot;,&quot;author&quot;:[{&quot;family&quot;:&quot;Stiglitz&quot;,&quot;given&quot;:&quot;Joseph E..&quot;,&quot;parse-names&quot;:false,&quot;dropping-particle&quot;:&quot;&quot;,&quot;non-dropping-particle&quot;:&quot;&quot;}],&quot;ISBN&quot;:&quot;8495348055&quot;,&quot;issued&quot;:{&quot;date-parts&quot;:[[2002]]},&quot;abstract&quot;:&quot;3a. edition. &quot;,&quot;publisher&quot;:&quot;Antoni Bosh&quot;,&quot;container-title-short&quot;:&quot;&quot;},&quot;isTemporary&quot;:false}]},{&quot;citationID&quot;:&quot;MENDELEY_CITATION_1a84a73c-7f2a-410e-9a83-47a5f54c95b3&quot;,&quot;properties&quot;:{&quot;noteIndex&quot;:0},&quot;isEdited&quot;:false,&quot;manualOverride&quot;:{&quot;isManuallyOverridden&quot;:true,&quot;citeprocText&quot;:&quot;(&lt;i&gt;Jarach 1951&lt;/i&gt;, s/f)&quot;,&quot;manualOverrideText&quot;:&quot;Jarach (1951)&quot;},&quot;citationTag&quot;:&quot;MENDELEY_CITATION_v3_eyJjaXRhdGlvbklEIjoiTUVOREVMRVlfQ0lUQVRJT05fMWE4NGE3M2MtN2YyYS00MTBlLTlhODMtNDdhNWY1NGM5NWIz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quot;,&quot;citationItems&quot;:[{&quot;id&quot;:&quot;254edf2d-b8e2-319a-b588-01ec776689d2&quot;,&quot;itemData&quot;:{&quot;type&quot;:&quot;article-journal&quot;,&quot;id&quot;:&quot;254edf2d-b8e2-319a-b588-01ec776689d2&quot;,&quot;title&quot;:&quot;Jarach 1951&quot;,&quot;container-title-short&quot;:&quot;&quot;},&quot;isTemporary&quot;:false}]},{&quot;citationID&quot;:&quot;MENDELEY_CITATION_90dd77e8-9f87-4a94-b4ca-06ddd4d83c75&quot;,&quot;properties&quot;:{&quot;noteIndex&quot;:0},&quot;isEdited&quot;:false,&quot;manualOverride&quot;:{&quot;isManuallyOverridden&quot;:true,&quot;citeprocText&quot;:&quot;(Musgrave, 1959a)&quot;,&quot;manualOverrideText&quot;:&quot;Musgrave (1959)&quot;},&quot;citationTag&quot;:&quot;MENDELEY_CITATION_v3_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&quot;,&quot;citationItems&quot;:[{&quot;id&quot;:&quot;6a57962e-9876-3e8c-a8e5-7a8bce516f3d&quot;,&quot;itemData&quot;:{&quot;type&quot;:&quot;article-journal&quot;,&quot;id&quot;:&quot;6a57962e-9876-3e8c-a8e5-7a8bce516f3d&quot;,&quot;title&quot;:&quot;Hacienda Pública. Teórica y Aplicada&quot;,&quot;author&quot;:[{&quot;family&quot;:&quot;Musgrave&quot;,&quot;given&quot;:&quot;Richard&quot;,&quot;parse-names&quot;:false,&quot;dropping-particle&quot;:&quot;&quot;,&quot;non-dropping-particle&quot;:&quot;&quot;}],&quot;issued&quot;:{&quot;date-parts&quot;:[[1959]]},&quot;container-title-short&quot;:&quot;&quot;},&quot;isTemporary&quot;:false}]},{&quot;citationID&quot;:&quot;MENDELEY_CITATION_2ec8a2e0-0726-4aea-ba18-b2d85a63b59b&quot;,&quot;properties&quot;:{&quot;noteIndex&quot;:0},&quot;isEdited&quot;:false,&quot;manualOverride&quot;:{&quot;isManuallyOverridden&quot;:false,&quot;citeprocText&quot;:&quot;(Rosen, 2008)&quot;,&quot;manualOverrideText&quot;:&quot;&quot;},&quot;citationTag&quot;:&quot;MENDELEY_CITATION_v3_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&quot;,&quot;citationItems&quot;:[{&quot;id&quot;:&quot;5606a7c8-1657-37cb-ae15-6812bf77ed5b&quot;,&quot;itemData&quot;:{&quot;type&quot;:&quot;book&quot;,&quot;id&quot;:&quot;5606a7c8-1657-37cb-ae15-6812bf77ed5b&quot;,&quot;title&quot;:&quot;Hacienda Pública&quot;,&quot;author&quot;:[{&quot;family&quot;:&quot;Rosen&quot;,&quot;given&quot;:&quot;Harvey&quot;,&quot;parse-names&quot;:false,&quot;dropping-particle&quot;:&quot;&quot;,&quot;non-dropping-particle&quot;:&quot;&quot;}],&quot;issued&quot;:{&quot;date-parts&quot;:[[2008]]},&quot;container-title-short&quot;:&quot;&quot;},&quot;isTemporary&quot;:false}]},{&quot;citationID&quot;:&quot;MENDELEY_CITATION_c8e60dea-ba24-4839-a362-49df6e49492f&quot;,&quot;properties&quot;:{&quot;noteIndex&quot;:0},&quot;isEdited&quot;:false,&quot;manualOverride&quot;:{&quot;isManuallyOverridden&quot;:true,&quot;citeprocText&quot;:&quot;(hacienda pública, s/f-a)&quot;,&quot;manualOverrideText&quot;:&quot;Restrepo (2014)&quot;},&quot;citationTag&quot;:&quot;MENDELEY_CITATION_v3_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&quot;,&quot;citationItems&quot;:[{&quot;id&quot;:&quot;f2d0ff06-7cc0-3128-b76b-9a9cd85a6b7a&quot;,&quot;itemData&quot;:{&quot;type&quot;:&quot;report&quot;,&quot;id&quot;:&quot;f2d0ff06-7cc0-3128-b76b-9a9cd85a6b7a&quot;,&quot;title&quot;:&quot;hacienda pública&quot;,&quot;container-title-short&quot;:&quot;&quot;},&quot;isTemporary&quot;:false}]},{&quot;citationID&quot;:&quot;MENDELEY_CITATION_0756d3e0-b31c-46f5-8b77-0c75408b7de7&quot;,&quot;properties&quot;:{&quot;noteIndex&quot;:0},&quot;isEdited&quot;:false,&quot;manualOverride&quot;:{&quot;isManuallyOverridden&quot;:true,&quot;citeprocText&quot;:&quot;(&lt;i&gt;Kelsen 1934&lt;/i&gt;, s/f)&quot;,&quot;manualOverrideText&quot;:&quot;Kelsen (1934)&quot;},&quot;citationTag&quot;:&quot;MENDELEY_CITATION_v3_eyJjaXRhdGlvbklEIjoiTUVOREVMRVlfQ0lUQVRJT05fMDc1NmQzZTAtYjMxYy00NmY1LThiNzctMGM3NTQwOGI3ZGU3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quot;,&quot;citationItems&quot;:[{&quot;id&quot;:&quot;96010ff3-762b-3fe4-9e74-75a840358288&quot;,&quot;itemData&quot;:{&quot;type&quot;:&quot;article-journal&quot;,&quot;id&quot;:&quot;96010ff3-762b-3fe4-9e74-75a840358288&quot;,&quot;title&quot;:&quot;Kelsen 1934&quot;,&quot;container-title-short&quot;:&quot;&quot;},&quot;isTemporary&quot;:false}]},{&quot;citationID&quot;:&quot;MENDELEY_CITATION_20e9d760-bf13-4510-af1f-3c2d1fe36ce7&quot;,&quot;properties&quot;:{&quot;noteIndex&quot;:0},&quot;isEdited&quot;:false,&quot;manualOverride&quot;:{&quot;isManuallyOverridden&quot;:true,&quot;citeprocText&quot;:&quot;(&lt;i&gt;Kelsen 1934&lt;/i&gt;, s/f)&quot;,&quot;manualOverrideText&quot;:&quot;Kelsen (1934)&quot;},&quot;citationTag&quot;:&quot;MENDELEY_CITATION_v3_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&quot;,&quot;citationItems&quot;:[{&quot;id&quot;:&quot;96010ff3-762b-3fe4-9e74-75a840358288&quot;,&quot;itemData&quot;:{&quot;type&quot;:&quot;article-journal&quot;,&quot;id&quot;:&quot;96010ff3-762b-3fe4-9e74-75a840358288&quot;,&quot;title&quot;:&quot;Kelsen 1934&quot;,&quot;container-title-short&quot;:&quot;&quot;},&quot;isTemporary&quot;:false}]},{&quot;citationID&quot;:&quot;MENDELEY_CITATION_c5dc67c1-b9d4-4528-82c0-86799689abf6&quot;,&quot;properties&quot;:{&quot;noteIndex&quot;:0},&quot;isEdited&quot;:false,&quot;manualOverride&quot;:{&quot;isManuallyOverridden&quot;:true,&quot;citeprocText&quot;:&quot;(&lt;i&gt;Jarach 1951&lt;/i&gt;, s/f)&quot;,&quot;manualOverrideText&quot;:&quot;Jarach (1951)&quot;},&quot;citationTag&quot;:&quot;MENDELEY_CITATION_v3_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&quot;,&quot;citationItems&quot;:[{&quot;id&quot;:&quot;254edf2d-b8e2-319a-b588-01ec776689d2&quot;,&quot;itemData&quot;:{&quot;type&quot;:&quot;article-journal&quot;,&quot;id&quot;:&quot;254edf2d-b8e2-319a-b588-01ec776689d2&quot;,&quot;title&quot;:&quot;Jarach 1951&quot;,&quot;container-title-short&quot;:&quot;&quot;},&quot;isTemporary&quot;:false}]},{&quot;citationID&quot;:&quot;MENDELEY_CITATION_4cada633-cf71-4fc3-bdc0-10ea5d4009f7&quot;,&quot;properties&quot;:{&quot;noteIndex&quot;:0},&quot;isEdited&quot;:false,&quot;manualOverride&quot;:{&quot;isManuallyOverridden&quot;:true,&quot;citeprocText&quot;:&quot;(Fonrouge, 1975)&quot;,&quot;manualOverrideText&quot;:&quot;Fonrouge (1975)&quot;},&quot;citationTag&quot;:&quot;MENDELEY_CITATION_v3_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&quot;,&quot;citationItems&quot;:[{&quot;id&quot;:&quot;85ee3bdc-794e-38a6-a836-136dbbdeb562&quot;,&quot;itemData&quot;:{&quot;type&quot;:&quot;book&quot;,&quot;id&quot;:&quot;85ee3bdc-794e-38a6-a836-136dbbdeb562&quot;,&quot;title&quot;:&quot;Derecho Financiero&quot;,&quot;author&quot;:[{&quot;family&quot;:&quot;Fonrouge&quot;,&quot;given&quot;:&quot;Alberto María&quot;,&quot;parse-names&quot;:false,&quot;dropping-particle&quot;:&quot;&quot;,&quot;non-dropping-particle&quot;:&quot;&quot;}],&quot;issued&quot;:{&quot;date-parts&quot;:[[1975]]},&quot;container-title-short&quot;:&quot;&quot;},&quot;isTemporary&quot;:false}]},{&quot;citationID&quot;:&quot;MENDELEY_CITATION_8a8cb99f-b29e-4067-94fe-c4e269c46730&quot;,&quot;properties&quot;:{&quot;noteIndex&quot;:0},&quot;isEdited&quot;:false,&quot;manualOverride&quot;:{&quot;isManuallyOverridden&quot;:true,&quot;citeprocText&quot;:&quot;(Javier et al., s/f)&quot;,&quot;manualOverrideText&quot;:&quot;(unidad de desarrollo empresarial y regional Cámara de Comercio de Ibagué (2023)&quot;},&quot;citationTag&quot;:&quot;MENDELEY_CITATION_v3_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&quot;,&quot;citationItems&quot;:[{&quot;id&quot;:&quot;039bc71b-02a4-3336-ae54-69f625f6a07b&quot;,&quot;itemData&quot;:{&quot;type&quot;:&quot;report&quot;,&quot;id&quot;:&quot;039bc71b-02a4-3336-ae54-69f625f6a07b&quot;,&quot;title&quot;:&quot;JUNTA DIRECTIVA 2023-2026 REVISORIA FISCAL: AUDITING ACCOUTING RECOR COLOMBIA S.A.S. REVISOR FISCAL PRINCIPAL ALBERTO CHACÓN ESPINOSA REVISOR FISCAL SUPLENTE&quot;,&quot;author&quot;:[{&quot;family&quot;:&quot;Javier&quot;,&quot;given&quot;:&quot;Pedro&quot;,&quot;parse-names&quot;:false,&quot;dropping-particle&quot;:&quot;&quot;,&quot;non-dropping-particle&quot;:&quot;&quot;},{&quot;family&quot;:&quot;García&quot;,&quot;given&quot;:&quot;Hernández&quot;,&quot;parse-names&quot;:false,&quot;dropping-particle&quot;:&quot;&quot;,&quot;non-dropping-particle&quot;:&quot;&quot;},{&quot;family&quot;:&quot;Ejecutivo&quot;,&quot;given&quot;:&quot;Presidente&quot;,&quot;parse-names&quot;:false,&quot;dropping-particle&quot;:&quot;&quot;,&quot;non-dropping-particle&quot;:&quot;&quot;},{&quot;family&quot;:&quot;Fernando&quot;,&quot;given&quot;:&quot;Luis&quot;,&quot;parse-names&quot;:false,&quot;dropping-particle&quot;:&quot;&quot;,&quot;non-dropping-particle&quot;:&quot;&quot;},{&quot;family&quot;:&quot;Saenz&quot;,&quot;given&quot;:&quot;Vega&quot;,&quot;parse-names&quot;:false,&quot;dropping-particle&quot;:&quot;&quot;,&quot;non-dropping-particle&quot;:&quot;&quot;}],&quot;container-title-short&quot;:&quot;&quot;},&quot;isTemporary&quot;:false}]},{&quot;citationID&quot;:&quot;MENDELEY_CITATION_c2eaa067-d6de-49e6-a755-c259e4d696f6&quot;,&quot;properties&quot;:{&quot;noteIndex&quot;:0},&quot;isEdited&quot;:false,&quot;manualOverride&quot;:{&quot;isManuallyOverridden&quot;:true,&quot;citeprocText&quot;:&quot;(Espinosa Díaz et al., 2022a)&quot;,&quot;manualOverrideText&quot;:&quot;Espinoza y Rodríguez (2022)&quot;},&quot;citationTag&quot;:&quot;MENDELEY_CITATION_v3_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i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quot;,&quot;citationItems&quot;:[{&quot;id&quot;:&quot;b0bcdbf9-2755-3590-8a04-8e918a58b9d8&quot;,&quot;itemData&quot;:{&quot;type&quot;:&quot;article-journal&quot;,&quot;id&quot;:&quot;b0bcdbf9-2755-3590-8a04-8e918a58b9d8&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2,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5364771f-6ed8-4adc-9e64-f8f47e52efe4&quot;,&quot;properties&quot;:{&quot;noteIndex&quot;:0},&quot;isEdited&quot;:false,&quot;manualOverride&quot;:{&quot;isManuallyOverridden&quot;:false,&quot;citeprocText&quot;:&quot;(Estatuto Tributario, 1989a)&quot;,&quot;manualOverrideText&quot;:&quot;&quot;},&quot;citationTag&quot;:&quot;MENDELEY_CITATION_v3_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SwiY29udGFpbmVyLXRpdGxlLXNob3J0IjoiIn0sImlzVGVtcG9yYXJ5IjpmYWxzZX1dfQ==&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98ee38f7-dd20-4b60-a59a-c718a95a1f6c&quot;,&quot;properties&quot;:{&quot;noteIndex&quot;:0},&quot;isEdited&quot;:false,&quot;manualOverride&quot;:{&quot;isManuallyOverridden&quot;:true,&quot;citeprocText&quot;:&quot;(Hernández Sampieri &amp;#38; Mendoza Torres, 2018)&quot;,&quot;manualOverrideText&quot;:&quot;(Hernández Sampieri et al (2018)&quot;},&quot;citationTag&quot;:&quot;MENDELEY_CITATION_v3_eyJjaXRhdGlvbklEIjoiTUVOREVMRVlfQ0lUQVRJT05fOThlZTM4ZjctZGQyMC00YjYwLWE1OWEtYzcxOGE5NWExZjZj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ICg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8442d2e7-a8a5-4b98-9823-1727ff173afa&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ODQ0MmQyZTctYThhNS00Yjk4LTk4MjMtMTcyN2ZmMTczYWZh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41a5cffd-8b87-45f9-b4ee-dab066b282ec&quot;,&quot;properties&quot;:{&quot;noteIndex&quot;:0},&quot;isEdited&quot;:false,&quot;manualOverride&quot;:{&quot;isManuallyOverridden&quot;:true,&quot;citeprocText&quot;:&quot;(Ley 1430, 2010c)&quot;,&quot;manualOverrideText&quot;:&quot;(Ley 1430, 2010)&quot;},&quot;citationTag&quot;:&quot;MENDELEY_CITATION_v3_eyJjaXRhdGlvbklEIjoiTUVOREVMRVlfQ0lUQVRJT05fNDFhNWNmZmQtOGI4Ny00NWY5LWI0ZWUtZGFiMDY2YjI4MmVj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quot;,&quot;citationItems&quot;:[{&quot;id&quot;:&quot;041e3908-e183-3522-a301-11940371e6be&quot;,&quot;itemData&quot;:{&quot;type&quot;:&quot;legislation&quot;,&quot;id&quot;:&quot;041e3908-e183-3522-a301-11940371e6be&quot;,&quot;title&quot;:&quot;Ley 1430&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isTemporary&quot;:false}]},{&quot;citationID&quot;:&quot;MENDELEY_CITATION_8f05d329-bde1-4c09-9c58-638ee032da66&quot;,&quot;properties&quot;:{&quot;noteIndex&quot;:0},&quot;isEdited&quot;:false,&quot;manualOverride&quot;:{&quot;isManuallyOverridden&quot;:true,&quot;citeprocText&quot;:&quot;(Ley 1819, 2016b)&quot;,&quot;manualOverrideText&quot;:&quot;(Ley 1819, 2016)&quot;},&quot;citationTag&quot;:&quot;MENDELEY_CITATION_v3_eyJjaXRhdGlvbklEIjoiTUVOREVMRVlfQ0lUQVRJT05fOGYwNWQzMjktYmRlMS00YzA5LTljNTgtNjM4ZWUwMzJkYTY2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quot;,&quot;citationItems&quot;:[{&quot;id&quot;:&quot;7333ca1f-cbdc-3577-bee7-4d331eb54880&quot;,&quot;itemData&quot;:{&quot;type&quot;:&quot;legislation&quot;,&quot;id&quot;:&quot;7333ca1f-cbdc-3577-bee7-4d331eb54880&quot;,&quot;title&quot;:&quot;Ley 1819&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isTemporary&quot;:false}]},{&quot;citationID&quot;:&quot;MENDELEY_CITATION_6a255a50-b980-44e6-a68b-64863a52c40e&quot;,&quot;properties&quot;:{&quot;noteIndex&quot;:0},&quot;isEdited&quot;:false,&quot;manualOverride&quot;:{&quot;isManuallyOverridden&quot;:true,&quot;citeprocText&quot;:&quot;(Ley 2010 de 2019 (art. 101), 2019a)&quot;,&quot;manualOverrideText&quot;:&quot;(Ley 2010 de 2019&quot;},&quot;citationTag&quot;:&quot;MENDELEY_CITATION_v3_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n0sImlzVGVtcG9yYXJ5IjpmYWxzZX1dfQ==&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b3133bf3-be5e-44ab-b932-d2e1b6295df4&quot;,&quot;properties&quot;:{&quot;noteIndex&quot;:0},&quot;isEdited&quot;:false,&quot;manualOverride&quot;:{&quot;isManuallyOverridden&quot;:true,&quot;citeprocText&quot;:&quot;(Ley 2277, 2022a)&quot;,&quot;manualOverrideText&quot;:&quot;(Ley 2277, 2022)&quot;},&quot;citationTag&quot;:&quot;MENDELEY_CITATION_v3_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IyNzdfMjAyMi5odG1sIiwiaXNzdWVkIjp7ImRhdGUtcGFydHMiOltbMjAyMl1dfX0sImlzVGVtcG9yYXJ5IjpmYWxzZX1dfQ==&quot;,&quot;citationItems&quot;:[{&quot;id&quot;:&quot;5f980bb7-f9df-333e-aa9f-ebb78b1908b5&quot;,&quot;itemData&quot;:{&quot;type&quot;:&quot;legislation&quot;,&quot;id&quot;:&quot;5f980bb7-f9df-333e-aa9f-ebb78b1908b5&quot;,&quot;title&quot;:&quot;Ley 2277&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2277_2022.html&quot;,&quot;issued&quot;:{&quot;date-parts&quot;:[[2022]]}},&quot;isTemporary&quot;:false}]},{&quot;citationID&quot;:&quot;MENDELEY_CITATION_82a9c73c-c92b-4caa-bb2f-a4a50f49d895&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ODJhOWM3M2MtYzkyYi00Y2FhLWJiMmYtYTRhNTBmNDlkODk1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9ad6c5fe-0aec-4895-9ae6-a128275b9ab9&quot;,&quot;properties&quot;:{&quot;noteIndex&quot;:0},&quot;isEdited&quot;:false,&quot;manualOverride&quot;:{&quot;isManuallyOverridden&quot;:true,&quot;citeprocText&quot;:&quot;(Ley 1430, 2010c)&quot;,&quot;manualOverrideText&quot;:&quot;(Ley 1430, 2010)&quot;},&quot;citationTag&quot;:&quot;MENDELEY_CITATION_v3_eyJjaXRhdGlvbklEIjoiTUVOREVMRVlfQ0lUQVRJT05fOWFkNmM1ZmUtMGFlYy00ODk1LTlhZTYtYTEyODI3NWI5YWI5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quot;,&quot;citationItems&quot;:[{&quot;id&quot;:&quot;041e3908-e183-3522-a301-11940371e6be&quot;,&quot;itemData&quot;:{&quot;type&quot;:&quot;legislation&quot;,&quot;id&quot;:&quot;041e3908-e183-3522-a301-11940371e6be&quot;,&quot;title&quot;:&quot;Ley 1430&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isTemporary&quot;:false}]},{&quot;citationID&quot;:&quot;MENDELEY_CITATION_061be9c3-ca5b-4cc9-8e99-de430a9ec993&quot;,&quot;properties&quot;:{&quot;noteIndex&quot;:0},&quot;isEdited&quot;:false,&quot;manualOverride&quot;:{&quot;isManuallyOverridden&quot;:true,&quot;citeprocText&quot;:&quot;(Ley 1819, 2016b)&quot;,&quot;manualOverrideText&quot;:&quot;(Ley 1819, 2016)&quot;},&quot;citationTag&quot;:&quot;MENDELEY_CITATION_v3_eyJjaXRhdGlvbklEIjoiTUVOREVMRVlfQ0lUQVRJT05fMDYxYmU5YzMtY2E1Yi00Y2M5LThlOTktZGU0MzBhOWVjOTkz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quot;,&quot;citationItems&quot;:[{&quot;id&quot;:&quot;7333ca1f-cbdc-3577-bee7-4d331eb54880&quot;,&quot;itemData&quot;:{&quot;type&quot;:&quot;legislation&quot;,&quot;id&quot;:&quot;7333ca1f-cbdc-3577-bee7-4d331eb54880&quot;,&quot;title&quot;:&quot;Ley 1819&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isTemporary&quot;:false}]},{&quot;citationID&quot;:&quot;MENDELEY_CITATION_67a47001-b892-4536-9a9d-ceeaaa01e659&quot;,&quot;properties&quot;:{&quot;noteIndex&quot;:0},&quot;isEdited&quot;:false,&quot;manualOverride&quot;:{&quot;isManuallyOverridden&quot;:true,&quot;citeprocText&quot;:&quot;(Ley 2010 de 2019 (art. 101), 2019a)&quot;,&quot;manualOverrideText&quot;:&quot;(Ley 2010 de 2019 )&quot;},&quot;citationTag&quot;:&quot;MENDELEY_CITATION_v3_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2lkPTMwMDM4NzA1IiwiaXNzdWVkIjp7ImRhdGUtcGFydHMiOltbMjAxOV1dfSwibGFuZ3VhZ2UiOiJlcyIsImFic3RyYWN0IjoiTW9kaWZpY8OzIGVsIGluY2lzbyA1IGRlbCBhcnTDrWN1bG8gNTgwLTEgZGVsIEVzdGF0dXRvIFRyaWJ1dGFyaW8gZSBpbmNvcnBvcsOzIGRlIGZvcm1hIGV4cHJlc2EgZWwgbcOpcml0byBlamVjdXRpdm8gZGUgbGEgZGVjbGFyYWNpw7NuIGluaWNpYWxtZW50ZSBwcmVzZW50YWRhLiIsInB1Ymxpc2hlciI6IkNvbmdyZXNvIGRlIGxhIFJlcMO6YmxpY2EgZGUgQ29sb21iaWEifSwiaXNUZW1wb3JhcnkiOmZhbHNlfV19&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72aa532d-cd03-40bc-9b51-0fd19a8c8284&quot;,&quot;properties&quot;:{&quot;noteIndex&quot;:0},&quot;isEdited&quot;:false,&quot;manualOverride&quot;:{&quot;isManuallyOverridden&quot;:true,&quot;citeprocText&quot;:&quot;(Ley 2277 de 2022 (art. 78), 2022)&quot;,&quot;manualOverrideText&quot;:&quot;(Ley 2277 de 2022&quot;},&quot;citationTag&quot;:&quot;MENDELEY_CITATION_v3_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MwMDQ1MDI4IiwiaXNzdWVkIjp7ImRhdGUtcGFydHMiOltbMjAyMl1dfSwibGFuZ3VhZ2UiOiJlcyIsImFic3RyYWN0IjoiQWRpY2lvbsOzIGVsIHBhcsOhZ3JhZm8gMyBkZWwgYXJ0w61jdWxvIDU4MC0xIGRlbCBFc3RhdHV0byBUcmlidXRhcmlvIHkgcmVndWzDsyBlbCBzdXB1ZXN0byBkZSBtZW5vciBjdWFudMOtYSBubyBzdXBlcmlvciBhIDEwIFVWVC4iLCJwdWJsaXNoZXIiOiJDb25ncmVzbyBkZSBsYSBSZXDDumJsaWNhIGRlIENvbG9tYmlhIn0sImlzVGVtcG9yYXJ5IjpmYWxzZX1dfQ==&quot;,&quot;citationItems&quot;:[{&quot;id&quot;:&quot;57bf4dd3-b43d-3d72-9218-5da6e56baf84&quot;,&quot;itemData&quot;:{&quot;type&quot;:&quot;legislation&quot;,&quot;id&quot;:&quot;57bf4dd3-b43d-3d72-9218-5da6e56baf84&quot;,&quot;title&quot;:&quot;Ley 2277 de 2022 (art. 78)&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ruta=Leyes/30045028&quot;,&quot;issued&quot;:{&quot;date-parts&quot;:[[2022]]},&quot;language&quot;:&quot;es&quot;,&quot;abstract&quot;:&quot;Adicionó el parágrafo 3 del artículo 580-1 del Estatuto Tributario y reguló el supuesto de menor cuantía no superior a 10 UVT.&quot;,&quot;publisher&quot;:&quot;Congreso de la República de Colombia&quot;},&quot;isTemporary&quot;:false}]},{&quot;citationID&quot;:&quot;MENDELEY_CITATION_334449a0-c226-4fb8-bb8f-c29333546740&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MzM0NDQ5YTAtYzIyNi00ZmI4LWJiOGYtYzI5MzMzNTQ2NzQw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7eb6cbef-66b2-488c-b761-6e859de58c4c&quot;,&quot;properties&quot;:{&quot;noteIndex&quot;:0},&quot;isEdited&quot;:false,&quot;manualOverride&quot;:{&quot;isManuallyOverridden&quot;:true,&quot;citeprocText&quot;:&quot;(&lt;i&gt;Sentencia C-203 de 2021&lt;/i&gt;, 2021)&quot;,&quot;manualOverrideText&quot;:&quot;(Sentencia C-203 de 2021)&quot;},&quot;citationTag&quot;:&quot;MENDELEY_CITATION_v3_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&quot;,&quot;citationItems&quot;:[{&quot;id&quot;:&quot;da00900c-bddd-3e83-a06d-bbf612621ab1&quot;,&quot;itemData&quot;:{&quot;type&quot;:&quot;legal_case&quot;,&quot;id&quot;:&quot;da00900c-bddd-3e83-a06d-bbf612621ab1&quot;,&quot;title&quot;:&quot;Sentencia C-203 de 2021&quot;,&quot;groupId&quot;:&quot;971ce9a8-6561-39c7-bc05-0917ce119c89&quot;,&quot;author&quot;:[{&quot;family&quot;:&quot;Colombia&quot;,&quot;given&quot;:&quot;Corte Constitucional&quot;,&quot;parse-names&quot;:false,&quot;dropping-particle&quot;:&quot;de&quot;,&quot;non-dropping-particle&quot;:&quot;&quot;}],&quot;URL&quot;:&quot;https://www.corteconstitucional.gov.co/relatoria/2021/C-203-21.htm&quot;,&quot;issued&quot;:{&quot;date-parts&quot;:[[2021]]},&quot;language&quot;:&quot;es&quot;,&quot;abstract&quot;:&quot;Revisó nuevamente la constitucionalidad de la regla que niega efectos legales a las declaraciones de retención presentadas sin pago total.&quot;,&quot;publisher&quot;:&quot;Corte Constitucional de Colombia&quot;},&quot;isTemporary&quot;:false}]},{&quot;citationID&quot;:&quot;MENDELEY_CITATION_0ab8a1e6-07e8-4863-b957-f464dd0861c7&quot;,&quot;properties&quot;:{&quot;noteIndex&quot;:0},&quot;isEdited&quot;:false,&quot;manualOverride&quot;:{&quot;isManuallyOverridden&quot;:true,&quot;citeprocText&quot;:&quot;(&lt;i&gt;Sentencia C-883 de 2011&lt;/i&gt;, 2011a)&quot;,&quot;manualOverrideText&quot;:&quot;(Sentencia C-883 de 2011&quot;},&quot;citationTag&quot;:&quot;MENDELEY_CITATION_v3_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J9LCJpc1RlbXBvcmFyeSI6ZmFsc2V9XX0=&quot;,&quot;citationItems&quot;:[{&quot;id&quot;:&quot;d8504ec6-a3ec-3b87-89c7-8e2402f91024&quot;,&quot;itemData&quot;:{&quot;type&quot;:&quot;legal_case&quot;,&quot;id&quot;:&quot;d8504ec6-a3ec-3b87-89c7-8e2402f91024&quot;,&quot;title&quot;:&quot;Sentencia C-883 de 2011&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20043004&quot;,&quot;issued&quot;:{&quot;date-parts&quot;:[[2011]]},&quot;language&quot;:&quot;es&quot;,&quot;abstract&quot;:&quot;Examinó el artículo 15 de la Ley 1430 de 2010 y aspectos conexos del régimen de ineficacia de las declaraciones de retención en la fuente.&quot;,&quot;publisher&quot;:&quot;Corte Constitucional de Colombia&quot;},&quot;isTemporary&quot;:false}]},{&quot;citationID&quot;:&quot;MENDELEY_CITATION_25866c85-d5b1-4baa-a87f-78ca0788702d&quot;,&quot;properties&quot;:{&quot;noteIndex&quot;:0},&quot;isEdited&quot;:false,&quot;manualOverride&quot;:{&quot;isManuallyOverridden&quot;:false,&quot;citeprocText&quot;:&quot;(DIAN, 2021b)&quot;,&quot;manualOverrideText&quot;:&quot;&quot;},&quot;citationTag&quot;:&quot;MENDELEY_CITATION_v3_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5MDU1NDVfMjAyMS5odG0iLCJpc3N1ZWQiOnsiZGF0ZS1wYXJ0cyI6W1syMDIxXV19LCJsYW5ndWFnZSI6ImVzIiwiYWJzdHJhY3QiOiJSZWl0ZXLDsyBxdWUgbm8gZXMgcG9zaWJsZSBjb3JyZWdpciB1bmEgZGVjbGFyYWNpw7NuIGRlIHJldGVuY2nDs24gZW4gbGEgZnVlbnRlIGluZWZpY2F6OyBkZWJlIHByZXNlbnRhcnNlIG51ZXZhbWVudGUgY29uIHBhZ28gdG90YWwsIHNhbmNpw7NuIHBvciBleHRlbXBvcmFuZWlkYWQgZSBpbnRlcmVzZXMuIiwicHVibGlzaGVyIjoiRElBTiJ9LCJpc1RlbXBvcmFyeSI6ZmFsc2V9XX0=&quot;,&quot;citationItems&quot;:[{&quot;id&quot;:&quot;ca219fdd-e952-36d5-891e-a292c4a6896a&quot;,&quot;itemData&quot;:{&quot;type&quot;:&quot;report&quot;,&quot;id&quot;:&quot;ca219fdd-e952-36d5-891e-a292c4a6896a&quot;,&quot;title&quot;:&quot;Oficio 905545 de 2021&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05545_2021.htm&quot;,&quot;issued&quot;:{&quot;date-parts&quot;:[[2021]]},&quot;language&quot;:&quot;es&quot;,&quot;abstract&quot;:&quot;Reiteró que no es posible corregir una declaración de retención en la fuente ineficaz; debe presentarse nuevamente con pago total, sanción por extemporaneidad e intereses.&quot;,&quot;publisher&quot;:&quot;DIAN&quot;},&quot;isTemporary&quot;:false}]},{&quot;citationID&quot;:&quot;MENDELEY_CITATION_5e77f103-66e3-4555-b594-1b4adb5581f4&quot;,&quot;properties&quot;:{&quot;noteIndex&quot;:0},&quot;isEdited&quot;:false,&quot;manualOverride&quot;:{&quot;isManuallyOverridden&quot;:false,&quot;citeprocText&quot;:&quot;(DIAN, 2023)&quot;,&quot;manualOverrideText&quot;:&quot;&quot;},&quot;citationTag&quot;:&quot;MENDELEY_CITATION_v3_eyJjaXRhdGlvbklEIjoiTUVOREVMRVlfQ0lUQVRJT05fNWU3N2YxMDMtNjZlMy00NTU1LWI1OTQtMWI0YWRiNTU4MWY0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quot;,&quot;citationItems&quot;:[{&quot;id&quot;:&quot;e3f14b91-6e77-3399-ae53-63f26f72fe51&quot;,&quot;itemData&quot;:{&quot;type&quot;:&quot;report&quot;,&quot;id&quot;:&quot;e3f14b91-6e77-3399-ae53-63f26f72fe51&quot;,&quot;title&quot;:&quot;Oficio 4638 de 2023&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4638_2023.htm&quot;,&quot;issued&quot;:{&quot;date-parts&quot;:[[2023]]},&quot;language&quot;:&quot;es&quot;,&quot;abstract&quot;:&quot;Diferenció los efectos de la declaración sin pago total para el agente retenedor y para la administración, destacando su mérito ejecutivo.&quot;,&quot;publisher&quot;:&quot;DIAN&quot;},&quot;isTemporary&quot;:false}]},{&quot;citationID&quot;:&quot;MENDELEY_CITATION_05fb7e80-4010-4839-94a5-5e10ae36631c&quot;,&quot;properties&quot;:{&quot;noteIndex&quot;:0},&quot;isEdited&quot;:false,&quot;manualOverride&quot;:{&quot;isManuallyOverridden&quot;:false,&quot;citeprocText&quot;:&quot;(Estatuto Tributario, 1989b)&quot;,&quot;manualOverrideText&quot;:&quot;&quot;},&quot;citationTag&quot;:&quot;MENDELEY_CITATION_v3_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&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ecaf1403-af96-4b95-a901-adfeb3f48f7f&quot;,&quot;properties&quot;:{&quot;noteIndex&quot;:0},&quot;isEdited&quot;:false,&quot;manualOverride&quot;:{&quot;isManuallyOverridden&quot;:false,&quot;citeprocText&quot;:&quot;(Tamayo y Tamayo, 2001)&quot;,&quot;manualOverrideText&quot;:&quot;&quot;},&quot;citationTag&quot;:&quot;MENDELEY_CITATION_v3_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&quot;,&quot;citationItems&quot;:[{&quot;id&quot;:&quot;3a31d829-911b-3a4f-a6ce-ddf2115f7ad5&quot;,&quot;itemData&quot;:{&quot;type&quot;:&quot;book&quot;,&quot;id&quot;:&quot;3a31d829-911b-3a4f-a6ce-ddf2115f7ad5&quot;,&quot;title&quot;:&quot;El proceso de la investigación científica&quot;,&quot;groupId&quot;:&quot;971ce9a8-6561-39c7-bc05-0917ce119c89&quot;,&quot;author&quot;:[{&quot;family&quot;:&quot;Tamayo y Tamayo&quot;,&quot;given&quot;:&quot;Mario.&quot;,&quot;parse-names&quot;:false,&quot;dropping-particle&quot;:&quot;&quot;,&quot;non-dropping-particle&quot;:&quot;&quot;}],&quot;ISBN&quot;:&quot;9681858727&quot;,&quot;issued&quot;:{&quot;date-parts&quot;:[[2001]]},&quot;number-of-pages&quot;:&quot;440&quot;,&quot;abstract&quot;:&quot;4a. ed. &quot;,&quot;publisher&quot;:&quot;Limusa&quot;},&quot;isTemporary&quot;:false}]},{&quot;citationID&quot;:&quot;MENDELEY_CITATION_e957b483-3fc5-45a6-9259-d880f559942e&quot;,&quot;properties&quot;:{&quot;noteIndex&quot;:0},&quot;isEdited&quot;:false,&quot;manualOverride&quot;:{&quot;isManuallyOverridden&quot;:true,&quot;citeprocText&quot;:&quot;(Vargas Beal Xavier, 2007)&quot;,&quot;manualOverrideText&quot;:&quot;Vargas (2007)&quot;},&quot;citationTag&quot;:&quot;MENDELEY_CITATION_v3_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&quot;,&quot;citationItems&quot;:[{&quot;id&quot;:&quot;8c8b3340-f7b8-39dd-9a28-7c4194d6900c&quot;,&quot;itemData&quot;:{&quot;type&quot;:&quot;article-journal&quot;,&quot;id&quot;:&quot;8c8b3340-f7b8-39dd-9a28-7c4194d6900c&quot;,&quot;title&quot;:&quot;¿Cómo hacer investigación cualitativa?&quot;,&quot;groupId&quot;:&quot;971ce9a8-6561-39c7-bc05-0917ce119c89&quot;,&quot;author&quot;:[{&quot;family&quot;:&quot;Vargas Beal Xavier&quot;,&quot;given&quot;:&quot;&quot;,&quot;parse-names&quot;:false,&quot;dropping-particle&quot;:&quot;&quot;,&quot;non-dropping-particle&quot;:&quot;&quot;}],&quot;issued&quot;:{&quot;date-parts&quot;:[[2007]]}},&quot;isTemporary&quot;:false}]},{&quot;citationID&quot;:&quot;MENDELEY_CITATION_856ad1ca-7e22-458a-a817-83e68e18ba22&quot;,&quot;properties&quot;:{&quot;noteIndex&quot;:0},&quot;isEdited&quot;:false,&quot;manualOverride&quot;:{&quot;isManuallyOverridden&quot;:true,&quot;citeprocText&quot;:&quot;(Hernández Sampieri &amp;#38; Mendoza Torres, 2018)&quot;,&quot;manualOverrideText&quot;:&quot;(Hernández Sampieri et al, 2018)&quot;},&quot;citationTag&quot;:&quot;MENDELEY_CITATION_v3_eyJjaXRhdGlvbklEIjoiTUVOREVMRVlfQ0lUQVRJT05fODU2YWQxY2EtN2UyMi00NThhLWE4MTctODNlNjhlMThiYTIy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10b25f86-235c-4903-9695-c2dc0b2c81b9&quot;,&quot;properties&quot;:{&quot;noteIndex&quot;:0},&quot;isEdited&quot;:false,&quot;manualOverride&quot;:{&quot;isManuallyOverridden&quot;:true,&quot;citeprocText&quot;:&quot;(Hernández Sampieri &amp;#38; Mendoza Torres, 2018)&quot;,&quot;manualOverrideText&quot;:&quot;(Hernández Sampieri et al , 2018)&quot;},&quot;citationTag&quot;:&quot;MENDELEY_CITATION_v3_eyJjaXRhdGlvbklEIjoiTUVOREVMRVlfQ0lUQVRJT05fMTBiMjVmODYtMjM1Yy00OTAzLTk2OTUtYzJkYzBiMmM4MWI5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&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d45888ae-4677-48d0-a27e-feb6abc3a574&quot;,&quot;properties&quot;:{&quot;noteIndex&quot;:0},&quot;isEdited&quot;:false,&quot;manualOverride&quot;:{&quot;isManuallyOverridden&quot;:true,&quot;citeprocText&quot;:&quot;(Bernal Torres César Augusto, 2006)&quot;,&quot;manualOverrideText&quot;:&quot;(Bernal, 2006)&quot;},&quot;citationTag&quot;:&quot;MENDELEY_CITATION_v3_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&quot;,&quot;citationItems&quot;:[{&quot;id&quot;:&quot;93925b49-1f6e-3fd8-b483-fe4ddb6eeae5&quot;,&quot;itemData&quot;:{&quot;type&quot;:&quot;book&quot;,&quot;id&quot;:&quot;93925b49-1f6e-3fd8-b483-fe4ddb6eeae5&quot;,&quot;title&quot;:&quot;Metodología de la investigación para administración, economía ,humanidades y ciencias sociales&quot;,&quot;groupId&quot;:&quot;971ce9a8-6561-39c7-bc05-0917ce119c89&quot;,&quot;author&quot;:[{&quot;family&quot;:&quot;Bernal Torres César Augusto&quot;,&quot;given&quot;:&quot;Salavatierra Duván, Sánchez Amaya Tomás and Salazar Rosalba.&quot;,&quot;parse-names&quot;:false,&quot;dropping-particle&quot;:&quot;&quot;,&quot;non-dropping-particle&quot;:&quot;&quot;}],&quot;issued&quot;:{&quot;date-parts&quot;:[[2006]]},&quot;publisher-place&quot;:&quot;Mexico&quot;,&quot;publisher&quot;:&quot;Pearson&quot;},&quot;isTemporary&quot;:false}]},{&quot;citationID&quot;:&quot;MENDELEY_CITATION_b887cd09-ee46-40fb-8aac-a6f98a85c068&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Yjg4N2NkMDktZWU0Ni00MGZiLThhYWMtYTZmOThhODVjMDY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a2479046-90d4-4fca-9628-89ccc4f9f9be&quot;,&quot;properties&quot;:{&quot;noteIndex&quot;:0},&quot;isEdited&quot;:false,&quot;manualOverride&quot;:{&quot;isManuallyOverridden&quot;:true,&quot;citeprocText&quot;:&quot;(Hernández Sampieri &amp;#38; Mendoza Torres, 2018)&quot;,&quot;manualOverrideText&quot;:&quot;(Hernández Sampieri et al, 2018)&quot;},&quot;citationTag&quot;:&quot;MENDELEY_CITATION_v3_eyJjaXRhdGlvbklEIjoiTUVOREVMRVlfQ0lUQVRJT05fYTI0NzkwNDYtOTBkNC00ZmNhLTk2MjgtODljY2M0ZjlmOWJlIiwicHJvcGVydGllcyI6eyJub3RlSW5kZXgiOjB9LCJpc0VkaXRlZCI6ZmFsc2UsIm1hbnVhbE92ZXJyaWRlIjp7ImlzTWFudWFsbHlPdmVycmlkZGVuIjp0cnVlLCJjaXRlcHJvY1RleHQiOiIoSGVybmHMgW5kZXogU2FtcGllcmkgJiMzODsgTWVuZG96YSBUb3JyZXMsIDIwMTgpIiwibWFudWFsT3ZlcnJpZGVUZXh0IjoiKEhlcm5hzIFuZGV6IFNhbXBpZXJpIGV0IGFs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f4d108fa-fdaf-4915-a735-39c9cfc0eccb&quot;,&quot;properties&quot;:{&quot;noteIndex&quot;:0},&quot;isEdited&quot;:false,&quot;manualOverride&quot;:{&quot;isManuallyOverridden&quot;:true,&quot;citeprocText&quot;:&quot;(Bernal Torres César Augusto, 2006)&quot;,&quot;manualOverrideText&quot;:&quot;Bernal (2006)&quot;},&quot;citationTag&quot;:&quot;MENDELEY_CITATION_v3_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&quot;,&quot;citationItems&quot;:[{&quot;id&quot;:&quot;93925b49-1f6e-3fd8-b483-fe4ddb6eeae5&quot;,&quot;itemData&quot;:{&quot;type&quot;:&quot;book&quot;,&quot;id&quot;:&quot;93925b49-1f6e-3fd8-b483-fe4ddb6eeae5&quot;,&quot;title&quot;:&quot;Metodología de la investigación para administración, economía ,humanidades y ciencias sociales&quot;,&quot;groupId&quot;:&quot;971ce9a8-6561-39c7-bc05-0917ce119c89&quot;,&quot;author&quot;:[{&quot;family&quot;:&quot;Bernal Torres César Augusto&quot;,&quot;given&quot;:&quot;Salavatierra Duván, Sánchez Amaya Tomás and Salazar Rosalba.&quot;,&quot;parse-names&quot;:false,&quot;dropping-particle&quot;:&quot;&quot;,&quot;non-dropping-particle&quot;:&quot;&quot;}],&quot;issued&quot;:{&quot;date-parts&quot;:[[2006]]},&quot;publisher-place&quot;:&quot;Mexico&quot;,&quot;publisher&quot;:&quot;Pearson&quot;},&quot;isTemporary&quot;:false}]},{&quot;citationID&quot;:&quot;MENDELEY_CITATION_d868771b-dc35-48fb-be27-e32b2893b550&quot;,&quot;properties&quot;:{&quot;noteIndex&quot;:0},&quot;isEdited&quot;:false,&quot;manualOverride&quot;:{&quot;isManuallyOverridden&quot;:false,&quot;citeprocText&quot;:&quot;(Constitución Política de Colombia (art. 95), 1991)&quot;,&quot;manualOverrideText&quot;:&quot;&quot;},&quot;citationTag&quot;:&quot;MENDELEY_CITATION_v3_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&quot;,&quot;citationItems&quot;:[{&quot;id&quot;:&quot;22a9bc58-1962-34ff-b52e-4df56b94e748&quot;,&quot;itemData&quot;:{&quot;type&quot;:&quot;legislation&quot;,&quot;id&quot;:&quot;22a9bc58-1962-34ff-b52e-4df56b94e748&quot;,&quot;title&quot;:&quot;Constitución Política de Colombia (art. 95)&quot;,&quot;groupId&quot;:&quot;971ce9a8-6561-39c7-bc05-0917ce119c89&quot;,&quot;author&quot;:[{&quot;family&quot;:&quot;Colombia&quot;,&quot;given&quot;:&quot;&quot;,&quot;parse-names&quot;:false,&quot;dropping-particle&quot;:&quot;&quot;,&quot;non-dropping-particle&quot;:&quot;&quot;}],&quot;URL&quot;:&quot;https://www.suin-juriscol.gov.co/viewDocument.asp?ruta=Constitucion/1687988&quot;,&quot;issued&quot;:{&quot;date-parts&quot;:[[1991]]},&quot;language&quot;:&quot;es&quot;,&quot;abstract&quot;:&quot;Consagra el deber de contribuir al financiamiento de los gastos e inversiones del Estado dentro de conceptos de justicia y equidad.&quot;,&quot;publisher&quot;:&quot;Asamblea Nacional Constituyente&quot;},&quot;isTemporary&quot;:false}]},{&quot;citationID&quot;:&quot;MENDELEY_CITATION_fc70defb-62fb-4462-8401-a41a3fce97ab&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ZmM3MGRlZmItNjJmYi00NDYyLTg0MDEtYTQxYTNmY2U5N2Fi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21c1740b-9620-4f13-ba4f-bc1c8edc7f38&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MjFjMTc0MGItOTYyMC00ZjEzLWJhNGYtYmMxYzhlZGM3ZjM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8da9c8aa-3914-4c51-957b-dff4c2b09e62&quot;,&quot;properties&quot;:{&quot;noteIndex&quot;:0},&quot;isEdited&quot;:false,&quot;manualOverride&quot;:{&quot;isManuallyOverridden&quot;:true,&quot;citeprocText&quot;:&quot;(Ley 1430, 2010c)&quot;,&quot;manualOverrideText&quot;:&quot;(Ley 1430, 2010)&quot;},&quot;citationTag&quot;:&quot;MENDELEY_CITATION_v3_eyJjaXRhdGlvbklEIjoiTUVOREVMRVlfQ0lUQVRJT05fOGRhOWM4YWEtMzkxNC00YzUxLTk1N2ItZGZmNGMyYjA5ZTYy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quot;,&quot;citationItems&quot;:[{&quot;id&quot;:&quot;041e3908-e183-3522-a301-11940371e6be&quot;,&quot;itemData&quot;:{&quot;type&quot;:&quot;legislation&quot;,&quot;id&quot;:&quot;041e3908-e183-3522-a301-11940371e6be&quot;,&quot;title&quot;:&quot;Ley 1430&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isTemporary&quot;:false}]},{&quot;citationID&quot;:&quot;MENDELEY_CITATION_11e514a5-64cb-4633-80d0-b22650345874&quot;,&quot;properties&quot;:{&quot;noteIndex&quot;:0},&quot;isEdited&quot;:false,&quot;manualOverride&quot;:{&quot;isManuallyOverridden&quot;:true,&quot;citeprocText&quot;:&quot;(Ley 1819, 2016b)&quot;,&quot;manualOverrideText&quot;:&quot;(Ley 1819, 2016)&quot;},&quot;citationTag&quot;:&quot;MENDELEY_CITATION_v3_eyJjaXRhdGlvbklEIjoiTUVOREVMRVlfQ0lUQVRJT05fMTFlNTE0YTUtNjRjYi00NjMzLTgwZDAtYjIyNjUwMzQ1ODc0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quot;,&quot;citationItems&quot;:[{&quot;id&quot;:&quot;7333ca1f-cbdc-3577-bee7-4d331eb54880&quot;,&quot;itemData&quot;:{&quot;type&quot;:&quot;legislation&quot;,&quot;id&quot;:&quot;7333ca1f-cbdc-3577-bee7-4d331eb54880&quot;,&quot;title&quot;:&quot;Ley 1819&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isTemporary&quot;:false}]},{&quot;citationID&quot;:&quot;MENDELEY_CITATION_c1da80d9-ae99-4233-b601-df4f9ff1f1d9&quot;,&quot;properties&quot;:{&quot;noteIndex&quot;:0},&quot;isEdited&quot;:false,&quot;manualOverride&quot;:{&quot;isManuallyOverridden&quot;:true,&quot;citeprocText&quot;:&quot;(Ley 2010 de 2019 (art. 101), 2019a)&quot;,&quot;manualOverrideText&quot;:&quot;(Ley 2010 de 2019)&quot;},&quot;citationTag&quot;:&quot;MENDELEY_CITATION_v3_eyJjaXRhdGlvbklEIjoiTUVOREVMRVlfQ0lUQVRJT05fYzFkYTgwZDktYWU5OS00MjMzLWI2MDEtZGY0ZjlmZjFmMWQ5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cc9344ce-01c1-4d8a-855f-007e802a0fec&quot;,&quot;properties&quot;:{&quot;noteIndex&quot;:0},&quot;isEdited&quot;:false,&quot;manualOverride&quot;:{&quot;isManuallyOverridden&quot;:true,&quot;citeprocText&quot;:&quot;(Ley 2277 de 2022 (art. 78), 2022)&quot;,&quot;manualOverrideText&quot;:&quot;(Ley 2277 de 2022&quot;},&quot;citationTag&quot;:&quot;MENDELEY_CITATION_v3_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MwMDQ1MDI4IiwiaXNzdWVkIjp7ImRhdGUtcGFydHMiOltbMjAyMl1dfSwibGFuZ3VhZ2UiOiJlcyIsImFic3RyYWN0IjoiQWRpY2lvbsOzIGVsIHBhcsOhZ3JhZm8gMyBkZWwgYXJ0w61jdWxvIDU4MC0xIGRlbCBFc3RhdHV0byBUcmlidXRhcmlvIHkgcmVndWzDsyBlbCBzdXB1ZXN0byBkZSBtZW5vciBjdWFudMOtYSBubyBzdXBlcmlvciBhIDEwIFVWVC4iLCJwdWJsaXNoZXIiOiJDb25ncmVzbyBkZSBsYSBSZXDDumJsaWNhIGRlIENvbG9tYmlhIn0sImlzVGVtcG9yYXJ5IjpmYWxzZX1dfQ==&quot;,&quot;citationItems&quot;:[{&quot;id&quot;:&quot;57bf4dd3-b43d-3d72-9218-5da6e56baf84&quot;,&quot;itemData&quot;:{&quot;type&quot;:&quot;legislation&quot;,&quot;id&quot;:&quot;57bf4dd3-b43d-3d72-9218-5da6e56baf84&quot;,&quot;title&quot;:&quot;Ley 2277 de 2022 (art. 78)&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ruta=Leyes/30045028&quot;,&quot;issued&quot;:{&quot;date-parts&quot;:[[2022]]},&quot;language&quot;:&quot;es&quot;,&quot;abstract&quot;:&quot;Adicionó el parágrafo 3 del artículo 580-1 del Estatuto Tributario y reguló el supuesto de menor cuantía no superior a 10 UVT.&quot;,&quot;publisher&quot;:&quot;Congreso de la República de Colombia&quot;},&quot;isTemporary&quot;:false}]},{&quot;citationID&quot;:&quot;MENDELEY_CITATION_7866dc3d-44e0-47b7-abc8-db0b4d9c5919&quot;,&quot;properties&quot;:{&quot;noteIndex&quot;:0},&quot;isEdited&quot;:false,&quot;manualOverride&quot;:{&quot;isManuallyOverridden&quot;:true,&quot;citeprocText&quot;:&quot;(&lt;i&gt;Sentencia C-203 de 2021&lt;/i&gt;, 2021)&quot;,&quot;manualOverrideText&quot;:&quot;(Sentencia C-203 de 2021)&quot;},&quot;citationTag&quot;:&quot;MENDELEY_CITATION_v3_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&quot;,&quot;citationItems&quot;:[{&quot;id&quot;:&quot;da00900c-bddd-3e83-a06d-bbf612621ab1&quot;,&quot;itemData&quot;:{&quot;type&quot;:&quot;legal_case&quot;,&quot;id&quot;:&quot;da00900c-bddd-3e83-a06d-bbf612621ab1&quot;,&quot;title&quot;:&quot;Sentencia C-203 de 2021&quot;,&quot;groupId&quot;:&quot;971ce9a8-6561-39c7-bc05-0917ce119c89&quot;,&quot;author&quot;:[{&quot;family&quot;:&quot;Colombia&quot;,&quot;given&quot;:&quot;Corte Constitucional&quot;,&quot;parse-names&quot;:false,&quot;dropping-particle&quot;:&quot;de&quot;,&quot;non-dropping-particle&quot;:&quot;&quot;}],&quot;URL&quot;:&quot;https://www.corteconstitucional.gov.co/relatoria/2021/C-203-21.htm&quot;,&quot;issued&quot;:{&quot;date-parts&quot;:[[2021]]},&quot;language&quot;:&quot;es&quot;,&quot;abstract&quot;:&quot;Revisó nuevamente la constitucionalidad de la regla que niega efectos legales a las declaraciones de retención presentadas sin pago total.&quot;,&quot;publisher&quot;:&quot;Corte Constitucional de Colombia&quot;},&quot;isTemporary&quot;:false}]},{&quot;citationID&quot;:&quot;MENDELEY_CITATION_20c30db5-a82a-4478-aadb-14e641ce055c&quot;,&quot;properties&quot;:{&quot;noteIndex&quot;:0},&quot;isEdited&quot;:false,&quot;manualOverride&quot;:{&quot;isManuallyOverridden&quot;:false,&quot;citeprocText&quot;:&quot;(DIAN, 2021b)&quot;,&quot;manualOverrideText&quot;:&quot;&quot;},&quot;citationTag&quot;:&quot;MENDELEY_CITATION_v3_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5MDU1NDVfMjAyMS5odG0iLCJpc3N1ZWQiOnsiZGF0ZS1wYXJ0cyI6W1syMDIxXV19LCJsYW5ndWFnZSI6ImVzIiwiYWJzdHJhY3QiOiJSZWl0ZXLDsyBxdWUgbm8gZXMgcG9zaWJsZSBjb3JyZWdpciB1bmEgZGVjbGFyYWNpw7NuIGRlIHJldGVuY2nDs24gZW4gbGEgZnVlbnRlIGluZWZpY2F6OyBkZWJlIHByZXNlbnRhcnNlIG51ZXZhbWVudGUgY29uIHBhZ28gdG90YWwsIHNhbmNpw7NuIHBvciBleHRlbXBvcmFuZWlkYWQgZSBpbnRlcmVzZXMuIiwicHVibGlzaGVyIjoiRElBTiJ9LCJpc1RlbXBvcmFyeSI6ZmFsc2V9XX0=&quot;,&quot;citationItems&quot;:[{&quot;id&quot;:&quot;ca219fdd-e952-36d5-891e-a292c4a6896a&quot;,&quot;itemData&quot;:{&quot;type&quot;:&quot;report&quot;,&quot;id&quot;:&quot;ca219fdd-e952-36d5-891e-a292c4a6896a&quot;,&quot;title&quot;:&quot;Oficio 905545 de 2021&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05545_2021.htm&quot;,&quot;issued&quot;:{&quot;date-parts&quot;:[[2021]]},&quot;language&quot;:&quot;es&quot;,&quot;abstract&quot;:&quot;Reiteró que no es posible corregir una declaración de retención en la fuente ineficaz; debe presentarse nuevamente con pago total, sanción por extemporaneidad e intereses.&quot;,&quot;publisher&quot;:&quot;DIAN&quot;},&quot;isTemporary&quot;:false}]},{&quot;citationID&quot;:&quot;MENDELEY_CITATION_85438e7c-89d5-45cc-ade9-f8754f720f34&quot;,&quot;properties&quot;:{&quot;noteIndex&quot;:0},&quot;isEdited&quot;:false,&quot;manualOverride&quot;:{&quot;isManuallyOverridden&quot;:false,&quot;citeprocText&quot;:&quot;(DIAN, 2023)&quot;,&quot;manualOverrideText&quot;:&quot;&quot;},&quot;citationTag&quot;:&quot;MENDELEY_CITATION_v3_eyJjaXRhdGlvbklEIjoiTUVOREVMRVlfQ0lUQVRJT05fODU0MzhlN2MtODlkNS00NWNjLWFkZTktZjg3NTRmNzIwZjM0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quot;,&quot;citationItems&quot;:[{&quot;id&quot;:&quot;e3f14b91-6e77-3399-ae53-63f26f72fe51&quot;,&quot;itemData&quot;:{&quot;type&quot;:&quot;report&quot;,&quot;id&quot;:&quot;e3f14b91-6e77-3399-ae53-63f26f72fe51&quot;,&quot;title&quot;:&quot;Oficio 4638 de 2023&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4638_2023.htm&quot;,&quot;issued&quot;:{&quot;date-parts&quot;:[[2023]]},&quot;language&quot;:&quot;es&quot;,&quot;abstract&quot;:&quot;Diferenció los efectos de la declaración sin pago total para el agente retenedor y para la administración, destacando su mérito ejecutivo.&quot;,&quot;publisher&quot;:&quot;DIAN&quot;},&quot;isTemporary&quot;:false}]},{&quot;citationID&quot;:&quot;MENDELEY_CITATION_e3f12081-49e9-45ab-bd51-8f97f9e3d1de&quot;,&quot;properties&quot;:{&quot;noteIndex&quot;:0},&quot;isEdited&quot;:false,&quot;manualOverride&quot;:{&quot;isManuallyOverridden&quot;:true,&quot;citeprocText&quot;:&quot;(Hernández Sampieri &amp;#38; Mendoza Torres, 2018)&quot;,&quot;manualOverrideText&quot;:&quot;(Hernández Sampieri, 2018)&quot;},&quot;citationTag&quot;:&quot;MENDELEY_CITATION_v3_eyJjaXRhdGlvbklEIjoiTUVOREVMRVlfQ0lUQVRJT05fZTNmMTIwODEtNDllOS00NWFiLWJkNTEtOGY5N2Y5ZTNkMWRlIiwicHJvcGVydGllcyI6eyJub3RlSW5kZXgiOjB9LCJpc0VkaXRlZCI6ZmFsc2UsIm1hbnVhbE92ZXJyaWRlIjp7ImlzTWFudWFsbHlPdmVycmlkZGVuIjp0cnVlLCJjaXRlcHJvY1RleHQiOiIoSGVybmHMgW5kZXogU2FtcGllcmkgJiMzODsgTWVuZG96YSBUb3JyZXMsIDIwMTgpIiwibWFudWFsT3ZlcnJpZGVUZXh0IjoiKEhlcm5hzIFuZGV6IFNhbXBpZXJp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6f832a85-d588-4d66-94e4-1677f9f3c50c&quot;,&quot;properties&quot;:{&quot;noteIndex&quot;:0},&quot;isEdited&quot;:false,&quot;manualOverride&quot;:{&quot;isManuallyOverridden&quot;:true,&quot;citeprocText&quot;:&quot;(Bernal Torres César Augusto, 2006)&quot;,&quot;manualOverrideText&quot;:&quot;(Bernal Torres, 2006)&quot;},&quot;citationTag&quot;:&quot;MENDELEY_CITATION_v3_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&quot;,&quot;citationItems&quot;:[{&quot;id&quot;:&quot;93925b49-1f6e-3fd8-b483-fe4ddb6eeae5&quot;,&quot;itemData&quot;:{&quot;type&quot;:&quot;book&quot;,&quot;id&quot;:&quot;93925b49-1f6e-3fd8-b483-fe4ddb6eeae5&quot;,&quot;title&quot;:&quot;Metodología de la investigación para administración, economía ,humanidades y ciencias sociales&quot;,&quot;groupId&quot;:&quot;971ce9a8-6561-39c7-bc05-0917ce119c89&quot;,&quot;author&quot;:[{&quot;family&quot;:&quot;Bernal Torres César Augusto&quot;,&quot;given&quot;:&quot;Salavatierra Duván, Sánchez Amaya Tomás and Salazar Rosalba.&quot;,&quot;parse-names&quot;:false,&quot;dropping-particle&quot;:&quot;&quot;,&quot;non-dropping-particle&quot;:&quot;&quot;}],&quot;issued&quot;:{&quot;date-parts&quot;:[[2006]]},&quot;publisher-place&quot;:&quot;Mexico&quot;,&quot;publisher&quot;:&quot;Pearson&quot;},&quot;isTemporary&quot;:false}]},{&quot;citationID&quot;:&quot;MENDELEY_CITATION_2c50c3ba-07ff-49c5-89d1-e239fb4f17d6&quot;,&quot;properties&quot;:{&quot;noteIndex&quot;:0},&quot;isEdited&quot;:false,&quot;manualOverride&quot;:{&quot;isManuallyOverridden&quot;:true,&quot;citeprocText&quot;:&quot;(Hernández Sampieri &amp;#38; Mendoza Torres, 2018)&quot;,&quot;manualOverrideText&quot;:&quot;(Hernández Sampieri, 2018)&quot;},&quot;citationTag&quot;:&quot;MENDELEY_CITATION_v3_eyJjaXRhdGlvbklEIjoiTUVOREVMRVlfQ0lUQVRJT05fMmM1MGMzYmEtMDdmZi00OWM1LTg5ZDEtZTIzOWZiNGYxN2Q2IiwicHJvcGVydGllcyI6eyJub3RlSW5kZXgiOjB9LCJpc0VkaXRlZCI6ZmFsc2UsIm1hbnVhbE92ZXJyaWRlIjp7ImlzTWFudWFsbHlPdmVycmlkZGVuIjp0cnVlLCJjaXRlcHJvY1RleHQiOiIoSGVybmHMgW5kZXogU2FtcGllcmkgJiMzODsgTWVuZG96YSBUb3JyZXMsIDIwMTgpIiwibWFudWFsT3ZlcnJpZGVUZXh0IjoiKEhlcm5hzIFuZGV6IFNhbXBpZXJp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e7f20e4d-a687-4ed2-99f7-3fe3b8b3df9d&quot;,&quot;properties&quot;:{&quot;noteIndex&quot;:0},&quot;isEdited&quot;:false,&quot;manualOverride&quot;:{&quot;isManuallyOverridden&quot;:true,&quot;citeprocText&quot;:&quot;(Hernández Sampieri &amp;#38; Mendoza Torres, 2018)&quot;,&quot;manualOverrideText&quot;:&quot;(Hernández Sampieri, 2018)&quot;},&quot;citationTag&quot;:&quot;MENDELEY_CITATION_v3_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&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db28a39c-29d6-4e00-aa23-35d996d33abf&quot;,&quot;properties&quot;:{&quot;noteIndex&quot;:0},&quot;isEdited&quot;:false,&quot;manualOverride&quot;:{&quot;isManuallyOverridden&quot;:true,&quot;citeprocText&quot;:&quot;(Constitución Política de Colombia (art. 95), 1991; Constitución Política de Colombia (art. 363), 1991)&quot;,&quot;manualOverrideText&quot;:&quot;Constitución Política de Colombia 1991 (art. 95 y art. 363)&quot;},&quot;citationTag&quot;:&quot;MENDELEY_CITATION_v3_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&quot;,&quot;citationItems&quot;:[{&quot;id&quot;:&quot;22a9bc58-1962-34ff-b52e-4df56b94e748&quot;,&quot;itemData&quot;:{&quot;type&quot;:&quot;legislation&quot;,&quot;id&quot;:&quot;22a9bc58-1962-34ff-b52e-4df56b94e748&quot;,&quot;title&quot;:&quot;Constitución Política de Colombia (art. 95)&quot;,&quot;groupId&quot;:&quot;971ce9a8-6561-39c7-bc05-0917ce119c89&quot;,&quot;author&quot;:[{&quot;family&quot;:&quot;Colombia&quot;,&quot;given&quot;:&quot;&quot;,&quot;parse-names&quot;:false,&quot;dropping-particle&quot;:&quot;&quot;,&quot;non-dropping-particle&quot;:&quot;&quot;}],&quot;URL&quot;:&quot;https://www.suin-juriscol.gov.co/viewDocument.asp?ruta=Constitucion/1687988&quot;,&quot;issued&quot;:{&quot;date-parts&quot;:[[1991]]},&quot;language&quot;:&quot;es&quot;,&quot;abstract&quot;:&quot;Consagra el deber de contribuir al financiamiento de los gastos e inversiones del Estado dentro de conceptos de justicia y equidad.&quot;,&quot;publisher&quot;:&quot;Asamblea Nacional Constituyente&quot;},&quot;isTemporary&quot;:false},{&quot;id&quot;:&quot;13805f4e-2dbf-3149-8e1f-11c02e306edd&quot;,&quot;itemData&quot;:{&quot;type&quot;:&quot;legislation&quot;,&quot;id&quot;:&quot;13805f4e-2dbf-3149-8e1f-11c02e306edd&quot;,&quot;title&quot;:&quot;Constitución Política de Colombia (art. 363)&quot;,&quot;groupId&quot;:&quot;971ce9a8-6561-39c7-bc05-0917ce119c89&quot;,&quot;author&quot;:[{&quot;family&quot;:&quot;Colombia&quot;,&quot;given&quot;:&quot;&quot;,&quot;parse-names&quot;:false,&quot;dropping-particle&quot;:&quot;&quot;,&quot;non-dropping-particle&quot;:&quot;&quot;}],&quot;URL&quot;:&quot;https://www.suin-juriscol.gov.co/viewDocument.asp?ruta=Constitucion/1687988&quot;,&quot;issued&quot;:{&quot;date-parts&quot;:[[1991]]},&quot;language&quot;:&quot;es&quot;,&quot;abstract&quot;:&quot;Define los principios de equidad, eficiencia y progresividad del sistema tributario.&quot;,&quot;publisher&quot;:&quot;Asamblea Nacional Constituyente&quot;},&quot;isTemporary&quot;:false}]},{&quot;citationID&quot;:&quot;MENDELEY_CITATION_93a4b620-52ed-407e-8429-8b262e95323b&quot;,&quot;properties&quot;:{&quot;noteIndex&quot;:0},&quot;isEdited&quot;:false,&quot;manualOverride&quot;:{&quot;isManuallyOverridden&quot;:true,&quot;citeprocText&quot;:&quot;(Decreto 624 de 1989, Estatuto Tributario, 1989b)&quot;,&quot;manualOverrideText&quot;:&quot;(Decreto 624 de 1989, Estatuto Tributario, 1989)&quot;},&quot;citationTag&quot;:&quot;MENDELEY_CITATION_v3_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&quot;,&quot;citationItems&quot;:[{&quot;id&quot;:&quot;7cec3673-976b-3db8-95e1-383282272f5a&quot;,&quot;itemData&quot;:{&quot;type&quot;:&quot;legislation&quot;,&quot;id&quot;:&quot;7cec3673-976b-3db8-95e1-383282272f5a&quot;,&quot;title&quot;:&quot;Decreto 624 de 1989, Estatuto Tributario&quot;,&quot;groupId&quot;:&quot;971ce9a8-6561-39c7-bc05-0917ce119c89&quot;,&quot;author&quot;:[{&quot;family&quot;:&quot;Colombia&quot;,&quot;given&quot;:&quot;Presidencia de la República&quot;,&quot;parse-names&quot;:false,&quot;dropping-particle&quot;:&quot;de&quot;,&quot;non-dropping-particle&quot;:&quot;&quot;}],&quot;URL&quot;:&quot;https://www.suin-juriscol.gov.co/viewDocument.asp?id=1132325&quot;,&quot;issued&quot;:{&quot;date-parts&quot;:[[1989]]},&quot;language&quot;:&quot;es&quot;,&quot;abstract&quot;:&quot;Contiene las disposiciones estructurales sobre obligación de retener, agente retenedor, periodicidad, sanciones, facilidades de pago y cobro coactivo, además del artículo 580-1.&quot;,&quot;publisher&quot;:&quot;Presidencia de la República de Colombia&quot;},&quot;isTemporary&quot;:false}]},{&quot;citationID&quot;:&quot;MENDELEY_CITATION_1743e518-967d-4768-815b-35a2ddcafd5e&quot;,&quot;properties&quot;:{&quot;noteIndex&quot;:0},&quot;isEdited&quot;:false,&quot;manualOverride&quot;:{&quot;isManuallyOverridden&quot;:true,&quot;citeprocText&quot;:&quot;(Ley 1430, 2010c)&quot;,&quot;manualOverrideText&quot;:&quot;(Ley 1430, 2010)&quot;},&quot;citationTag&quot;:&quot;MENDELEY_CITATION_v3_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E0MzBfMjAxMC5odG1sIiwiaXNzdWVkIjp7ImRhdGUtcGFydHMiOltbMjAxMF1dfX0sImlzVGVtcG9yYXJ5IjpmYWxzZX1dfQ==&quot;,&quot;citationItems&quot;:[{&quot;id&quot;:&quot;041e3908-e183-3522-a301-11940371e6be&quot;,&quot;itemData&quot;:{&quot;type&quot;:&quot;legislation&quot;,&quot;id&quot;:&quot;041e3908-e183-3522-a301-11940371e6be&quot;,&quot;title&quot;:&quot;Ley 1430&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430_2010.html&quot;,&quot;issued&quot;:{&quot;date-parts&quot;:[[2010]]}},&quot;isTemporary&quot;:false}]},{&quot;citationID&quot;:&quot;MENDELEY_CITATION_eb3bd232-5eb2-4b4d-af61-51aabe0ca1f9&quot;,&quot;properties&quot;:{&quot;noteIndex&quot;:0},&quot;isEdited&quot;:false,&quot;manualOverride&quot;:{&quot;isManuallyOverridden&quot;:true,&quot;citeprocText&quot;:&quot;(Ley 1819, 2016b)&quot;,&quot;manualOverrideText&quot;:&quot;(Ley 1819, 2016)&quot;},&quot;citationTag&quot;:&quot;MENDELEY_CITATION_v3_eyJjaXRhdGlvbklEIjoiTUVOREVMRVlfQ0lUQVRJT05fZWIzYmQyMzItNWViMi00YjRkLWFmNjEtNTFhYWJlMGNhMWY5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quot;,&quot;citationItems&quot;:[{&quot;id&quot;:&quot;7333ca1f-cbdc-3577-bee7-4d331eb54880&quot;,&quot;itemData&quot;:{&quot;type&quot;:&quot;legislation&quot;,&quot;id&quot;:&quot;7333ca1f-cbdc-3577-bee7-4d331eb54880&quot;,&quot;title&quot;:&quot;Ley 1819&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isTemporary&quot;:false}]},{&quot;citationID&quot;:&quot;MENDELEY_CITATION_e0085dd7-c7f1-41b1-97e0-b0bd57800aca&quot;,&quot;properties&quot;:{&quot;noteIndex&quot;:0},&quot;isEdited&quot;:false,&quot;manualOverride&quot;:{&quot;isManuallyOverridden&quot;:true,&quot;citeprocText&quot;:&quot;(Ley 2010 de 2019 (art. 101), 2019a)&quot;,&quot;manualOverrideText&quot;:&quot;(Ley 2010 de 2019)&quot;},&quot;citationTag&quot;:&quot;MENDELEY_CITATION_v3_eyJjaXRhdGlvbklEIjoiTUVOREVMRVlfQ0lUQVRJT05fZTAwODVkZDctYzdmMS00MWIxLTk3ZTAtYjBiZDU3ODAwYWNh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540273a9-4da9-4124-ac1c-7a5f2ded8481&quot;,&quot;properties&quot;:{&quot;noteIndex&quot;:0},&quot;isEdited&quot;:false,&quot;manualOverride&quot;:{&quot;isManuallyOverridden&quot;:true,&quot;citeprocText&quot;:&quot;(Ley 2277 de 2022 (art. 78), 2022)&quot;,&quot;manualOverrideText&quot;:&quot;(Ley 2277 de 2022&quot;},&quot;citationTag&quot;:&quot;MENDELEY_CITATION_v3_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MwMDQ1MDI4IiwiaXNzdWVkIjp7ImRhdGUtcGFydHMiOltbMjAyMl1dfSwibGFuZ3VhZ2UiOiJlcyIsImFic3RyYWN0IjoiQWRpY2lvbsOzIGVsIHBhcsOhZ3JhZm8gMyBkZWwgYXJ0w61jdWxvIDU4MC0xIGRlbCBFc3RhdHV0byBUcmlidXRhcmlvIHkgcmVndWzDsyBlbCBzdXB1ZXN0byBkZSBtZW5vciBjdWFudMOtYSBubyBzdXBlcmlvciBhIDEwIFVWVC4iLCJwdWJsaXNoZXIiOiJDb25ncmVzbyBkZSBsYSBSZXDDumJsaWNhIGRlIENvbG9tYmlhIn0sImlzVGVtcG9yYXJ5IjpmYWxzZX1dfQ==&quot;,&quot;citationItems&quot;:[{&quot;id&quot;:&quot;57bf4dd3-b43d-3d72-9218-5da6e56baf84&quot;,&quot;itemData&quot;:{&quot;type&quot;:&quot;legislation&quot;,&quot;id&quot;:&quot;57bf4dd3-b43d-3d72-9218-5da6e56baf84&quot;,&quot;title&quot;:&quot;Ley 2277 de 2022 (art. 78)&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ruta=Leyes/30045028&quot;,&quot;issued&quot;:{&quot;date-parts&quot;:[[2022]]},&quot;language&quot;:&quot;es&quot;,&quot;abstract&quot;:&quot;Adicionó el parágrafo 3 del artículo 580-1 del Estatuto Tributario y reguló el supuesto de menor cuantía no superior a 10 UVT.&quot;,&quot;publisher&quot;:&quot;Congreso de la República de Colombia&quot;},&quot;isTemporary&quot;:false}]},{&quot;citationID&quot;:&quot;MENDELEY_CITATION_ab84af58-f606-4e0b-a4a0-d8806e64a760&quot;,&quot;properties&quot;:{&quot;noteIndex&quot;:0},&quot;isEdited&quot;:false,&quot;manualOverride&quot;:{&quot;isManuallyOverridden&quot;:true,&quot;citeprocText&quot;:&quot;(Decreto 1625 de 2016, Decreto Único Reglamentario en Materia Tributaria, 2016)&quot;,&quot;manualOverrideText&quot;:&quot;(Decreto 1625 de 2016,)&quot;},&quot;citationTag&quot;:&quot;MENDELEY_CITATION_v3_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&quot;,&quot;citationItems&quot;:[{&quot;id&quot;:&quot;260ecd62-e0a5-3e4a-8be2-1a3c323b226d&quot;,&quot;itemData&quot;:{&quot;type&quot;:&quot;legislation&quot;,&quot;id&quot;:&quot;260ecd62-e0a5-3e4a-8be2-1a3c323b226d&quot;,&quot;title&quot;:&quot;Decreto 1625 de 2016, Decreto Único Reglamentario en Materia Tributaria&quot;,&quot;groupId&quot;:&quot;971ce9a8-6561-39c7-bc05-0917ce119c89&quot;,&quot;author&quot;:[{&quot;family&quot;:&quot;Público&quot;,&quot;given&quot;:&quot;Ministerio de Hacienda y Crédito&quot;,&quot;parse-names&quot;:false,&quot;dropping-particle&quot;:&quot;&quot;,&quot;non-dropping-particle&quot;:&quot;&quot;}],&quot;URL&quot;:&quot;https://www.suin-juriscol.gov.co/viewDocument.asp?ruta=Decretos/30030430&quot;,&quot;issued&quot;:{&quot;date-parts&quot;:[[2016]]},&quot;language&quot;:&quot;es&quot;,&quot;abstract&quot;:&quot;Compila la regulación reglamentaria sobre plazos y aspectos operativos de cumplimiento tributario.&quot;,&quot;publisher&quot;:&quot;Ministerio de Hacienda y Crédito Público&quot;},&quot;isTemporary&quot;:false}]},{&quot;citationID&quot;:&quot;MENDELEY_CITATION_41d74888-b857-4125-b2c7-14d96d0188d8&quot;,&quot;properties&quot;:{&quot;noteIndex&quot;:0},&quot;isEdited&quot;:false,&quot;manualOverride&quot;:{&quot;isManuallyOverridden&quot;:true,&quot;citeprocText&quot;:&quot;(Ley 599 de 2000, Código Penal (art. 402), 2000)&quot;,&quot;manualOverrideText&quot;:&quot;la (Ley 599 de 2000, Código Penal (art. 402), 2000)&quot;},&quot;citationTag&quot;:&quot;MENDELEY_CITATION_v3_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3J1dGE9TGV5ZXMvMTY2MzIzMCIsImlzc3VlZCI6eyJkYXRlLXBhcnRzIjpbWzIwMDBdXX0sImxhbmd1YWdlIjoiZXMiLCJhYnN0cmFjdCI6IlRpcGlmaWNhIGxhIG9taXNpw7NuIGRlbCBhZ2VudGUgcmV0ZW5lZG9yIG8gcmVjYXVkYWRvciBwb3Igbm8gY29uc2lnbmFyIHN1bWFzIHJldGVuaWRhcyBvIHJlY2F1ZGFkYXMuIiwicHVibGlzaGVyIjoiQ29uZ3Jlc28gZGUgbGEgUmVww7pibGljYSBkZSBDb2xvbWJpYSJ9LCJpc1RlbXBvcmFyeSI6ZmFsc2V9XX0=&quot;,&quot;citationItems&quot;:[{&quot;id&quot;:&quot;08222dc6-551a-30ae-999b-1261dfcd7152&quot;,&quot;itemData&quot;:{&quot;type&quot;:&quot;legislation&quot;,&quot;id&quot;:&quot;08222dc6-551a-30ae-999b-1261dfcd7152&quot;,&quot;title&quot;:&quot;Ley 599 de 2000, Código Penal (art. 402)&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ruta=Leyes/1663230&quot;,&quot;issued&quot;:{&quot;date-parts&quot;:[[2000]]},&quot;language&quot;:&quot;es&quot;,&quot;abstract&quot;:&quot;Tipifica la omisión del agente retenedor o recaudador por no consignar sumas retenidas o recaudadas.&quot;,&quot;publisher&quot;:&quot;Congreso de la República de Colombia&quot;},&quot;isTemporary&quot;:false}]},{&quot;citationID&quot;:&quot;MENDELEY_CITATION_2b4efe2b-c530-41b3-af03-799e869681e6&quot;,&quot;properties&quot;:{&quot;noteIndex&quot;:0},&quot;isEdited&quot;:false,&quot;manualOverride&quot;:{&quot;isManuallyOverridden&quot;:true,&quot;citeprocText&quot;:&quot;(Ley 1066 de 2006, 2006)&quot;,&quot;manualOverrideText&quot;:&quot;(Ley 1066 de 2006)&quot;},&quot;citationTag&quot;:&quot;MENDELEY_CITATION_v3_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2lkPTE2NzMyNDQiLCJpc3N1ZWQiOnsiZGF0ZS1wYXJ0cyI6W1syMDA2XV19LCJsYW5ndWFnZSI6ImVzIiwiYWJzdHJhY3QiOiJJbnRyb2R1am8gZWwgYW50ZWNlZGVudGUgZGUgY29uc2lkZXJhciBubyBwcmVzZW50YWRhcyBsYXMgZGVjbGFyYWNpb25lcyBkZSByZXRlbmNpw7NuIGVuIGxhIGZ1ZW50ZSBzaW4gcGFnbywgw7p0aWwgcGFyYSByZWNvbnN0cnVpciBlbCB0csOhbnNpdG8gbm9ybWF0aXZvIHByZXZpbyBhbCBhcnTDrWN1bG8gNTgwLTEgRVQuIiwicHVibGlzaGVyIjoiQ29uZ3Jlc28gZGUgbGEgUmVww7pibGljYSBkZSBDb2xvbWJpYSJ9LCJpc1RlbXBvcmFyeSI6ZmFsc2V9XX0=&quot;,&quot;citationItems&quot;:[{&quot;id&quot;:&quot;8a9a3f2b-f3be-34eb-9990-0172c0046372&quot;,&quot;itemData&quot;:{&quot;type&quot;:&quot;legislation&quot;,&quot;id&quot;:&quot;8a9a3f2b-f3be-34eb-9990-0172c0046372&quot;,&quot;title&quot;:&quot;Ley 1066 de 2006&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1673244&quot;,&quot;issued&quot;:{&quot;date-parts&quot;:[[2006]]},&quot;language&quot;:&quot;es&quot;,&quot;abstract&quot;:&quot;Introdujo el antecedente de considerar no presentadas las declaraciones de retención en la fuente sin pago, útil para reconstruir el tránsito normativo previo al artículo 580-1 ET.&quot;,&quot;publisher&quot;:&quot;Congreso de la República de Colombia&quot;},&quot;isTemporary&quot;:false}]},{&quot;citationID&quot;:&quot;MENDELEY_CITATION_22816df1-d778-47d5-9c65-b73bcbb82730&quot;,&quot;properties&quot;:{&quot;noteIndex&quot;:0},&quot;isEdited&quot;:false,&quot;manualOverride&quot;:{&quot;isManuallyOverridden&quot;:true,&quot;citeprocText&quot;:&quot;(Ley 1066 de 2006, 2006)&quot;,&quot;manualOverrideText&quot;:&quot;(Ley 1066 de 2006)&quot;},&quot;citationTag&quot;:&quot;MENDELEY_CITATION_v3_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&quot;,&quot;citationItems&quot;:[{&quot;id&quot;:&quot;8a9a3f2b-f3be-34eb-9990-0172c0046372&quot;,&quot;itemData&quot;:{&quot;type&quot;:&quot;legislation&quot;,&quot;id&quot;:&quot;8a9a3f2b-f3be-34eb-9990-0172c0046372&quot;,&quot;title&quot;:&quot;Ley 1066 de 2006&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1673244&quot;,&quot;issued&quot;:{&quot;date-parts&quot;:[[2006]]},&quot;language&quot;:&quot;es&quot;,&quot;abstract&quot;:&quot;Introdujo el antecedente de considerar no presentadas las declaraciones de retención en la fuente sin pago, útil para reconstruir el tránsito normativo previo al artículo 580-1 ET.&quot;,&quot;publisher&quot;:&quot;Congreso de la República de Colombia&quot;},&quot;isTemporary&quot;:false}]},{&quot;citationID&quot;:&quot;MENDELEY_CITATION_4fcd1cfd-6c4b-4356-982e-645496ff9a7f&quot;,&quot;properties&quot;:{&quot;noteIndex&quot;:0},&quot;isEdited&quot;:false,&quot;manualOverride&quot;:{&quot;isManuallyOverridden&quot;:true,&quot;citeprocText&quot;:&quot;(&lt;i&gt;Sentencia C-883 de 2011&lt;/i&gt;, 2011a)&quot;,&quot;manualOverrideText&quot;:&quot;(Sentencia C-883de 2011)&quot;},&quot;citationTag&quot;:&quot;MENDELEY_CITATION_v3_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J9LCJpc1RlbXBvcmFyeSI6ZmFsc2V9XX0=&quot;,&quot;citationItems&quot;:[{&quot;id&quot;:&quot;d8504ec6-a3ec-3b87-89c7-8e2402f91024&quot;,&quot;itemData&quot;:{&quot;type&quot;:&quot;legal_case&quot;,&quot;id&quot;:&quot;d8504ec6-a3ec-3b87-89c7-8e2402f91024&quot;,&quot;title&quot;:&quot;Sentencia C-883 de 2011&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20043004&quot;,&quot;issued&quot;:{&quot;date-parts&quot;:[[2011]]},&quot;language&quot;:&quot;es&quot;,&quot;abstract&quot;:&quot;Examinó el artículo 15 de la Ley 1430 de 2010 y aspectos conexos del régimen de ineficacia de las declaraciones de retención en la fuente.&quot;,&quot;publisher&quot;:&quot;Corte Constitucional de Colombia&quot;},&quot;isTemporary&quot;:false}]},{&quot;citationID&quot;:&quot;MENDELEY_CITATION_e0e2edb6-880e-45bc-a89a-975d93186e44&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ZTBlMmVkYjYtODgwZS00NWJjLWE4OWEtOTc1ZDkzMTg2ZTQ0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858989bf-b1c2-4d83-93c3-50eacac9be64&quot;,&quot;properties&quot;:{&quot;noteIndex&quot;:0},&quot;isEdited&quot;:false,&quot;manualOverride&quot;:{&quot;isManuallyOverridden&quot;:true,&quot;citeprocText&quot;:&quot;(&lt;i&gt;Sentencia C-203 de 2021&lt;/i&gt;, 2021)&quot;,&quot;manualOverrideText&quot;:&quot;(Sentencia C-203 de 2021)&quot;},&quot;citationTag&quot;:&quot;MENDELEY_CITATION_v3_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&quot;,&quot;citationItems&quot;:[{&quot;id&quot;:&quot;da00900c-bddd-3e83-a06d-bbf612621ab1&quot;,&quot;itemData&quot;:{&quot;type&quot;:&quot;legal_case&quot;,&quot;id&quot;:&quot;da00900c-bddd-3e83-a06d-bbf612621ab1&quot;,&quot;title&quot;:&quot;Sentencia C-203 de 2021&quot;,&quot;groupId&quot;:&quot;971ce9a8-6561-39c7-bc05-0917ce119c89&quot;,&quot;author&quot;:[{&quot;family&quot;:&quot;Colombia&quot;,&quot;given&quot;:&quot;Corte Constitucional&quot;,&quot;parse-names&quot;:false,&quot;dropping-particle&quot;:&quot;de&quot;,&quot;non-dropping-particle&quot;:&quot;&quot;}],&quot;URL&quot;:&quot;https://www.corteconstitucional.gov.co/relatoria/2021/C-203-21.htm&quot;,&quot;issued&quot;:{&quot;date-parts&quot;:[[2021]]},&quot;language&quot;:&quot;es&quot;,&quot;abstract&quot;:&quot;Revisó nuevamente la constitucionalidad de la regla que niega efectos legales a las declaraciones de retención presentadas sin pago total.&quot;,&quot;publisher&quot;:&quot;Corte Constitucional de Colombia&quot;},&quot;isTemporary&quot;:false}]},{&quot;citationID&quot;:&quot;MENDELEY_CITATION_69de49b1-ce75-471c-b0d1-c6098348a0f5&quot;,&quot;properties&quot;:{&quot;noteIndex&quot;:0},&quot;isEdited&quot;:false,&quot;manualOverride&quot;:{&quot;isManuallyOverridden&quot;:false,&quot;citeprocText&quot;:&quot;(DIAN, 2019)&quot;,&quot;manualOverrideText&quot;:&quot;&quot;},&quot;citationTag&quot;:&quot;MENDELEY_CITATION_v3_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&quot;,&quot;citationItems&quot;:[{&quot;id&quot;:&quot;0e534874-a311-3b31-b68b-26716c3c1021&quot;,&quot;itemData&quot;:{&quot;type&quot;:&quot;report&quot;,&quot;id&quot;:&quot;0e534874-a311-3b31-b68b-26716c3c1021&quot;,&quot;title&quot;:&quot;Oficio 29278 de 2019&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29278_2019.htm&quot;,&quot;issued&quot;:{&quot;date-parts&quot;:[[2019]]},&quot;language&quot;:&quot;es&quot;,&quot;abstract&quot;:&quot;Precisa la aplicación del artículo 580-1 ET y las condiciones excepcionales relacionadas con saldo a favor y pago.&quot;,&quot;publisher&quot;:&quot;DIAN&quot;},&quot;isTemporary&quot;:false}]},{&quot;citationID&quot;:&quot;MENDELEY_CITATION_acbef838-d408-4681-8289-df4b5f5c6539&quot;,&quot;properties&quot;:{&quot;noteIndex&quot;:0},&quot;isEdited&quot;:false,&quot;manualOverride&quot;:{&quot;isManuallyOverridden&quot;:true,&quot;citeprocText&quot;:&quot;(DIAN, 2020a)&quot;,&quot;manualOverrideText&quot;:&quot;(DIAN, 2020)&quot;},&quot;citationTag&quot;:&quot;MENDELEY_CITATION_v3_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MjYzOV8yMDIwLmh0bSIsImlzc3VlZCI6eyJkYXRlLXBhcnRzIjpbWzIwMjBdXX0sImxhbmd1YWdlIjoiZXMiLCJhYnN0cmFjdCI6IlByZWNpc8OzIHF1ZSBsYSBkZWNsYXJhY2nDs24gcHJlc2VudGFkYSBzaW4gcGFnbyB0b3RhbCBhbnRlcyBkZWwgdmVuY2ltaWVudG8gcHJvZHVjZSBlZmVjdG9zIHNpIGVsIHBhZ28gdG90YWwgc2UgZWZlY3TDumEgZGVudHJvIGRlIGxvcyBkb3MgbWVzZXMgc2lndWllbnRlcy4iLCJwdWJsaXNoZXIiOiJESUFOIn0sImlzVGVtcG9yYXJ5IjpmYWxzZX1dfQ==&quot;,&quot;citationItems&quot;:[{&quot;id&quot;:&quot;0ad9476b-c772-3a46-924a-0a6df49ed796&quot;,&quot;itemData&quot;:{&quot;type&quot;:&quot;report&quot;,&quot;id&quot;:&quot;0ad9476b-c772-3a46-924a-0a6df49ed796&quot;,&quot;title&quot;:&quot;Oficio 902639 de 2020&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02639_2020.htm&quot;,&quot;issued&quot;:{&quot;date-parts&quot;:[[2020]]},&quot;language&quot;:&quot;es&quot;,&quot;abstract&quot;:&quot;Precisó que la declaración presentada sin pago total antes del vencimiento produce efectos si el pago total se efectúa dentro de los dos meses siguientes.&quot;,&quot;publisher&quot;:&quot;DIAN&quot;},&quot;isTemporary&quot;:false}]},{&quot;citationID&quot;:&quot;MENDELEY_CITATION_40ef18ee-9e66-4353-b126-f9640128441c&quot;,&quot;properties&quot;:{&quot;noteIndex&quot;:0},&quot;isEdited&quot;:false,&quot;manualOverride&quot;:{&quot;isManuallyOverridden&quot;:true,&quot;citeprocText&quot;:&quot;(DIAN, 2020b)&quot;,&quot;manualOverrideText&quot;:&quot;(DIAN, 2020)&quot;},&quot;citationTag&quot;:&quot;MENDELEY_CITATION_v3_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xMDYxOV8yMDIwLmh0bSIsImlzc3VlZCI6eyJkYXRlLXBhcnRzIjpbWzIwMjBdXX0sImxhbmd1YWdlIjoiZXMiLCJhYnN0cmFjdCI6IkRlc2Fycm9sbMOzIGVsIGNhcsOhY3RlciBkZSB0w610dWxvIGVqZWN1dGl2byBkZSBsYSBkZWNsYXJhY2nDs24gaW5pY2lhbG1lbnRlIHByZXNlbnRhZGEgeSBsYSBmaW5hbGlkYWQgcmVjYXVkYXRvcmlhIGRlIGxhIG1vZGlmaWNhY2nDs24gaW50cm9kdWNpZGEgcG9yIGxhIExleSAyMDEwIGRlIDIwMTkuIiwicHVibGlzaGVyIjoiRElBTiJ9LCJpc1RlbXBvcmFyeSI6ZmFsc2V9XX0=&quot;,&quot;citationItems&quot;:[{&quot;id&quot;:&quot;c7017785-f767-38ff-be2c-ace5916499ab&quot;,&quot;itemData&quot;:{&quot;type&quot;:&quot;report&quot;,&quot;id&quot;:&quot;c7017785-f767-38ff-be2c-ace5916499ab&quot;,&quot;title&quot;:&quot;Oficio 910619 de 2020&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10619_2020.htm&quot;,&quot;issued&quot;:{&quot;date-parts&quot;:[[2020]]},&quot;language&quot;:&quot;es&quot;,&quot;abstract&quot;:&quot;Desarrolló el carácter de título ejecutivo de la declaración inicialmente presentada y la finalidad recaudatoria de la modificación introducida por la Ley 2010 de 2019.&quot;,&quot;publisher&quot;:&quot;DIAN&quot;},&quot;isTemporary&quot;:false}]},{&quot;citationID&quot;:&quot;MENDELEY_CITATION_e47bd058-2d4e-45d6-89dd-5159b60ac52f&quot;,&quot;properties&quot;:{&quot;noteIndex&quot;:0},&quot;isEdited&quot;:false,&quot;manualOverride&quot;:{&quot;isManuallyOverridden&quot;:true,&quot;citeprocText&quot;:&quot;(DIAN, 2021a)&quot;,&quot;manualOverrideText&quot;:&quot;(DIAN, 2021)&quot;},&quot;citationTag&quot;:&quot;MENDELEY_CITATION_v3_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NTU0NF8yMDIxLmh0bSIsImlzc3VlZCI6eyJkYXRlLXBhcnRzIjpbWzIwMjFdXX0sImxhbmd1YWdlIjoiZXMiLCJhYnN0cmFjdCI6IlNpc3RlbWF0aXrDsyByZXNwdWVzdGFzIHNvYnJlIGVmaWNhY2lhLCBjb2JybyBjb2FjdGl2byB5IGNvcnJlY2Npw7NuIGRlIGRlY2xhcmFjaW9uZXMgaW5lZmljYWNlcy4iLCJwdWJsaXNoZXIiOiJESUFOIn0sImlzVGVtcG9yYXJ5IjpmYWxzZX1dfQ==&quot;,&quot;citationItems&quot;:[{&quot;id&quot;:&quot;4b4158cb-94fe-386f-8942-6c55ca54203c&quot;,&quot;itemData&quot;:{&quot;type&quot;:&quot;report&quot;,&quot;id&quot;:&quot;4b4158cb-94fe-386f-8942-6c55ca54203c&quot;,&quot;title&quot;:&quot;Oficio 905544 de 2021&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05544_2021.htm&quot;,&quot;issued&quot;:{&quot;date-parts&quot;:[[2021]]},&quot;language&quot;:&quot;es&quot;,&quot;abstract&quot;:&quot;Sistematizó respuestas sobre eficacia, cobro coactivo y corrección de declaraciones ineficaces.&quot;,&quot;publisher&quot;:&quot;DIAN&quot;},&quot;isTemporary&quot;:false}]},{&quot;citationID&quot;:&quot;MENDELEY_CITATION_63d33104-f6ea-42c4-bab9-a70526f65d3f&quot;,&quot;properties&quot;:{&quot;noteIndex&quot;:0},&quot;isEdited&quot;:false,&quot;manualOverride&quot;:{&quot;isManuallyOverridden&quot;:true,&quot;citeprocText&quot;:&quot;(DIAN, 2021b)&quot;,&quot;manualOverrideText&quot;:&quot;(DIAN, 2021)&quot;},&quot;citationTag&quot;:&quot;MENDELEY_CITATION_v3_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NTU0NV8yMDIxLmh0bSIsImlzc3VlZCI6eyJkYXRlLXBhcnRzIjpbWzIwMjFdXX0sImxhbmd1YWdlIjoiZXMiLCJhYnN0cmFjdCI6IlJlaXRlcsOzIHF1ZSBubyBlcyBwb3NpYmxlIGNvcnJlZ2lyIHVuYSBkZWNsYXJhY2nDs24gZGUgcmV0ZW5jacOzbiBlbiBsYSBmdWVudGUgaW5lZmljYXo7IGRlYmUgcHJlc2VudGFyc2UgbnVldmFtZW50ZSBjb24gcGFnbyB0b3RhbCwgc2FuY2nDs24gcG9yIGV4dGVtcG9yYW5laWRhZCBlIGludGVyZXNlcy4iLCJwdWJsaXNoZXIiOiJESUFOIn0sImlzVGVtcG9yYXJ5IjpmYWxzZX1dfQ==&quot;,&quot;citationItems&quot;:[{&quot;id&quot;:&quot;ca219fdd-e952-36d5-891e-a292c4a6896a&quot;,&quot;itemData&quot;:{&quot;type&quot;:&quot;report&quot;,&quot;id&quot;:&quot;ca219fdd-e952-36d5-891e-a292c4a6896a&quot;,&quot;title&quot;:&quot;Oficio 905545 de 2021&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05545_2021.htm&quot;,&quot;issued&quot;:{&quot;date-parts&quot;:[[2021]]},&quot;language&quot;:&quot;es&quot;,&quot;abstract&quot;:&quot;Reiteró que no es posible corregir una declaración de retención en la fuente ineficaz; debe presentarse nuevamente con pago total, sanción por extemporaneidad e intereses.&quot;,&quot;publisher&quot;:&quot;DIAN&quot;},&quot;isTemporary&quot;:false}]},{&quot;citationID&quot;:&quot;MENDELEY_CITATION_806a9310-0524-476e-81c3-4b4972cda0af&quot;,&quot;properties&quot;:{&quot;noteIndex&quot;:0},&quot;isEdited&quot;:false,&quot;manualOverride&quot;:{&quot;isManuallyOverridden&quot;:true,&quot;citeprocText&quot;:&quot;(DIAN, 2021c)&quot;,&quot;manualOverrideText&quot;:&quot;(DIAN, 2021)&quot;},&quot;citationTag&quot;:&quot;MENDELEY_CITATION_v3_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xMzYzNl8yMDIxLmh0bSIsImlzc3VlZCI6eyJkYXRlLXBhcnRzIjpbWzIwMjFdXX0sImxhbmd1YWdlIjoiZXMiLCJhYnN0cmFjdCI6IkFuYWxpesOzIGxhIGFwbGljYWNpw7NuIGRlbCBhcnTDrWN1bG8gNDUgZGUgbGEgTGV5IDIxNTUgZGUgMjAyMSBhIGRlY2xhcmFjaW9uZXMgZGUgcmV0ZW5jacOzbiBlbiBsYSBmdWVudGUgaW5lZmljYWNlcy4iLCJwdWJsaXNoZXIiOiJESUFOIn0sImlzVGVtcG9yYXJ5IjpmYWxzZX1dfQ==&quot;,&quot;citationItems&quot;:[{&quot;id&quot;:&quot;2608e9bb-4960-3a27-9559-2164ff66a54e&quot;,&quot;itemData&quot;:{&quot;type&quot;:&quot;report&quot;,&quot;id&quot;:&quot;2608e9bb-4960-3a27-9559-2164ff66a54e&quot;,&quot;title&quot;:&quot;Oficio 913636 de 2021&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13636_2021.htm&quot;,&quot;issued&quot;:{&quot;date-parts&quot;:[[2021]]},&quot;language&quot;:&quot;es&quot;,&quot;abstract&quot;:&quot;Analizó la aplicación del artículo 45 de la Ley 2155 de 2021 a declaraciones de retención en la fuente ineficaces.&quot;,&quot;publisher&quot;:&quot;DIAN&quot;},&quot;isTemporary&quot;:false}]},{&quot;citationID&quot;:&quot;MENDELEY_CITATION_9dd37449-9273-4ea8-b818-ec1e4ce5f964&quot;,&quot;properties&quot;:{&quot;noteIndex&quot;:0},&quot;isEdited&quot;:false,&quot;manualOverride&quot;:{&quot;isManuallyOverridden&quot;:false,&quot;citeprocText&quot;:&quot;(DIAN, 2023)&quot;,&quot;manualOverrideText&quot;:&quot;&quot;},&quot;citationTag&quot;:&quot;MENDELEY_CITATION_v3_eyJjaXRhdGlvbklEIjoiTUVOREVMRVlfQ0lUQVRJT05fOWRkMzc0NDktOTI3My00ZWE4LWI4MTgtZWMxZTRjZTVmOTY0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quot;,&quot;citationItems&quot;:[{&quot;id&quot;:&quot;e3f14b91-6e77-3399-ae53-63f26f72fe51&quot;,&quot;itemData&quot;:{&quot;type&quot;:&quot;report&quot;,&quot;id&quot;:&quot;e3f14b91-6e77-3399-ae53-63f26f72fe51&quot;,&quot;title&quot;:&quot;Oficio 4638 de 2023&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4638_2023.htm&quot;,&quot;issued&quot;:{&quot;date-parts&quot;:[[2023]]},&quot;language&quot;:&quot;es&quot;,&quot;abstract&quot;:&quot;Diferenció los efectos de la declaración sin pago total para el agente retenedor y para la administración, destacando su mérito ejecutivo.&quot;,&quot;publisher&quot;:&quot;DIAN&quot;},&quot;isTemporary&quot;:false}]},{&quot;citationID&quot;:&quot;MENDELEY_CITATION_b44b8089-b01e-46e8-a112-9c1a23949391&quot;,&quot;properties&quot;:{&quot;noteIndex&quot;:0},&quot;isEdited&quot;:false,&quot;manualOverride&quot;:{&quot;isManuallyOverridden&quot;:false,&quot;citeprocText&quot;:&quot;(DIAN, 2024a)&quot;,&quot;manualOverrideText&quot;:&quot;&quot;},&quot;citationTag&quot;:&quot;MENDELEY_CITATION_v3_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4Njc4XzIwMjQuaHRtIiwiaXNzdWVkIjp7ImRhdGUtcGFydHMiOltbMjAyNF1dfSwibGFuZ3VhZ2UiOiJlcyIsImFic3RyYWN0IjoiUHJlY2lzw7MgbGEgaW50ZXJwcmV0YWNpw7NuIGRlbCBpbmNpc28gNSBkZWwgYXJ0w61jdWxvIDU4MC0xLCBlbCBhbGNhbmNlIGRlbCB2ZW5jaW1pZW50byBkZWwgcGxhem8gcGFyYSBkZWNsYXJhciB5IGxhIG5lY2VzaWRhZCBkZSBwcmVzZW50YXIgZGUgbnVldm8gbGEgZGVjbGFyYWNpw7NuIGN1YW5kbyBvcGVyYSBsYSBpbmVmaWNhY2lhLiIsInB1Ymxpc2hlciI6IkRJQU4ifSwiaXNUZW1wb3JhcnkiOmZhbHNlfV19&quot;,&quot;citationItems&quot;:[{&quot;id&quot;:&quot;1a61f7f1-5d21-346a-8542-532bf12f11e8&quot;,&quot;itemData&quot;:{&quot;type&quot;:&quot;report&quot;,&quot;id&quot;:&quot;1a61f7f1-5d21-346a-8542-532bf12f11e8&quot;,&quot;title&quot;:&quot;Concepto 8678 de 2024&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8678_2024.htm&quot;,&quot;issued&quot;:{&quot;date-parts&quot;:[[2024]]},&quot;language&quot;:&quot;es&quot;,&quot;abstract&quot;:&quot;Precisó la interpretación del inciso 5 del artículo 580-1, el alcance del vencimiento del plazo para declarar y la necesidad de presentar de nuevo la declaración cuando opera la ineficacia.&quot;,&quot;publisher&quot;:&quot;DIAN&quot;},&quot;isTemporary&quot;:false}]},{&quot;citationID&quot;:&quot;MENDELEY_CITATION_5f85dbcd-5e22-4eff-9ea1-7b1191c0ba70&quot;,&quot;properties&quot;:{&quot;noteIndex&quot;:0},&quot;isEdited&quot;:false,&quot;manualOverride&quot;:{&quot;isManuallyOverridden&quot;:false,&quot;citeprocText&quot;:&quot;(DIAN, 2025)&quot;,&quot;manualOverrideText&quot;:&quot;&quot;},&quot;citationTag&quot;:&quot;MENDELEY_CITATION_v3_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xNjIyNF8yMDI1Lmh0bSIsImlzc3VlZCI6eyJkYXRlLXBhcnRzIjpbWzIwMjVdXX0sImxhbmd1YWdlIjoiZXMiLCJhYnN0cmFjdCI6IlJlaXRlcmEgZWwgYWxjYW5jZSBkZWwgaW5jaXNvIHF1aW50byBkZWwgYXJ0w61jdWxvIDU4MC0xIEVUIHNvYnJlIGVsIHBhZ28gdG90YWwgZGVudHJvIGRlIGxvcyBkb3MgbWVzZXMgc2lndWllbnRlcyBhbCB2ZW5jaW1pZW50byBkZWwgcGxhem8gcGFyYSBkZWNsYXJhci4iLCJwdWJsaXNoZXIiOiJESUFOIn0sImlzVGVtcG9yYXJ5IjpmYWxzZX1dfQ==&quot;,&quot;citationItems&quot;:[{&quot;id&quot;:&quot;6919cb46-e4e1-3b40-b614-fa115d5ead7f&quot;,&quot;itemData&quot;:{&quot;type&quot;:&quot;report&quot;,&quot;id&quot;:&quot;6919cb46-e4e1-3b40-b614-fa115d5ead7f&quot;,&quot;title&quot;:&quot;Concepto 16224 de 2025&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16224_2025.htm&quot;,&quot;issued&quot;:{&quot;date-parts&quot;:[[2025]]},&quot;language&quot;:&quot;es&quot;,&quot;abstract&quot;:&quot;Reitera el alcance del inciso quinto del artículo 580-1 ET sobre el pago total dentro de los dos meses siguientes al vencimiento del plazo para declarar.&quot;,&quot;publisher&quot;:&quot;DIAN&quot;},&quot;isTemporary&quot;:false}]},{&quot;citationID&quot;:&quot;MENDELEY_CITATION_76e7e167-6534-4ee6-836f-120d0cbacad2&quot;,&quot;properties&quot;:{&quot;noteIndex&quot;:0},&quot;isEdited&quot;:false,&quot;manualOverride&quot;:{&quot;isManuallyOverridden&quot;:false,&quot;citeprocText&quot;:&quot;(Saldarriaga Ramírez, 2024)&quot;,&quot;manualOverrideText&quot;:&quot;&quot;},&quot;citationTag&quot;:&quot;MENDELEY_CITATION_v3_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&quot;,&quot;citationItems&quot;:[{&quot;id&quot;:&quot;2f3ef643-f428-3c3f-b6c9-6e7177e1ce29&quot;,&quot;itemData&quot;:{&quot;type&quot;:&quot;thesis&quot;,&quot;id&quot;:&quot;2f3ef643-f428-3c3f-b6c9-6e7177e1ce29&quot;,&quot;title&quot;:&quot;Ineficacia de las declaraciones de retención en la fuente. Un análisis comparativo frente a los cambios normativos de los años 2011 al 2023 y su relación con la debida gestión de cobro por parte de la DIAN seccional Villavicencio&quot;,&quot;groupId&quot;:&quot;971ce9a8-6561-39c7-bc05-0917ce119c89&quot;,&quot;author&quot;:[{&quot;family&quot;:&quot;Saldarriaga Ramírez&quot;,&quot;given&quot;:&quot;Sandra Andrea&quot;,&quot;parse-names&quot;:false,&quot;dropping-particle&quot;:&quot;&quot;,&quot;non-dropping-particle&quot;:&quot;&quot;}],&quot;URL&quot;:&quot;https://bdigital.uexternado.edu.co/entities/publication/3ec883d7-845e-490b-82b7-dabaf430d714&quot;,&quot;issued&quot;:{&quot;date-parts&quot;:[[2024]]},&quot;language&quot;:&quot;es&quot;,&quot;abstract&quot;:&quot;Analiza comparativamente la evolución normativa de la figura y su relación con la gestión de cobro de una seccional DIAN.&quot;},&quot;isTemporary&quot;:false}]},{&quot;citationID&quot;:&quot;MENDELEY_CITATION_30dcfc4e-7230-4f9f-9cb2-6f818ce75d67&quot;,&quot;properties&quot;:{&quot;noteIndex&quot;:0},&quot;isEdited&quot;:false,&quot;manualOverride&quot;:{&quot;isManuallyOverridden&quot;:true,&quot;citeprocText&quot;:&quot;(Camacho Tovar, 2021b)&quot;,&quot;manualOverrideText&quot;:&quot;, (Camacho Tovar, 2021)&quot;},&quot;citationTag&quot;:&quot;MENDELEY_CITATION_v3_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&quot;,&quot;citationItems&quot;:[{&quot;id&quot;:&quot;3229a9ec-a276-39f4-9195-ec158115fa05&quot;,&quot;itemData&quot;:{&quot;type&quot;:&quot;article-journal&quot;,&quot;id&quot;:&quot;3229a9ec-a276-39f4-9195-ec158115fa05&quot;,&quot;title&quot;:&quot;Retención en la fuente para efectos del impuesto sobre la renta en ingresos de la cédula del trabajo: análisis del caso de los docentes catedráticos y personas naturales con vinculación múltiple en Colombia&quot;,&quot;groupId&quot;:&quot;971ce9a8-6561-39c7-bc05-0917ce119c89&quot;,&quot;author&quot;:[{&quot;family&quot;:&quot;Camacho Tovar&quot;,&quot;given&quot;:&quot;Paola Andrea&quot;,&quot;parse-names&quot;:false,&quot;dropping-particle&quot;:&quot;&quot;,&quot;non-dropping-particle&quot;:&quot;&quot;}],&quot;issued&quot;:{&quot;date-parts&quot;:[[2021,7]]},&quot;page&quot;:&quot;133-159&quot;,&quot;abstract&quot;:&quot;Resumen La retención en la fuente, para efectos del impuesto sobre la renta en ingresos de rentas de trabajo, presentó cambios con la Ley 1819 de 2016 e implantó el sistema cedular, lo cual representó inestabilidad e incertidumbre jurídica a los agentes de retención al mo-mento de aplicar la norma. Así mismo, se analiza la responsabilidad de los agentes de retención como responsa-bles solidarios de la obligación principal del contribuyente, y el impacto en términos financieros de la aplicación de la normatividad actual, específicamente en los casos de docentes de cátedra y personas naturales con vinculación múltiple. Palabras clave: retención en la fuente; rentas de trabajo; docentes de cátedra; personas naturales con vinculación múltiple; sistema de seguridad social; contratos de prestación de servicio; contrato con vinculación laboral o legal y reglamentaria. Abstract The withholding at source for income tax purposes in income from work income presented changes with Law 1819 of 2016 and implemented the ID system; presenting the same, instability and legal uncertainty to the retention agents at the time of applying the rule. Likewise, the responsibility of withholding agents is analyzed as joint and severally liable for the main obligation of the taxpayer and the impact in financial terms of the application of current regulations, specifically in the cases of university professors and natural persons with multiple ties.&quot;},&quot;isTemporary&quot;:false}]},{&quot;citationID&quot;:&quot;MENDELEY_CITATION_dd847bf7-a6cf-44b7-b983-bc61806ceec9&quot;,&quot;properties&quot;:{&quot;noteIndex&quot;:0},&quot;isEdited&quot;:false,&quot;manualOverride&quot;:{&quot;isManuallyOverridden&quot;:true,&quot;citeprocText&quot;:&quot;(Espinosa Díaz et al., 2021b)&quot;,&quot;manualOverrideText&quot;:&quot;(Espinosa Díaz et al., 2021)&quot;},&quot;citationTag&quot;:&quot;MENDELEY_CITATION_v3_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S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J9LCJpc1RlbXBvcmFyeSI6ZmFsc2V9XX0=&quot;,&quot;citationItems&quot;:[{&quot;id&quot;:&quot;5e51cd91-186f-3e18-9d9c-33da8acf17f6&quot;,&quot;itemData&quot;:{&quot;type&quot;:&quot;article-journal&quot;,&quot;id&quot;:&quot;5e51cd91-186f-3e18-9d9c-33da8acf17f6&quot;,&quot;title&quot;:&quot;Cultura tributaria como estrategia para prevenir el incumplimiento de los deberes formales del contribuyente&quot;,&quot;groupId&quot;:&quot;971ce9a8-6561-39c7-bc05-0917ce119c89&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1,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isTemporary&quot;:false}]},{&quot;citationID&quot;:&quot;MENDELEY_CITATION_7f73c801-cf74-4aea-a6ad-a22dd70faeab&quot;,&quot;properties&quot;:{&quot;noteIndex&quot;:0},&quot;isEdited&quot;:false,&quot;manualOverride&quot;:{&quot;isManuallyOverridden&quot;:false,&quot;citeprocText&quot;:&quot;(Rueda Mantilla, 2017)&quot;,&quot;manualOverrideText&quot;:&quot;&quot;},&quot;citationTag&quot;:&quot;MENDELEY_CITATION_v3_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&quot;,&quot;citationItems&quot;:[{&quot;id&quot;:&quot;5d287106-73f2-3c0b-81a0-5ad3c80ad732&quot;,&quot;itemData&quot;:{&quot;type&quot;:&quot;article-journal&quot;,&quot;id&quot;:&quot;5d287106-73f2-3c0b-81a0-5ad3c80ad732&quot;,&quot;title&quot;:&quot;Improcedencia de las sanciones por extemporaneidad y por no declarar cuando se presenta oportunamente la declaración de retención en la fuente sin pago total&quot;,&quot;groupId&quot;:&quot;971ce9a8-6561-39c7-bc05-0917ce119c89&quot;,&quot;author&quot;:[{&quot;family&quot;:&quot;Rueda Mantilla&quot;,&quot;given&quot;:&quot;David&quot;,&quot;parse-names&quot;:false,&quot;dropping-particle&quot;:&quot;&quot;,&quot;non-dropping-particle&quot;:&quot;&quot;}],&quot;container-title&quot;:&quot;Revista de Derecho Fiscal&quot;,&quot;DOI&quot;:&quot;10.18601/16926722.n11.03&quot;,&quot;ISSN&quot;:&quot;1692-6722&quot;,&quot;issued&quot;:{&quot;date-parts&quot;:[[2017,12,13]]},&quot;page&quot;:&quot;53-70&quot;,&quot;abstract&quot;:&quot;El artículo 15 de la Ley 1430 de 2010 estableció que “las declaraciones de retención en la fuente presentadas sin pago total no producirán efecto legal alguno, sin necesidad de acto administrativo que así lo declare”. Con esta norma, se ha entendido que, para todos los efectos legales, presentar una declaración de retención en la fuente sin pago es equiparable a no presentarla. Por esta razón, existe la creencia generalizada de que proceden las sanciones por extemporaneidad y por no declarar cuando un agente retenedor presenta dicha declaración sin pago total. En el presente artículo se argumenta que cuando esto ocurre, el agente retenedor no ha incurrido en ninguna conducta que amerite la imposición de dichas sanciones, de conformidad con una interpretación armónica del ordenamiento tributario&quot;,&quot;publisher&quot;:&quot;Universidad Externado de Colombia&quot;,&quot;issue&quot;:&quot;11&quot;},&quot;isTemporary&quot;:false}]},{&quot;citationID&quot;:&quot;MENDELEY_CITATION_c679a877-5eb4-4a33-9e6d-5060356788a9&quot;,&quot;properties&quot;:{&quot;noteIndex&quot;:0},&quot;isEdited&quot;:false,&quot;manualOverride&quot;:{&quot;isManuallyOverridden&quot;:false,&quot;citeprocText&quot;:&quot;(Rincón Palacio, 2018a)&quot;,&quot;manualOverrideText&quot;:&quot;&quot;},&quot;citationTag&quot;:&quot;MENDELEY_CITATION_v3_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&quot;,&quot;citationItems&quot;:[{&quot;id&quot;:&quot;5bb24bd0-332f-3058-a16a-843211a18abb&quot;,&quot;itemData&quot;:{&quot;type&quot;:&quot;article-journal&quot;,&quot;id&quot;:&quot;5bb24bd0-332f-3058-a16a-843211a18abb&quot;,&quot;title&quot;:&quot;Problemática asociada a la consagración de la ineficacia de las declaraciones de retención en la fuente&quot;,&quot;groupId&quot;:&quot;971ce9a8-6561-39c7-bc05-0917ce119c89&quot;,&quot;author&quot;:[{&quot;family&quot;:&quot;Rincón Palacio&quot;,&quot;given&quot;:&quot;Adriana Paola&quot;,&quot;parse-names&quot;:false,&quot;dropping-particle&quot;:&quot;&quot;,&quot;non-dropping-particle&quot;:&quot;&quot;}],&quot;container-title&quot;:&quot;Revista de Derecho Fiscal&quot;,&quot;DOI&quot;:&quot;10.18601/16926722.n13.10&quot;,&quot;URL&quot;:&quot;https://revistas.uexternado.edu.co/index.php/fiscal/article/view/5684&quot;,&quot;issued&quot;:{&quot;date-parts&quot;:[[2018]]},&quot;page&quot;:&quot;273-312&quot;,&quot;language&quot;:&quot;es&quot;,&quot;abstract&quot;:&quot;Analiza las dificultades prácticas de cobro y ejecución asociadas a las declaraciones ineficaces.&quot;,&quot;issue&quot;:&quot;13&quot;},&quot;isTemporary&quot;:false}]},{&quot;citationID&quot;:&quot;MENDELEY_CITATION_b997be56-2ac7-4a35-a956-534749e98d15&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Yjk5N2JlNTYtMmFjNy00YTM1LWE5NTYtNTM0NzQ5ZTk4ZDE1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8dff3057-1054-4e39-91ea-1e099aeea8b7&quot;,&quot;properties&quot;:{&quot;noteIndex&quot;:0},&quot;isEdited&quot;:false,&quot;manualOverride&quot;:{&quot;isManuallyOverridden&quot;:false,&quot;citeprocText&quot;:&quot;(Decreto 1625 de 2016, Decreto Único Reglamentario en Materia Tributaria, 2016)&quot;,&quot;manualOverrideText&quot;:&quot;&quot;},&quot;citationTag&quot;:&quot;MENDELEY_CITATION_v3_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&quot;,&quot;citationItems&quot;:[{&quot;id&quot;:&quot;260ecd62-e0a5-3e4a-8be2-1a3c323b226d&quot;,&quot;itemData&quot;:{&quot;type&quot;:&quot;legislation&quot;,&quot;id&quot;:&quot;260ecd62-e0a5-3e4a-8be2-1a3c323b226d&quot;,&quot;title&quot;:&quot;Decreto 1625 de 2016, Decreto Único Reglamentario en Materia Tributaria&quot;,&quot;groupId&quot;:&quot;971ce9a8-6561-39c7-bc05-0917ce119c89&quot;,&quot;author&quot;:[{&quot;family&quot;:&quot;Público&quot;,&quot;given&quot;:&quot;Ministerio de Hacienda y Crédito&quot;,&quot;parse-names&quot;:false,&quot;dropping-particle&quot;:&quot;&quot;,&quot;non-dropping-particle&quot;:&quot;&quot;}],&quot;URL&quot;:&quot;https://www.suin-juriscol.gov.co/viewDocument.asp?ruta=Decretos/30030430&quot;,&quot;issued&quot;:{&quot;date-parts&quot;:[[2016]]},&quot;language&quot;:&quot;es&quot;,&quot;abstract&quot;:&quot;Compila la regulación reglamentaria sobre plazos y aspectos operativos de cumplimiento tributario.&quot;,&quot;publisher&quot;:&quot;Ministerio de Hacienda y Crédito Público&quot;},&quot;isTemporary&quot;:false}]},{&quot;citationID&quot;:&quot;MENDELEY_CITATION_80c53efb-357d-40e0-b585-1d9ecc8d5501&quot;,&quot;properties&quot;:{&quot;noteIndex&quot;:0},&quot;isEdited&quot;:false,&quot;manualOverride&quot;:{&quot;isManuallyOverridden&quot;:true,&quot;citeprocText&quot;:&quot;(Hernández Sampieri &amp;#38; Mendoza Torres, 2018)&quot;,&quot;manualOverrideText&quot;:&quot;(Hernández Sampieri &amp; Mendoza Torres, 2018)&quot;},&quot;citationTag&quot;:&quot;MENDELEY_CITATION_v3_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&quot;,&quot;citationItems&quot;:[{&quot;id&quot;:&quot;38282c7a-3a12-3218-8f05-ad3adcc9e1cb&quot;,&quot;itemData&quot;:{&quot;type&quot;:&quot;book&quot;,&quot;id&quot;:&quot;38282c7a-3a12-3218-8f05-ad3adcc9e1cb&quot;,&quot;title&quot;:&quot;Metodología de la investigación : las rutas cuantitativa, cualitativa y mixta&quot;,&quot;groupId&quot;:&quot;971ce9a8-6561-39c7-bc05-0917ce119c89&quot;,&quot;author&quot;:[{&quot;family&quot;:&quot;Hernández Sampieri&quot;,&quot;given&quot;:&quot;Roberto.&quot;,&quot;parse-names&quot;:false,&quot;dropping-particle&quot;:&quot;&quot;,&quot;non-dropping-particle&quot;:&quot;&quot;},{&quot;family&quot;:&quot;Mendoza Torres&quot;,&quot;given&quot;:&quot;Christian Paulina.&quot;,&quot;parse-names&quot;:false,&quot;dropping-particle&quot;:&quot;&quot;,&quot;non-dropping-particle&quot;:&quot;&quot;}],&quot;ISBN&quot;:&quot;9781456260965&quot;,&quot;issued&quot;:{&quot;date-parts&quot;:[[2018]]},&quot;number-of-pages&quot;:&quot;714&quot;,&quot;abstract&quot;:&quot;First edition. \&quot;Metodología de la investigación: Las rutas cuantitativa, cualitativa y mixta es una obra nueva (primera edición) que ha venido a susttiuir al texto Metodología de la investigación que durante casi 28 años fue publicado en seis ediciones ...\&quot;--Prólogo. &quot;,&quot;publisher&quot;:&quot;McGraw-Hill Education&quot;},&quot;isTemporary&quot;:false}]},{&quot;citationID&quot;:&quot;MENDELEY_CITATION_0c2229db-4b37-45cc-b5b2-3c0b4d6bcdd4&quot;,&quot;properties&quot;:{&quot;noteIndex&quot;:0},&quot;isEdited&quot;:false,&quot;manualOverride&quot;:{&quot;isManuallyOverridden&quot;:false,&quot;citeprocText&quot;:&quot;(Bernal Torres César Augusto, 2006)&quot;,&quot;manualOverrideText&quot;:&quot;&quot;},&quot;citationTag&quot;:&quot;MENDELEY_CITATION_v3_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&quot;,&quot;citationItems&quot;:[{&quot;id&quot;:&quot;93925b49-1f6e-3fd8-b483-fe4ddb6eeae5&quot;,&quot;itemData&quot;:{&quot;type&quot;:&quot;book&quot;,&quot;id&quot;:&quot;93925b49-1f6e-3fd8-b483-fe4ddb6eeae5&quot;,&quot;title&quot;:&quot;Metodología de la investigación para administración, economía ,humanidades y ciencias sociales&quot;,&quot;groupId&quot;:&quot;971ce9a8-6561-39c7-bc05-0917ce119c89&quot;,&quot;author&quot;:[{&quot;family&quot;:&quot;Bernal Torres César Augusto&quot;,&quot;given&quot;:&quot;Salavatierra Duván, Sánchez Amaya Tomás and Salazar Rosalba.&quot;,&quot;parse-names&quot;:false,&quot;dropping-particle&quot;:&quot;&quot;,&quot;non-dropping-particle&quot;:&quot;&quot;}],&quot;issued&quot;:{&quot;date-parts&quot;:[[2006]]},&quot;publisher-place&quot;:&quot;Mexico&quot;,&quot;publisher&quot;:&quot;Pearson&quot;},&quot;isTemporary&quot;:false}]},{&quot;citationID&quot;:&quot;MENDELEY_CITATION_422a9e84-8ad6-4405-8635-f390c3fa46f9&quot;,&quot;properties&quot;:{&quot;noteIndex&quot;:0},&quot;isEdited&quot;:false,&quot;manualOverride&quot;:{&quot;isManuallyOverridden&quot;:false,&quot;citeprocText&quot;:&quot;(Tamayo y Tamayo, 2001)&quot;,&quot;manualOverrideText&quot;:&quot;&quot;},&quot;citationTag&quot;:&quot;MENDELEY_CITATION_v3_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&quot;,&quot;citationItems&quot;:[{&quot;id&quot;:&quot;3a31d829-911b-3a4f-a6ce-ddf2115f7ad5&quot;,&quot;itemData&quot;:{&quot;type&quot;:&quot;book&quot;,&quot;id&quot;:&quot;3a31d829-911b-3a4f-a6ce-ddf2115f7ad5&quot;,&quot;title&quot;:&quot;El proceso de la investigación científica&quot;,&quot;groupId&quot;:&quot;971ce9a8-6561-39c7-bc05-0917ce119c89&quot;,&quot;author&quot;:[{&quot;family&quot;:&quot;Tamayo y Tamayo&quot;,&quot;given&quot;:&quot;Mario.&quot;,&quot;parse-names&quot;:false,&quot;dropping-particle&quot;:&quot;&quot;,&quot;non-dropping-particle&quot;:&quot;&quot;}],&quot;ISBN&quot;:&quot;9681858727&quot;,&quot;issued&quot;:{&quot;date-parts&quot;:[[2001]]},&quot;number-of-pages&quot;:&quot;440&quot;,&quot;abstract&quot;:&quot;4a. ed. &quot;,&quot;publisher&quot;:&quot;Limusa&quot;},&quot;isTemporary&quot;:false}]},{&quot;citationID&quot;:&quot;MENDELEY_CITATION_fcf71874-c3ab-451d-8d6d-01a2287c99f4&quot;,&quot;properties&quot;:{&quot;noteIndex&quot;:0},&quot;isEdited&quot;:false,&quot;manualOverride&quot;:{&quot;isManuallyOverridden&quot;:false,&quot;citeprocText&quot;:&quot;(Vargas Beal Xavier, 2007)&quot;,&quot;manualOverrideText&quot;:&quot;&quot;},&quot;citationTag&quot;:&quot;MENDELEY_CITATION_v3_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&quot;,&quot;citationItems&quot;:[{&quot;id&quot;:&quot;8c8b3340-f7b8-39dd-9a28-7c4194d6900c&quot;,&quot;itemData&quot;:{&quot;type&quot;:&quot;article-journal&quot;,&quot;id&quot;:&quot;8c8b3340-f7b8-39dd-9a28-7c4194d6900c&quot;,&quot;title&quot;:&quot;¿Cómo hacer investigación cualitativa?&quot;,&quot;groupId&quot;:&quot;971ce9a8-6561-39c7-bc05-0917ce119c89&quot;,&quot;author&quot;:[{&quot;family&quot;:&quot;Vargas Beal Xavier&quot;,&quot;given&quot;:&quot;&quot;,&quot;parse-names&quot;:false,&quot;dropping-particle&quot;:&quot;&quot;,&quot;non-dropping-particle&quot;:&quot;&quot;}],&quot;issued&quot;:{&quot;date-parts&quot;:[[2007]]}},&quot;isTemporary&quot;:false}]},{&quot;citationID&quot;:&quot;MENDELEY_CITATION_1544ab49-f263-4bf4-be10-0c1c84797a8b&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MTU0NGFiNDktZjI2My00YmY0LWJlMTAtMGMxYzg0Nzk3YThi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f659142f-b649-4a56-b92f-535afd0b19e2&quot;,&quot;properties&quot;:{&quot;noteIndex&quot;:0},&quot;isEdited&quot;:false,&quot;manualOverride&quot;:{&quot;isManuallyOverridden&quot;:false,&quot;citeprocText&quot;:&quot;(Restrepo, 2024)&quot;,&quot;manualOverrideText&quot;:&quot;&quot;},&quot;citationTag&quot;:&quot;MENDELEY_CITATION_v3_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&quot;,&quot;citationItems&quot;:[{&quot;id&quot;:&quot;b9e58383-2a7f-3e1a-915d-3bd6865cd764&quot;,&quot;itemData&quot;:{&quot;type&quot;:&quot;report&quot;,&quot;id&quot;:&quot;b9e58383-2a7f-3e1a-915d-3bd6865cd764&quot;,&quot;title&quot;:&quot;hacienda pública&quot;,&quot;groupId&quot;:&quot;971ce9a8-6561-39c7-bc05-0917ce119c89&quot;,&quot;author&quot;:[{&quot;family&quot;:&quot;Restrepo&quot;,&quot;given&quot;:&quot;Juan Camilo&quot;,&quot;parse-names&quot;:false,&quot;dropping-particle&quot;:&quot;&quot;,&quot;non-dropping-particle&quot;:&quot;&quot;}],&quot;issued&quot;:{&quot;date-parts&quot;:[[2024]]}},&quot;isTemporary&quot;:false}]},{&quot;citationID&quot;:&quot;MENDELEY_CITATION_bdc47e21-65a6-4dfd-891f-108f94f5043d&quot;,&quot;properties&quot;:{&quot;noteIndex&quot;:0},&quot;isEdited&quot;:false,&quot;manualOverride&quot;:{&quot;isManuallyOverridden&quot;:true,&quot;citeprocText&quot;:&quot;(Constitución Política de Colombia (art. 363), 1991)&quot;,&quot;manualOverrideText&quot;:&quot;Constitución Política de Colombia art. 363, 1991)&quot;},&quot;citationTag&quot;:&quot;MENDELEY_CITATION_v3_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&quot;,&quot;citationItems&quot;:[{&quot;id&quot;:&quot;13805f4e-2dbf-3149-8e1f-11c02e306edd&quot;,&quot;itemData&quot;:{&quot;type&quot;:&quot;legislation&quot;,&quot;id&quot;:&quot;13805f4e-2dbf-3149-8e1f-11c02e306edd&quot;,&quot;title&quot;:&quot;Constitución Política de Colombia (art. 363)&quot;,&quot;groupId&quot;:&quot;971ce9a8-6561-39c7-bc05-0917ce119c89&quot;,&quot;author&quot;:[{&quot;family&quot;:&quot;Colombia&quot;,&quot;given&quot;:&quot;&quot;,&quot;parse-names&quot;:false,&quot;dropping-particle&quot;:&quot;&quot;,&quot;non-dropping-particle&quot;:&quot;&quot;}],&quot;URL&quot;:&quot;https://www.suin-juriscol.gov.co/viewDocument.asp?ruta=Constitucion/1687988&quot;,&quot;issued&quot;:{&quot;date-parts&quot;:[[1991]]},&quot;language&quot;:&quot;es&quot;,&quot;abstract&quot;:&quot;Define los principios de equidad, eficiencia y progresividad del sistema tributario.&quot;,&quot;publisher&quot;:&quot;Asamblea Nacional Constituyente&quot;},&quot;isTemporary&quot;:false}]},{&quot;citationID&quot;:&quot;MENDELEY_CITATION_07a2cbe9-2d8d-4e5c-88a4-1ca993fc12a2&quot;,&quot;properties&quot;:{&quot;noteIndex&quot;:0},&quot;isEdited&quot;:false,&quot;manualOverride&quot;:{&quot;isManuallyOverridden&quot;:true,&quot;citeprocText&quot;:&quot;(&lt;i&gt;Sentencia C-1144 de 2000&lt;/i&gt;, 2000)&quot;,&quot;manualOverrideText&quot;:&quot;(Sentencia C-1144 de 2000)&quot;},&quot;citationTag&quot;:&quot;MENDELEY_CITATION_v3_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&quot;,&quot;citationItems&quot;:[{&quot;id&quot;:&quot;1bd33f90-4e5d-341c-9b16-db969917565d&quot;,&quot;itemData&quot;:{&quot;type&quot;:&quot;legal_case&quot;,&quot;id&quot;:&quot;1bd33f90-4e5d-341c-9b16-db969917565d&quot;,&quot;title&quot;:&quot;Sentencia C-1144 de 2000&quot;,&quot;groupId&quot;:&quot;971ce9a8-6561-39c7-bc05-0917ce119c89&quot;,&quot;author&quot;:[{&quot;family&quot;:&quot;Colombia&quot;,&quot;given&quot;:&quot;Corte Constitucional&quot;,&quot;parse-names&quot;:false,&quot;dropping-particle&quot;:&quot;de&quot;,&quot;non-dropping-particle&quot;:&quot;&quot;}],&quot;issued&quot;:{&quot;date-parts&quot;:[[2000]]},&quot;language&quot;:&quot;es&quot;,&quot;abstract&quot;:&quot;Diferencia la obligación del contribuyente y la del agente retenedor y resalta la función pública de recaudo.&quot;,&quot;publisher&quot;:&quot;Corte Constitucional de Colombia&quot;},&quot;isTemporary&quot;:false}]},{&quot;citationID&quot;:&quot;MENDELEY_CITATION_06017c9e-bfc6-48b5-87aa-f6998162a919&quot;,&quot;properties&quot;:{&quot;noteIndex&quot;:0},&quot;isEdited&quot;:false,&quot;manualOverride&quot;:{&quot;isManuallyOverridden&quot;:true,&quot;citeprocText&quot;:&quot;(&lt;i&gt;Sentencia C-883 de 2011&lt;/i&gt;, 2011a)&quot;,&quot;manualOverrideText&quot;:&quot;(Sentencia C-883 de2011)&quot;},&quot;citationTag&quot;:&quot;MENDELEY_CITATION_v3_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J9LCJpc1RlbXBvcmFyeSI6ZmFsc2V9XX0=&quot;,&quot;citationItems&quot;:[{&quot;id&quot;:&quot;d8504ec6-a3ec-3b87-89c7-8e2402f91024&quot;,&quot;itemData&quot;:{&quot;type&quot;:&quot;legal_case&quot;,&quot;id&quot;:&quot;d8504ec6-a3ec-3b87-89c7-8e2402f91024&quot;,&quot;title&quot;:&quot;Sentencia C-883 de 2011&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20043004&quot;,&quot;issued&quot;:{&quot;date-parts&quot;:[[2011]]},&quot;language&quot;:&quot;es&quot;,&quot;abstract&quot;:&quot;Examinó el artículo 15 de la Ley 1430 de 2010 y aspectos conexos del régimen de ineficacia de las declaraciones de retención en la fuente.&quot;,&quot;publisher&quot;:&quot;Corte Constitucional de Colombia&quot;},&quot;isTemporary&quot;:false}]},{&quot;citationID&quot;:&quot;MENDELEY_CITATION_db0da39a-dd13-4e0c-9de0-06fa1eda7518&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ZGIwZGEzOWEtZGQxMy00ZTBjLTlkZTAtMDZmYTFlZGE3NTE4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df4f8cbb-7144-437a-b554-c45c433ed76e&quot;,&quot;properties&quot;:{&quot;noteIndex&quot;:0},&quot;isEdited&quot;:false,&quot;manualOverride&quot;:{&quot;isManuallyOverridden&quot;:true,&quot;citeprocText&quot;:&quot;(GIRALDO GIRALDO WILLIAM, 2011)&quot;,&quot;manualOverrideText&quot;:&quot;Giraldo Giraldo, (2011)&quot;},&quot;citationTag&quot;:&quot;MENDELEY_CITATION_v3_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&quot;,&quot;citationItems&quot;:[{&quot;id&quot;:&quot;75478677-55c7-37d5-b522-48f03995c335&quot;,&quot;itemData&quot;:{&quot;type&quot;:&quot;report&quot;,&quot;id&quot;:&quot;75478677-55c7-37d5-b522-48f03995c335&quot;,&quot;title&quot;:&quot;25000-23-27-000-2009-00075-01 (18304)&quot;,&quot;groupId&quot;:&quot;971ce9a8-6561-39c7-bc05-0917ce119c89&quot;,&quot;author&quot;:[{&quot;family&quot;:&quot;GIRALDO GIRALDO WILLIAM&quot;,&quot;given&quot;:&quot;&quot;,&quot;parse-names&quot;:false,&quot;dropping-particle&quot;:&quot;&quot;,&quot;non-dropping-particle&quot;:&quot;&quot;}],&quot;issued&quot;:{&quot;date-parts&quot;:[[2011,10,13]]},&quot;abstract&quot;:&quot;Entre otras, la retención en la fuente sin pago / AGENTE DE RETENCION-Responsabilidad de presentar la declaración con pago / RECAUDACION DE IMPUESTOS-Se efectúa a través de bancos y entidades financieras / FECHA DE PAGO DEL IMPUESTO-Es cuando el dinero ingresa a las oficinas de la DIAN / PAGO EN RETENCION EN LA FUENTE-No permite los pagos parciales De acuerdo con el artículo 580 del E.T., el agente de retención debe presentar su declaración con pago, esto es, debe poner a disposición del Estado los recursos retenidos, dentro de los plazos previstos para ello, exigencia que se fundamenta en que el agente retenedor no es el sujeto pasivo de los impuestos recaudados en forma anticipada. Por tanto, resulta inadmisible la morosidad del pago de los valores recaudados. En los antecedentes legislativos que dieron origen a esta disposición se dijo que la norma introduce un mecanismo de seguimiento, y busca que se le imponga una sanción a los agentes de retención, con la finalidad de proscribir la práctica de alguno de ellos, de financiar su operación con los dineros recaudados a terceros. La \&quot;recaudación\&quot; implica una atribución radicada en la Dirección de Impuestos y Aduanas Nacionales, por lo que tiene el derecho de exigir los tributos y demás obligaciones monetarias y el deber de gestionar los procedimientos señalados en la ley para hacerla efectiva, así como el de aplicar las sanciones frente a hechos que impidan, obstaculicen o retarden el ejercicio de sus funciones. Con fundamento en el artículo 800 del Estatuto Tributario, la recaudación de los impuestos y retenciones administrados por la Dirección de Impuestos y Aduanas Nacionales se realiza a través de los bancos y demás entidades financieras. El artículo 803 ibídem establece que se tendrá como fecha de pago del impuesto, respecto de cada contribuyente, aquélla en que los valores imputables hayan ingresado a las oficinas de Impuestos Nacionales o a los bancos autorizados, aun cuando se hayan recibido inicialmente como simples depósitos, buenas cuentas, retenciones en la fuente, o que resulten como saldos a su favor por cualquier concepto.Cabe precisar que la palabra \&quot;pago\&quot; prevista en el literal e) ibídem, debe interpretarse atendiendo a su sentido natural y obvio, y a la finalidad de la norma que la incluyó en el Estatuto Tributario. Por tanto, entender que a partir de ésta se permite un pago parcial de la declaración de retención en la fuente, sería darle una interpretación que no responde a los propósitos del legislador, y conllevaría a la existencia de saldos, por las sumas recaudadas, en manos del agente retenedor, lo que haría ineficaz la aplicación de la norma. En ese orden de ideas, el incumplimiento de la obligación tributaria de pagar las retenciones con la presentación de la declaración tributaria, en el que incurrió la sociedad actora, implicó que para la fecha de presentación ésta se tuviera como no presentada, de conformidad con el literal e) del artículo 580 del Estatuto Tributario. FUENTE FORMAL: ESTATUTO TRIBUTARIO-ARTICULO 580 / ESTATUTO TRIBUTARIO-ARTICULO 803 DECLARACION QUE SE TIENE POR NO PRESENTADA-Procedimiento. No opera ipso jure / PAGO DE INTERESES-No subsana la presentación de la declaración de retención en la fuente sin pago En primer término, es importante precisar que la expresión \&quot;declaración que se tiene por no presentada\&quot;, significa que habrá una declaratoria que se origina por incurrirse en alguno de los eventos previstos en el artículo 580 del Estatuto Tributario, la cual conlleva la imposición posterior de las sanciones respectivas; y la declaración privada así presentada, quedará en firme, si dentro del término de&quot;},&quot;isTemporary&quot;:false}]},{&quot;citationID&quot;:&quot;MENDELEY_CITATION_faf26169-9c04-4600-a5e7-e0eb84a690bb&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ZmFmMjYxNjktOWMwNC00NjAwLWE1ZTctZTBlYjg0YTY5MGJi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1773e229-d7ba-4aaf-8dd5-20efdbd6cbac&quot;,&quot;properties&quot;:{&quot;noteIndex&quot;:0},&quot;isEdited&quot;:false,&quot;manualOverride&quot;:{&quot;isManuallyOverridden&quot;:true,&quot;citeprocText&quot;:&quot;(GIRALDO GIRALDO WILLIAM, 2011)&quot;,&quot;manualOverrideText&quot;:&quot;(Giraldo Giraldo William, 2011)&quot;},&quot;citationTag&quot;:&quot;MENDELEY_CITATION_v3_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&quot;,&quot;citationItems&quot;:[{&quot;id&quot;:&quot;75478677-55c7-37d5-b522-48f03995c335&quot;,&quot;itemData&quot;:{&quot;type&quot;:&quot;report&quot;,&quot;id&quot;:&quot;75478677-55c7-37d5-b522-48f03995c335&quot;,&quot;title&quot;:&quot;25000-23-27-000-2009-00075-01 (18304)&quot;,&quot;groupId&quot;:&quot;971ce9a8-6561-39c7-bc05-0917ce119c89&quot;,&quot;author&quot;:[{&quot;family&quot;:&quot;GIRALDO GIRALDO WILLIAM&quot;,&quot;given&quot;:&quot;&quot;,&quot;parse-names&quot;:false,&quot;dropping-particle&quot;:&quot;&quot;,&quot;non-dropping-particle&quot;:&quot;&quot;}],&quot;issued&quot;:{&quot;date-parts&quot;:[[2011,10,13]]},&quot;abstract&quot;:&quot;Entre otras, la retención en la fuente sin pago / AGENTE DE RETENCION-Responsabilidad de presentar la declaración con pago / RECAUDACION DE IMPUESTOS-Se efectúa a través de bancos y entidades financieras / FECHA DE PAGO DEL IMPUESTO-Es cuando el dinero ingresa a las oficinas de la DIAN / PAGO EN RETENCION EN LA FUENTE-No permite los pagos parciales De acuerdo con el artículo 580 del E.T., el agente de retención debe presentar su declaración con pago, esto es, debe poner a disposición del Estado los recursos retenidos, dentro de los plazos previstos para ello, exigencia que se fundamenta en que el agente retenedor no es el sujeto pasivo de los impuestos recaudados en forma anticipada. Por tanto, resulta inadmisible la morosidad del pago de los valores recaudados. En los antecedentes legislativos que dieron origen a esta disposición se dijo que la norma introduce un mecanismo de seguimiento, y busca que se le imponga una sanción a los agentes de retención, con la finalidad de proscribir la práctica de alguno de ellos, de financiar su operación con los dineros recaudados a terceros. La \&quot;recaudación\&quot; implica una atribución radicada en la Dirección de Impuestos y Aduanas Nacionales, por lo que tiene el derecho de exigir los tributos y demás obligaciones monetarias y el deber de gestionar los procedimientos señalados en la ley para hacerla efectiva, así como el de aplicar las sanciones frente a hechos que impidan, obstaculicen o retarden el ejercicio de sus funciones. Con fundamento en el artículo 800 del Estatuto Tributario, la recaudación de los impuestos y retenciones administrados por la Dirección de Impuestos y Aduanas Nacionales se realiza a través de los bancos y demás entidades financieras. El artículo 803 ibídem establece que se tendrá como fecha de pago del impuesto, respecto de cada contribuyente, aquélla en que los valores imputables hayan ingresado a las oficinas de Impuestos Nacionales o a los bancos autorizados, aun cuando se hayan recibido inicialmente como simples depósitos, buenas cuentas, retenciones en la fuente, o que resulten como saldos a su favor por cualquier concepto.Cabe precisar que la palabra \&quot;pago\&quot; prevista en el literal e) ibídem, debe interpretarse atendiendo a su sentido natural y obvio, y a la finalidad de la norma que la incluyó en el Estatuto Tributario. Por tanto, entender que a partir de ésta se permite un pago parcial de la declaración de retención en la fuente, sería darle una interpretación que no responde a los propósitos del legislador, y conllevaría a la existencia de saldos, por las sumas recaudadas, en manos del agente retenedor, lo que haría ineficaz la aplicación de la norma. En ese orden de ideas, el incumplimiento de la obligación tributaria de pagar las retenciones con la presentación de la declaración tributaria, en el que incurrió la sociedad actora, implicó que para la fecha de presentación ésta se tuviera como no presentada, de conformidad con el literal e) del artículo 580 del Estatuto Tributario. FUENTE FORMAL: ESTATUTO TRIBUTARIO-ARTICULO 580 / ESTATUTO TRIBUTARIO-ARTICULO 803 DECLARACION QUE SE TIENE POR NO PRESENTADA-Procedimiento. No opera ipso jure / PAGO DE INTERESES-No subsana la presentación de la declaración de retención en la fuente sin pago En primer término, es importante precisar que la expresión \&quot;declaración que se tiene por no presentada\&quot;, significa que habrá una declaratoria que se origina por incurrirse en alguno de los eventos previstos en el artículo 580 del Estatuto Tributario, la cual conlleva la imposición posterior de las sanciones respectivas; y la declaración privada así presentada, quedará en firme, si dentro del término de&quot;},&quot;isTemporary&quot;:false}]},{&quot;citationID&quot;:&quot;MENDELEY_CITATION_27eb353a-d9ab-47c2-a650-43836992bdfb&quot;,&quot;properties&quot;:{&quot;noteIndex&quot;:0},&quot;isEdited&quot;:false,&quot;manualOverride&quot;:{&quot;isManuallyOverridden&quot;:true,&quot;citeprocText&quot;:&quot;(Constitución Política de Colombia (art. 95), 1991)&quot;,&quot;manualOverrideText&quot;:&quot;(Constitución Política de Colombia, 1991)&quot;},&quot;citationTag&quot;:&quot;MENDELEY_CITATION_v3_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&quot;,&quot;citationItems&quot;:[{&quot;id&quot;:&quot;22a9bc58-1962-34ff-b52e-4df56b94e748&quot;,&quot;itemData&quot;:{&quot;type&quot;:&quot;legislation&quot;,&quot;id&quot;:&quot;22a9bc58-1962-34ff-b52e-4df56b94e748&quot;,&quot;title&quot;:&quot;Constitución Política de Colombia (art. 95)&quot;,&quot;groupId&quot;:&quot;971ce9a8-6561-39c7-bc05-0917ce119c89&quot;,&quot;author&quot;:[{&quot;family&quot;:&quot;Colombia&quot;,&quot;given&quot;:&quot;&quot;,&quot;parse-names&quot;:false,&quot;dropping-particle&quot;:&quot;&quot;,&quot;non-dropping-particle&quot;:&quot;&quot;}],&quot;URL&quot;:&quot;https://www.suin-juriscol.gov.co/viewDocument.asp?ruta=Constitucion/1687988&quot;,&quot;issued&quot;:{&quot;date-parts&quot;:[[1991]]},&quot;language&quot;:&quot;es&quot;,&quot;abstract&quot;:&quot;Consagra el deber de contribuir al financiamiento de los gastos e inversiones del Estado dentro de conceptos de justicia y equidad.&quot;,&quot;publisher&quot;:&quot;Asamblea Nacional Constituyente&quot;},&quot;isTemporary&quot;:false}]},{&quot;citationID&quot;:&quot;MENDELEY_CITATION_5ea75c5b-4a9f-4160-b498-dba0b48710ac&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NWVhNzVjNWItNGE5Zi00MTYwLWI0OTgtZGJhMGI0ODcxMGFj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4679030c-9abf-47ea-8b40-6815e0a462a7&quot;,&quot;properties&quot;:{&quot;noteIndex&quot;:0},&quot;isEdited&quot;:false,&quot;manualOverride&quot;:{&quot;isManuallyOverridden&quot;:false,&quot;citeprocText&quot;:&quot;(Ley 1116 , 2016)&quot;,&quot;manualOverrideText&quot;:&quot;&quot;},&quot;citationTag&quot;:&quot;MENDELEY_CITATION_v3_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&quot;,&quot;citationItems&quot;:[{&quot;id&quot;:&quot;a4b287fd-98c7-39c0-83ba-77c6a6308f87&quot;,&quot;itemData&quot;:{&quot;type&quot;:&quot;legislation&quot;,&quot;id&quot;:&quot;a4b287fd-98c7-39c0-83ba-77c6a6308f87&quot;,&quot;title&quot;:&quot;Ley 1116 &quot;,&quot;groupId&quot;:&quot;971ce9a8-6561-39c7-bc05-0917ce119c89&quot;,&quot;issued&quot;:{&quot;date-parts&quot;:[[2016,12,27]]},&quot;container-title-short&quot;:&quot;&quot;},&quot;isTemporary&quot;:false}]},{&quot;citationID&quot;:&quot;MENDELEY_CITATION_4d9e8433-6381-4243-8018-5dd9c77ba0ef&quot;,&quot;properties&quot;:{&quot;noteIndex&quot;:0},&quot;isEdited&quot;:false,&quot;manualOverride&quot;:{&quot;isManuallyOverridden&quot;:false,&quot;citeprocText&quot;:&quot;(Rincón Palacio, 2018a)&quot;,&quot;manualOverrideText&quot;:&quot;&quot;},&quot;citationTag&quot;:&quot;MENDELEY_CITATION_v3_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&quot;,&quot;citationItems&quot;:[{&quot;id&quot;:&quot;5bb24bd0-332f-3058-a16a-843211a18abb&quot;,&quot;itemData&quot;:{&quot;type&quot;:&quot;article-journal&quot;,&quot;id&quot;:&quot;5bb24bd0-332f-3058-a16a-843211a18abb&quot;,&quot;title&quot;:&quot;Problemática asociada a la consagración de la ineficacia de las declaraciones de retención en la fuente&quot;,&quot;groupId&quot;:&quot;971ce9a8-6561-39c7-bc05-0917ce119c89&quot;,&quot;author&quot;:[{&quot;family&quot;:&quot;Rincón Palacio&quot;,&quot;given&quot;:&quot;Adriana Paola&quot;,&quot;parse-names&quot;:false,&quot;dropping-particle&quot;:&quot;&quot;,&quot;non-dropping-particle&quot;:&quot;&quot;}],&quot;container-title&quot;:&quot;Revista de Derecho Fiscal&quot;,&quot;DOI&quot;:&quot;10.18601/16926722.n13.10&quot;,&quot;URL&quot;:&quot;https://revistas.uexternado.edu.co/index.php/fiscal/article/view/5684&quot;,&quot;issued&quot;:{&quot;date-parts&quot;:[[2018]]},&quot;page&quot;:&quot;273-312&quot;,&quot;language&quot;:&quot;es&quot;,&quot;abstract&quot;:&quot;Analiza las dificultades prácticas de cobro y ejecución asociadas a las declaraciones ineficaces.&quot;,&quot;issue&quot;:&quot;13&quot;},&quot;isTemporary&quot;:false}]},{&quot;citationID&quot;:&quot;MENDELEY_CITATION_f8aca634-5c31-47e9-bb65-7d7f2fc37050&quot;,&quot;properties&quot;:{&quot;noteIndex&quot;:0},&quot;isEdited&quot;:false,&quot;manualOverride&quot;:{&quot;isManuallyOverridden&quot;:true,&quot;citeprocText&quot;:&quot;(DIAN, 2020c)&quot;,&quot;manualOverrideText&quot;:&quot;(DIAN, 2020)&quot;},&quot;citationTag&quot;:&quot;MENDELEY_CITATION_v3_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&quot;,&quot;citationItems&quot;:[{&quot;id&quot;:&quot;597f29f0-a278-3ef2-ae44-bf9bccad8287&quot;,&quot;itemData&quot;:{&quot;type&quot;:&quot;report&quot;,&quot;id&quot;:&quot;597f29f0-a278-3ef2-ae44-bf9bccad8287&quot;,&quot;title&quot;:&quot;Oficio 910619 de 2020&quot;,&quot;author&quot;:[{&quot;family&quot;:&quot;DIAN&quot;,&quot;given&quot;:&quot;&quot;,&quot;parse-names&quot;:false,&quot;dropping-particle&quot;:&quot;&quot;,&quot;non-dropping-particle&quot;:&quot;&quot;}],&quot;URL&quot;:&quot;https://normograma.dian.gov.co/dian/compilacion/docs/oficio_dian_910619_2020.htm&quot;,&quot;issued&quot;:{&quot;date-parts&quot;:[[2020]]},&quot;language&quot;:&quot;es&quot;,&quot;abstract&quot;:&quot;Desarrolló el carácter de título ejecutivo de la declaración inicialmente presentada y la finalidad recaudatoria de la modificación introducida por la Ley 2010 de 2019.&quot;,&quot;publisher&quot;:&quot;DIAN&quot;,&quot;container-title-short&quot;:&quot;&quot;},&quot;isTemporary&quot;:false}]},{&quot;citationID&quot;:&quot;MENDELEY_CITATION_e7356465-b75e-4087-ac7f-679e7bb10df3&quot;,&quot;properties&quot;:{&quot;noteIndex&quot;:0},&quot;isEdited&quot;:false,&quot;manualOverride&quot;:{&quot;isManuallyOverridden&quot;:true,&quot;citeprocText&quot;:&quot;(DIAN, 2021b)&quot;,&quot;manualOverrideText&quot;:&quot;(DIAN, 2021)&quot;},&quot;citationTag&quot;:&quot;MENDELEY_CITATION_v3_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&quot;,&quot;citationItems&quot;:[{&quot;id&quot;:&quot;ca219fdd-e952-36d5-891e-a292c4a6896a&quot;,&quot;itemData&quot;:{&quot;type&quot;:&quot;report&quot;,&quot;id&quot;:&quot;ca219fdd-e952-36d5-891e-a292c4a6896a&quot;,&quot;title&quot;:&quot;Oficio 905545 de 2021&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905545_2021.htm&quot;,&quot;issued&quot;:{&quot;date-parts&quot;:[[2021]]},&quot;language&quot;:&quot;es&quot;,&quot;abstract&quot;:&quot;Reiteró que no es posible corregir una declaración de retención en la fuente ineficaz; debe presentarse nuevamente con pago total, sanción por extemporaneidad e intereses.&quot;,&quot;publisher&quot;:&quot;DIAN&quot;},&quot;isTemporary&quot;:false}]},{&quot;citationID&quot;:&quot;MENDELEY_CITATION_5a45239b-aa2d-4922-9603-0db726c3b2eb&quot;,&quot;properties&quot;:{&quot;noteIndex&quot;:0},&quot;isEdited&quot;:false,&quot;manualOverride&quot;:{&quot;isManuallyOverridden&quot;:true,&quot;citeprocText&quot;:&quot;(DIAN, 2024b)&quot;,&quot;manualOverrideText&quot;:&quot;(DIAN, 2024)&quot;},&quot;citationTag&quot;:&quot;MENDELEY_CITATION_v3_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&quot;,&quot;citationItems&quot;:[{&quot;id&quot;:&quot;66db83dd-9c3c-38d4-9920-e3db3762cfae&quot;,&quot;itemData&quot;:{&quot;type&quot;:&quot;article-journal&quot;,&quot;id&quot;:&quot;66db83dd-9c3c-38d4-9920-e3db3762cfae&quot;,&quot;title&quot;:&quot;CONCEPTO-008678-int 991-08112024&quot;,&quot;groupId&quot;:&quot;971ce9a8-6561-39c7-bc05-0917ce119c89&quot;,&quot;author&quot;:[{&quot;family&quot;:&quot;DIAN&quot;,&quot;given&quot;:&quot;&quot;,&quot;parse-names&quot;:false,&quot;dropping-particle&quot;:&quot;&quot;,&quot;non-dropping-particle&quot;:&quot;&quot;}],&quot;issued&quot;:{&quot;date-parts&quot;:[[2024,11,24]]}},&quot;isTemporary&quot;:false}]},{&quot;citationID&quot;:&quot;MENDELEY_CITATION_96f10d38-e59e-4ec4-9d43-c9896e24ed08&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OTZmMTBkMzgtZTU5ZS00ZWM0LTlkNDMtYzk4OTZlMjRlZDA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947fdd42-fbe0-4ef9-990d-7fb6ea546750&quot;,&quot;properties&quot;:{&quot;noteIndex&quot;:0},&quot;isEdited&quot;:false,&quot;manualOverride&quot;:{&quot;isManuallyOverridden&quot;:false,&quot;citeprocText&quot;:&quot;(DIAN, 2023)&quot;,&quot;manualOverrideText&quot;:&quot;&quot;},&quot;citationTag&quot;:&quot;MENDELEY_CITATION_v3_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0NjM4XzIwMjMuaHRtIiwiaXNzdWVkIjp7ImRhdGUtcGFydHMiOltbMjAyM11dfSwibGFuZ3VhZ2UiOiJlcyIsImFic3RyYWN0IjoiRGlmZXJlbmNpw7MgbG9zIGVmZWN0b3MgZGUgbGEgZGVjbGFyYWNpw7NuIHNpbiBwYWdvIHRvdGFsIHBhcmEgZWwgYWdlbnRlIHJldGVuZWRvciB5IHBhcmEgbGEgYWRtaW5pc3RyYWNpw7NuLCBkZXN0YWNhbmRvIHN1IG3DqXJpdG8gZWplY3V0aXZvLiIsInB1Ymxpc2hlciI6IkRJQU4ifSwiaXNUZW1wb3JhcnkiOmZhbHNlfV19&quot;,&quot;citationItems&quot;:[{&quot;id&quot;:&quot;e3f14b91-6e77-3399-ae53-63f26f72fe51&quot;,&quot;itemData&quot;:{&quot;type&quot;:&quot;report&quot;,&quot;id&quot;:&quot;e3f14b91-6e77-3399-ae53-63f26f72fe51&quot;,&quot;title&quot;:&quot;Oficio 4638 de 2023&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4638_2023.htm&quot;,&quot;issued&quot;:{&quot;date-parts&quot;:[[2023]]},&quot;language&quot;:&quot;es&quot;,&quot;abstract&quot;:&quot;Diferenció los efectos de la declaración sin pago total para el agente retenedor y para la administración, destacando su mérito ejecutivo.&quot;,&quot;publisher&quot;:&quot;DIAN&quot;},&quot;isTemporary&quot;:false}]},{&quot;citationID&quot;:&quot;MENDELEY_CITATION_703ae0f7-4fda-4585-9989-dd1a917d825d&quot;,&quot;properties&quot;:{&quot;noteIndex&quot;:0},&quot;isEdited&quot;:false,&quot;manualOverride&quot;:{&quot;isManuallyOverridden&quot;:false,&quot;citeprocText&quot;:&quot;(DIAN, 2025)&quot;,&quot;manualOverrideText&quot;:&quot;&quot;},&quot;citationTag&quot;:&quot;MENDELEY_CITATION_v3_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xNjIyNF8yMDI1Lmh0bSIsImlzc3VlZCI6eyJkYXRlLXBhcnRzIjpbWzIwMjVdXX0sImxhbmd1YWdlIjoiZXMiLCJhYnN0cmFjdCI6IlJlaXRlcmEgZWwgYWxjYW5jZSBkZWwgaW5jaXNvIHF1aW50byBkZWwgYXJ0w61jdWxvIDU4MC0xIEVUIHNvYnJlIGVsIHBhZ28gdG90YWwgZGVudHJvIGRlIGxvcyBkb3MgbWVzZXMgc2lndWllbnRlcyBhbCB2ZW5jaW1pZW50byBkZWwgcGxhem8gcGFyYSBkZWNsYXJhci4iLCJwdWJsaXNoZXIiOiJESUFOIn0sImlzVGVtcG9yYXJ5IjpmYWxzZX1dfQ==&quot;,&quot;citationItems&quot;:[{&quot;id&quot;:&quot;6919cb46-e4e1-3b40-b614-fa115d5ead7f&quot;,&quot;itemData&quot;:{&quot;type&quot;:&quot;report&quot;,&quot;id&quot;:&quot;6919cb46-e4e1-3b40-b614-fa115d5ead7f&quot;,&quot;title&quot;:&quot;Concepto 16224 de 2025&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16224_2025.htm&quot;,&quot;issued&quot;:{&quot;date-parts&quot;:[[2025]]},&quot;language&quot;:&quot;es&quot;,&quot;abstract&quot;:&quot;Reitera el alcance del inciso quinto del artículo 580-1 ET sobre el pago total dentro de los dos meses siguientes al vencimiento del plazo para declarar.&quot;,&quot;publisher&quot;:&quot;DIAN&quot;},&quot;isTemporary&quot;:false}]},{&quot;citationID&quot;:&quot;MENDELEY_CITATION_c388c463-9439-47a9-9760-b9f60a27a298&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YzM4OGM0NjMtOTQzOS00N2E5LTk3NjAtYjlmNjBhMjdhMjk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ef61765b-47eb-40e9-89d0-16db5532be6c&quot;,&quot;properties&quot;:{&quot;noteIndex&quot;:0},&quot;isEdited&quot;:false,&quot;manualOverride&quot;:{&quot;isManuallyOverridden&quot;:true,&quot;citeprocText&quot;:&quot;(Ley 1819, 2016b)&quot;,&quot;manualOverrideText&quot;:&quot;(Ley 1819, 2016)&quot;},&quot;citationTag&quot;:&quot;MENDELEY_CITATION_v3_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&quot;,&quot;citationItems&quot;:[{&quot;id&quot;:&quot;7333ca1f-cbdc-3577-bee7-4d331eb54880&quot;,&quot;itemData&quot;:{&quot;type&quot;:&quot;legislation&quot;,&quot;id&quot;:&quot;7333ca1f-cbdc-3577-bee7-4d331eb54880&quot;,&quot;title&quot;:&quot;Ley 1819&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1819_2016.html&quot;,&quot;issued&quot;:{&quot;date-parts&quot;:[[2016]]}},&quot;isTemporary&quot;:false}]},{&quot;citationID&quot;:&quot;MENDELEY_CITATION_e202a0b4-6a7f-45c5-bb94-9e9ebab77a4d&quot;,&quot;properties&quot;:{&quot;noteIndex&quot;:0},&quot;isEdited&quot;:false,&quot;manualOverride&quot;:{&quot;isManuallyOverridden&quot;:true,&quot;citeprocText&quot;:&quot;(Ley 2010 de 2019 (art. 101), 2019a)&quot;,&quot;manualOverrideText&quot;:&quot;(Ley 2010 de 2019)&quot;},&quot;citationTag&quot;:&quot;MENDELEY_CITATION_v3_eyJjaXRhdGlvbklEIjoiTUVOREVMRVlfQ0lUQVRJT05fZTIwMmEwYjQtNmE3Zi00NWM1LWJiOTQtOWU5ZWJhYjc3YTRk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64604f88-66b8-485e-afab-880969067b84&quot;,&quot;properties&quot;:{&quot;noteIndex&quot;:0},&quot;isEdited&quot;:false,&quot;manualOverride&quot;:{&quot;isManuallyOverridden&quot;:true,&quot;citeprocText&quot;:&quot;(Ley 2277, 2022a)&quot;,&quot;manualOverrideText&quot;:&quot;(Ley 2277, 2022)&quot;},&quot;citationTag&quot;:&quot;MENDELEY_CITATION_v3_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&quot;,&quot;citationItems&quot;:[{&quot;id&quot;:&quot;5f980bb7-f9df-333e-aa9f-ebb78b1908b5&quot;,&quot;itemData&quot;:{&quot;type&quot;:&quot;legislation&quot;,&quot;id&quot;:&quot;5f980bb7-f9df-333e-aa9f-ebb78b1908b5&quot;,&quot;title&quot;:&quot;Ley 2277&quot;,&quot;groupId&quot;:&quot;971ce9a8-6561-39c7-bc05-0917ce119c89&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2277_2022.html&quot;,&quot;issued&quot;:{&quot;date-parts&quot;:[[2022]]}},&quot;isTemporary&quot;:false}]},{&quot;citationID&quot;:&quot;MENDELEY_CITATION_bac157a3-afd1-4e10-a3f3-9fabfbda5c5c&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YmFjMTU3YTMtYWZkMS00ZTEwLWEzZjMtOWZhYmZiZGE1YzVj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824b418e-0908-49e9-b7fa-2ac9ddd6d0e8&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ODI0YjQxOGUtMDkwOC00OWU5LWI3ZmEtMmFjOWRkZDZkMGU4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829a8cbd-0f0d-47f5-887d-44bce8a1f8d7&quot;,&quot;properties&quot;:{&quot;noteIndex&quot;:0},&quot;isEdited&quot;:false,&quot;manualOverride&quot;:{&quot;isManuallyOverridden&quot;:true,&quot;citeprocText&quot;:&quot;(hacienda pública, s/f-b)&quot;,&quot;manualOverrideText&quot;:&quot;Restrepo (2015)&quot;},&quot;citationTag&quot;:&quot;MENDELEY_CITATION_v3_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&quot;,&quot;citationItems&quot;:[{&quot;id&quot;:&quot;4328c234-f332-342b-bded-fd94e66d7797&quot;,&quot;itemData&quot;:{&quot;type&quot;:&quot;report&quot;,&quot;id&quot;:&quot;4328c234-f332-342b-bded-fd94e66d7797&quot;,&quot;title&quot;:&quot;hacienda pública&quot;,&quot;container-title-short&quot;:&quot;&quot;},&quot;isTemporary&quot;:false}]},{&quot;citationID&quot;:&quot;MENDELEY_CITATION_664fa9cb-02ad-430e-99c9-2504a2b1a520&quot;,&quot;properties&quot;:{&quot;noteIndex&quot;:0},&quot;isEdited&quot;:false,&quot;manualOverride&quot;:{&quot;isManuallyOverridden&quot;:true,&quot;citeprocText&quot;:&quot;(Musgrave, 1959b)&quot;,&quot;manualOverrideText&quot;:&quot;(Musgrave, 1959)&quot;},&quot;citationTag&quot;:&quot;MENDELEY_CITATION_v3_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&quot;,&quot;citationItems&quot;:[{&quot;id&quot;:&quot;0170a934-f2f0-336c-bf22-0f352558f896&quot;,&quot;itemData&quot;:{&quot;type&quot;:&quot;article-journal&quot;,&quot;id&quot;:&quot;0170a934-f2f0-336c-bf22-0f352558f896&quot;,&quot;title&quot;:&quot;Hacienda Pública. Teórica y Aplicada&quot;,&quot;groupId&quot;:&quot;971ce9a8-6561-39c7-bc05-0917ce119c89&quot;,&quot;author&quot;:[{&quot;family&quot;:&quot;Musgrave&quot;,&quot;given&quot;:&quot;Richard&quot;,&quot;parse-names&quot;:false,&quot;dropping-particle&quot;:&quot;&quot;,&quot;non-dropping-particle&quot;:&quot;&quot;}],&quot;issued&quot;:{&quot;date-parts&quot;:[[1959]]}},&quot;isTemporary&quot;:false}]},{&quot;citationID&quot;:&quot;MENDELEY_CITATION_fcefc4bd-8c1f-4d16-94d6-1c9ddf3a9d80&quot;,&quot;properties&quot;:{&quot;noteIndex&quot;:0},&quot;isEdited&quot;:false,&quot;manualOverride&quot;:{&quot;isManuallyOverridden&quot;:true,&quot;citeprocText&quot;:&quot;(UNIVERSIDAD EXTERNADO DE COLOMBIA, s/f)&quot;,&quot;manualOverrideText&quot;:&quot;Saldarriaga (2024)&quot;},&quot;citationTag&quot;:&quot;MENDELEY_CITATION_v3_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&quot;,&quot;citationItems&quot;:[{&quot;id&quot;:&quot;dcd97c8e-93fe-3cb3-9264-d2e9dbf39ac2&quot;,&quot;itemData&quot;:{&quot;type&quot;:&quot;report&quot;,&quot;id&quot;:&quot;dcd97c8e-93fe-3cb3-9264-d2e9dbf39ac2&quot;,&quot;title&quot;:&quot;UNIVERSIDAD EXTERNADO DE COLOMBIA&quot;,&quot;container-title-short&quot;:&quot;&quot;},&quot;isTemporary&quot;:false}]},{&quot;citationID&quot;:&quot;MENDELEY_CITATION_c924dee6-8e11-451e-8397-50adbc8d0b95&quot;,&quot;properties&quot;:{&quot;noteIndex&quot;:0},&quot;isEdited&quot;:false,&quot;manualOverride&quot;:{&quot;isManuallyOverridden&quot;:true,&quot;citeprocText&quot;:&quot;(Restrepo, 2024)&quot;,&quot;manualOverrideText&quot;:&quot;(Restrepo,&quot;},&quot;citationTag&quot;:&quot;MENDELEY_CITATION_v3_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&quot;,&quot;citationItems&quot;:[{&quot;id&quot;:&quot;b9e58383-2a7f-3e1a-915d-3bd6865cd764&quot;,&quot;itemData&quot;:{&quot;type&quot;:&quot;report&quot;,&quot;id&quot;:&quot;b9e58383-2a7f-3e1a-915d-3bd6865cd764&quot;,&quot;title&quot;:&quot;hacienda pública&quot;,&quot;groupId&quot;:&quot;971ce9a8-6561-39c7-bc05-0917ce119c89&quot;,&quot;author&quot;:[{&quot;family&quot;:&quot;Restrepo&quot;,&quot;given&quot;:&quot;Juan Camilo&quot;,&quot;parse-names&quot;:false,&quot;dropping-particle&quot;:&quot;&quot;,&quot;non-dropping-particle&quot;:&quot;&quot;}],&quot;issued&quot;:{&quot;date-parts&quot;:[[2024]]}},&quot;isTemporary&quot;:false}]},{&quot;citationID&quot;:&quot;MENDELEY_CITATION_c4129cff-6a43-4693-87d2-986ff0443052&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YzQxMjljZmYtNmE0My00NjkzLTg3ZDItOTg2ZmYwNDQzMDUy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dabb201e-dfe6-4f55-a665-2d4e74435bc2&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ZGFiYjIwMWUtZGZlNi00ZjU1LWE2NjUtMmQ0ZTc0NDM1YmMy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ab5eed7b-9b19-43aa-993f-7fece5a9bb1b&quot;,&quot;properties&quot;:{&quot;noteIndex&quot;:0},&quot;isEdited&quot;:false,&quot;manualOverride&quot;:{&quot;isManuallyOverridden&quot;:true,&quot;citeprocText&quot;:&quot;(Ley 599 de 2000, Código Penal (art. 402), 2000)&quot;,&quot;manualOverrideText&quot;:&quot;(Ley 599 de 2000, Código Penal)&quot;},&quot;citationTag&quot;:&quot;MENDELEY_CITATION_v3_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&quot;,&quot;citationItems&quot;:[{&quot;id&quot;:&quot;08222dc6-551a-30ae-999b-1261dfcd7152&quot;,&quot;itemData&quot;:{&quot;type&quot;:&quot;legislation&quot;,&quot;id&quot;:&quot;08222dc6-551a-30ae-999b-1261dfcd7152&quot;,&quot;title&quot;:&quot;Ley 599 de 2000, Código Penal (art. 402)&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ruta=Leyes/1663230&quot;,&quot;issued&quot;:{&quot;date-parts&quot;:[[2000]]},&quot;language&quot;:&quot;es&quot;,&quot;abstract&quot;:&quot;Tipifica la omisión del agente retenedor o recaudador por no consignar sumas retenidas o recaudadas.&quot;,&quot;publisher&quot;:&quot;Congreso de la República de Colombia&quot;},&quot;isTemporary&quot;:false}]},{&quot;citationID&quot;:&quot;MENDELEY_CITATION_2be8eea6-2496-478c-87a2-86b2bb537527&quot;,&quot;properties&quot;:{&quot;noteIndex&quot;:0},&quot;isEdited&quot;:false,&quot;manualOverride&quot;:{&quot;isManuallyOverridden&quot;:true,&quot;citeprocText&quot;:&quot;(&lt;i&gt;Sentencia C-1144 de 2000&lt;/i&gt;, 2000)&quot;,&quot;manualOverrideText&quot;:&quot;(Sentencia C-1144 de 2000)&quot;},&quot;citationTag&quot;:&quot;MENDELEY_CITATION_v3_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&quot;,&quot;citationItems&quot;:[{&quot;id&quot;:&quot;1bd33f90-4e5d-341c-9b16-db969917565d&quot;,&quot;itemData&quot;:{&quot;type&quot;:&quot;legal_case&quot;,&quot;id&quot;:&quot;1bd33f90-4e5d-341c-9b16-db969917565d&quot;,&quot;title&quot;:&quot;Sentencia C-1144 de 2000&quot;,&quot;groupId&quot;:&quot;971ce9a8-6561-39c7-bc05-0917ce119c89&quot;,&quot;author&quot;:[{&quot;family&quot;:&quot;Colombia&quot;,&quot;given&quot;:&quot;Corte Constitucional&quot;,&quot;parse-names&quot;:false,&quot;dropping-particle&quot;:&quot;de&quot;,&quot;non-dropping-particle&quot;:&quot;&quot;}],&quot;issued&quot;:{&quot;date-parts&quot;:[[2000]]},&quot;language&quot;:&quot;es&quot;,&quot;abstract&quot;:&quot;Diferencia la obligación del contribuyente y la del agente retenedor y resalta la función pública de recaudo.&quot;,&quot;publisher&quot;:&quot;Corte Constitucional de Colombia&quot;},&quot;isTemporary&quot;:false}]},{&quot;citationID&quot;:&quot;MENDELEY_CITATION_76a29311-a16e-4ad5-a80e-3d52d72b25ab&quot;,&quot;properties&quot;:{&quot;noteIndex&quot;:0},&quot;isEdited&quot;:false,&quot;manualOverride&quot;:{&quot;isManuallyOverridden&quot;:true,&quot;citeprocText&quot;:&quot;(Ley 2010 de 2019 (art. 101), 2019a)&quot;,&quot;manualOverrideText&quot;:&quot;(Ley 2010 de 2019)&quot;},&quot;citationTag&quot;:&quot;MENDELEY_CITATION_v3_eyJjaXRhdGlvbklEIjoiTUVOREVMRVlfQ0lUQVRJT05fNzZhMjkzMTEtYTE2ZS00YWQ1LWE4MGUtM2Q1MmQ3MmIyNWFi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ff14d06e-583c-424e-a63d-81ee93ce193e&quot;,&quot;properties&quot;:{&quot;noteIndex&quot;:0},&quot;isEdited&quot;:false,&quot;manualOverride&quot;:{&quot;isManuallyOverridden&quot;:true,&quot;citeprocText&quot;:&quot;(Ley 2010 de 2019 (art. 101), 2019a)&quot;,&quot;manualOverrideText&quot;:&quot;(Ley 2010 de 2019)&quot;},&quot;citationTag&quot;:&quot;MENDELEY_CITATION_v3_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&quot;,&quot;citationItems&quot;:[{&quot;id&quot;:&quot;3956b7f8-0234-3e76-ba19-dcc3b0503d45&quot;,&quot;itemData&quot;:{&quot;type&quot;:&quot;legislation&quot;,&quot;id&quot;:&quot;3956b7f8-0234-3e76-ba19-dcc3b0503d45&quot;,&quot;title&quot;:&quot;Ley 2010 de 2019 (art. 101)&quot;,&quot;groupId&quot;:&quot;971ce9a8-6561-39c7-bc05-0917ce119c89&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isTemporary&quot;:false}]},{&quot;citationID&quot;:&quot;MENDELEY_CITATION_2a238438-3f40-451d-893e-703afc410a31&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MmEyMzg0MzgtM2Y0MC00NTFkLTg5M2UtNzAzYWZjNDEwYTMx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9c1fb798-5696-4472-9f99-c62d780e3926&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OWMxZmI3OTgtNTY5Ni00NDcyLTlmOTktYzYyZDc4MGUzOTI2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855c7e5a-99ba-415d-9b8a-f26c6574a068&quot;,&quot;properties&quot;:{&quot;noteIndex&quot;:0},&quot;isEdited&quot;:false,&quot;manualOverride&quot;:{&quot;isManuallyOverridden&quot;:true,&quot;citeprocText&quot;:&quot;(&lt;i&gt;Sentencia C-102 de 2015&lt;/i&gt;, 2015a)&quot;,&quot;manualOverrideText&quot;:&quot;(Sentencia C-102 de 2015)&quot;},&quot;citationTag&quot;:&quot;MENDELEY_CITATION_v3_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&quot;,&quot;citationItems&quot;:[{&quot;id&quot;:&quot;56eca511-a731-3506-9f1b-5b5428beef12&quot;,&quot;itemData&quot;:{&quot;type&quot;:&quot;legal_case&quot;,&quot;id&quot;:&quot;56eca511-a731-3506-9f1b-5b5428beef12&quot;,&quot;title&quot;:&quot;Sentencia C-102 de 2015&quot;,&quot;groupId&quot;:&quot;971ce9a8-6561-39c7-bc05-0917ce119c89&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isTemporary&quot;:false}]},{&quot;citationID&quot;:&quot;MENDELEY_CITATION_4b11ed11-4140-4f35-85d6-e8fed6cd6486&quot;,&quot;properties&quot;:{&quot;noteIndex&quot;:0},&quot;isEdited&quot;:false,&quot;manualOverride&quot;:{&quot;isManuallyOverridden&quot;:false,&quot;citeprocText&quot;:&quot;(DIAN, 2025)&quot;,&quot;manualOverrideText&quot;:&quot;&quot;},&quot;citationTag&quot;:&quot;MENDELEY_CITATION_v3_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&quot;,&quot;citationItems&quot;:[{&quot;id&quot;:&quot;6919cb46-e4e1-3b40-b614-fa115d5ead7f&quot;,&quot;itemData&quot;:{&quot;type&quot;:&quot;report&quot;,&quot;id&quot;:&quot;6919cb46-e4e1-3b40-b614-fa115d5ead7f&quot;,&quot;title&quot;:&quot;Concepto 16224 de 2025&quot;,&quot;groupId&quot;:&quot;971ce9a8-6561-39c7-bc05-0917ce119c89&quot;,&quot;author&quot;:[{&quot;family&quot;:&quot;DIAN&quot;,&quot;given&quot;:&quot;&quot;,&quot;parse-names&quot;:false,&quot;dropping-particle&quot;:&quot;&quot;,&quot;non-dropping-particle&quot;:&quot;&quot;}],&quot;URL&quot;:&quot;https://normograma.dian.gov.co/dian/compilacion/docs/oficio_dian_16224_2025.htm&quot;,&quot;issued&quot;:{&quot;date-parts&quot;:[[2025]]},&quot;language&quot;:&quot;es&quot;,&quot;abstract&quot;:&quot;Reitera el alcance del inciso quinto del artículo 580-1 ET sobre el pago total dentro de los dos meses siguientes al vencimiento del plazo para declarar.&quot;,&quot;publisher&quot;:&quot;DIAN&quot;},&quot;isTemporary&quot;:false}]},{&quot;citationID&quot;:&quot;MENDELEY_CITATION_481aefcb-c4e3-400d-9cb6-ab3a8ba332f3&quot;,&quot;properties&quot;:{&quot;noteIndex&quot;:0},&quot;isEdited&quot;:false,&quot;manualOverride&quot;:{&quot;isManuallyOverridden&quot;:true,&quot;citeprocText&quot;:&quot;(&lt;i&gt;Sentencia C-1144 de 2000&lt;/i&gt;, 2000)&quot;,&quot;manualOverrideText&quot;:&quot;(Sentencia C-1144 de 2000)&quot;},&quot;citationTag&quot;:&quot;MENDELEY_CITATION_v3_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&quot;,&quot;citationItems&quot;:[{&quot;id&quot;:&quot;1bd33f90-4e5d-341c-9b16-db969917565d&quot;,&quot;itemData&quot;:{&quot;type&quot;:&quot;legal_case&quot;,&quot;id&quot;:&quot;1bd33f90-4e5d-341c-9b16-db969917565d&quot;,&quot;title&quot;:&quot;Sentencia C-1144 de 2000&quot;,&quot;groupId&quot;:&quot;971ce9a8-6561-39c7-bc05-0917ce119c89&quot;,&quot;author&quot;:[{&quot;family&quot;:&quot;Colombia&quot;,&quot;given&quot;:&quot;Corte Constitucional&quot;,&quot;parse-names&quot;:false,&quot;dropping-particle&quot;:&quot;de&quot;,&quot;non-dropping-particle&quot;:&quot;&quot;}],&quot;issued&quot;:{&quot;date-parts&quot;:[[2000]]},&quot;language&quot;:&quot;es&quot;,&quot;abstract&quot;:&quot;Diferencia la obligación del contribuyente y la del agente retenedor y resalta la función pública de recaudo.&quot;,&quot;publisher&quot;:&quot;Corte Constitucional de Colombia&quot;},&quot;isTemporary&quot;:false}]},{&quot;citationID&quot;:&quot;MENDELEY_CITATION_8d96f070-1b92-4c21-ac7e-fb8aa6734318&quot;,&quot;properties&quot;:{&quot;noteIndex&quot;:0},&quot;isEdited&quot;:false,&quot;manualOverride&quot;:{&quot;isManuallyOverridden&quot;:true,&quot;citeprocText&quot;:&quot;(Espinosa Díaz et al., 2022b)&quot;,&quot;manualOverrideText&quot;:&quot;Espinosa y Rodríguez (2022)&quot;},&quot;citationTag&quot;:&quot;MENDELEY_CITATION_v3_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&quot;,&quot;citationItems&quot;:[{&quot;id&quot;:&quot;ba70959f-7ee4-31aa-b49c-067a36eafb7e&quot;,&quot;itemData&quot;:{&quot;type&quot;:&quot;article-journal&quot;,&quot;id&quot;:&quot;ba70959f-7ee4-31aa-b49c-067a36eafb7e&quot;,&quot;title&quot;:&quot;Cultura tributaria como estrategia para prevenir el incumplimiento de los deberes formales del contribuyente&quot;,&quot;author&quot;:[{&quot;family&quot;:&quot;Espinosa Díaz&quot;,&quot;given&quot;:&quot;Yuli Samary&quot;,&quot;parse-names&quot;:false,&quot;dropping-particle&quot;:&quot;&quot;,&quot;non-dropping-particle&quot;:&quot;&quot;},{&quot;family&quot;:&quot;Rodríguez Torres&quot;,&quot;given&quot;:&quot;Geraldine Tatiana&quot;,&quot;parse-names&quot;:false,&quot;dropping-particle&quot;:&quot;&quot;,&quot;non-dropping-particle&quot;:&quot;&quot;},{&quot;family&quot;:&quot;Díaz Díaz&quot;,&quot;given&quot;:&quot;Ferney&quot;,&quot;parse-names&quot;:false,&quot;dropping-particle&quot;:&quot;&quot;,&quot;non-dropping-particle&quot;:&quot;&quot;},{&quot;family&quot;:&quot;Porras Mejía&quot;,&quot;given&quot;:&quot;Elizabeth&quot;,&quot;parse-names&quot;:false,&quot;dropping-particle&quot;:&quot;&quot;,&quot;non-dropping-particle&quot;:&quot;&quot;}],&quot;container-title&quot;:&quot;Apuntes Contables&quot;,&quot;DOI&quot;:&quot;10.18601/16577175.n31.09&quot;,&quot;ISSN&quot;:&quot;1657-7175&quot;,&quot;issued&quot;:{&quot;date-parts&quot;:[[2022,11,22]]},&quot;page&quot;:&quot;153-171&quot;,&quot;abstract&quot;:&quot;El presente trabajo de investigación tiene como objetivo sensibilizar a los contribuyentes en el cumplimiento de los deberes tributarios, pues la evasión es una problemática que afecta la la recaudación fiscal del Estado cuya inversión busca el bienestar común. La investigación es de tipo cualitativo, con alcance analítico, a partir de la revisión de la literatura disponible representada en diversos artículos y trabajos de investigación especializados, gran porcentaje de los cuales aborda la carencia de cultura tributaria como una de las causas principales de la poca conciencia y disposición personal para el cumplimiento de los deberes fiscales, mientras que otro grupo complementa los hallazgos resaltando la importancia de informar a los ciudadanos sus obligaciones tributarias.&quot;,&quot;publisher&quot;:&quot;Universidad Externado de Colombia&quot;,&quot;issue&quot;:&quot;31&quot;,&quot;container-title-short&quot;:&quot;&quot;},&quot;isTemporary&quot;:false}]},{&quot;citationID&quot;:&quot;MENDELEY_CITATION_593daea1-74cd-4c01-870f-ae52ab99585f&quot;,&quot;properties&quot;:{&quot;noteIndex&quot;:0},&quot;isEdited&quot;:false,&quot;manualOverride&quot;:{&quot;isManuallyOverridden&quot;:true,&quot;citeprocText&quot;:&quot;(DIAN, 2024c)&quot;,&quot;manualOverrideText&quot;:&quot;(DIAN, 2024)&quot;},&quot;citationTag&quot;:&quot;MENDELEY_CITATION_v3_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&quot;,&quot;citationItems&quot;:[{&quot;id&quot;:&quot;53efbe19-b938-3246-a382-9d85f103299f&quot;,&quot;itemData&quot;:{&quot;type&quot;:&quot;article-journal&quot;,&quot;id&quot;:&quot;53efbe19-b938-3246-a382-9d85f103299f&quot;,&quot;title&quot;:&quot;CONCEPTO-008678-int 991-08112024&quot;,&quot;author&quot;:[{&quot;family&quot;:&quot;DIAN&quot;,&quot;given&quot;:&quot;&quot;,&quot;parse-names&quot;:false,&quot;dropping-particle&quot;:&quot;&quot;,&quot;non-dropping-particle&quot;:&quot;&quot;}],&quot;issued&quot;:{&quot;date-parts&quot;:[[2024,11,24]]},&quot;container-title-short&quot;:&quot;&quot;},&quot;isTemporary&quot;:false}]},{&quot;citationID&quot;:&quot;MENDELEY_CITATION_abe8f5e2-a878-4d99-9f3d-26c417691fba&quot;,&quot;properties&quot;:{&quot;noteIndex&quot;:0},&quot;isEdited&quot;:false,&quot;manualOverride&quot;:{&quot;isManuallyOverridden&quot;:true,&quot;citeprocText&quot;:&quot;(Estatuto Tributario, 1989b)&quot;,&quot;manualOverrideText&quot;:&quot;(Estatuto Tributario, 1989)&quot;},&quot;citationTag&quot;:&quot;MENDELEY_CITATION_v3_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&quot;,&quot;citationItems&quot;:[{&quot;id&quot;:&quot;5d6e8bfa-fca0-31fc-8224-61c4530efa09&quot;,&quot;itemData&quot;:{&quot;type&quot;:&quot;legislation&quot;,&quot;id&quot;:&quot;5d6e8bfa-fca0-31fc-8224-61c4530efa09&quot;,&quot;title&quot;:&quot;Estatuto Tributario&quot;,&quot;groupId&quot;:&quot;971ce9a8-6561-39c7-bc05-0917ce119c89&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isTemporary&quot;:false}]},{&quot;citationID&quot;:&quot;MENDELEY_CITATION_4d562bf9-3621-42d9-98d5-6f2de6642d1c&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NGQ1NjJiZjktMzYyMS00MmQ5LTk4ZDUtNmYyZGU2NjQyZDF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0a589819-6cef-48f6-9971-4465b5772c0a&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MGE1ODk4MTktNmNlZi00OGY2LTk5NzEtNDQ2NWI1NzcyYzBh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96519af5-7350-4148-8427-b14710732e2c&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OTY1MTlhZjUtNzM1MC00MTQ4LTg0MjctYjE0NzEwNzMyZTJ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4bb543b8-5581-46b8-acee-7e5e4848664a&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NGJiNTQzYjgtNTU4MS00NmI4LWFjZWUtN2U1ZTQ4NDg2NjRh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ca4628af-c272-4c0e-b511-3863cc399d78&quot;,&quot;properties&quot;:{&quot;noteIndex&quot;:0},&quot;isEdited&quot;:false,&quot;manualOverride&quot;:{&quot;isManuallyOverridden&quot;:true,&quot;citeprocText&quot;:&quot;(Paola &amp;#38; Palacio, 2018)&quot;,&quot;manualOverrideText&quot;:&quot;Rincón (2018)&quot;},&quot;citationTag&quot;:&quot;MENDELEY_CITATION_v3_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&quot;,&quot;citationItems&quot;:[{&quot;id&quot;:&quot;22a95315-46b9-3e77-a3a7-7190a3096c35&quot;,&quot;itemData&quot;:{&quot;type&quot;:&quot;report&quot;,&quot;id&quot;:&quot;22a95315-46b9-3e77-a3a7-7190a3096c35&quot;,&quot;title&quot;:&quot;Revista de Derecho Fiscal n.º 13 • julio-diciembre de&quot;,&quot;author&quot;:[{&quot;family&quot;:&quot;Paola&quot;,&quot;given&quot;:&quot;Adriana&quot;,&quot;parse-names&quot;:false,&quot;dropping-particle&quot;:&quot;&quot;,&quot;non-dropping-particle&quot;:&quot;&quot;},{&quot;family&quot;:&quot;Palacio&quot;,&quot;given&quot;:&quot;Rincón&quot;,&quot;parse-names&quot;:false,&quot;dropping-particle&quot;:&quot;&quot;,&quot;non-dropping-particle&quot;:&quot;&quot;}],&quot;issued&quot;:{&quot;date-parts&quot;:[[2018]]},&quot;number-of-pages&quot;:&quot;273-312&quot;,&quot;abstract&quot;:&quot;istration point of view. In the beginning, it was thought that retention agents would be persuaded to present his declarations with payment. However, it became an obstacle for collecting taxes and it also promoted tax evasion. The legislator established the declarations without effects with the purpose of acelerate collecting taxes thinking about a voluntary compliance. Although, it seems that the legislator forgot that besides voluntary compliance it was needed that the tax administration counts with collecting tools and at the same time it was an opportune moment to evaluate the tax determination procedure. Introducción La retención en la fuente es un mecanismo que permite que el recaudo del impuesto se realice en el mismo momento en que se produce el hecho generador del gravamen sobre el cual recae, ya sea el impuesto sobre la ren-ta o el impuesto al valor agregado. En este sentido, con la retención, la administración tributaria recibe un flujo de recursos cons-tante sin necesidad de esperar a que finalice el período gravable de cada impuesto. Se ha considerado que es una manifestación del principio de eficiencia tributaria, en la me-dida en que se pretende que el recaudo del tributo sea sencillo para la administración y cómodo para el contribuyente. Sin embargo, la consagración de la ineficacia de las decla-raciones de retención en la fuente presenta-das sin pago ha desvirtuado la eficiencia del mecanismo. El presente artículo tiene como objetivo abordar la problemática asociada a la consa-gración de la ineficacia de las declaraciones de retención en la fuente, tomando como fuente primaria la experiencia adquirida de la gestión de los procesos administrativos de cobro tanto en etapa coactiva como en la de representación externa. Igualmente, se proponen las reformas legislativas y las adecuaciones internas y tecnológicas que a juicio de la autora se consideran necesarias para mejorar la eficiencia del mecanismo de recaudo. Para efectos de determinar las razones por las cuales la consagración de la ineficacia conllevó a la ineficiencia del mecanismo de recaudo, en primer lugar, se explicará la evolución de la figura en la legislación colombiana y los mecanismos empleados a lo largo de la historia reciente para san-cionar el incumplimiento en el pago de las retenciones. Seguidamente, se analizará a fondo la problemática exponiendo las dificultades para realizar el cobro de las declaraciones de retención en la fuente ineficaces, entre las cuales se encuentra la ausencia de títu-lo ejecutivo, por cuanto se requiere de la resolución sanción por no declarar y de la liquidación oficial de aforo, lo cual demanda la gestión de varias Divisiones de Gestión de la entidad y no solamente de la División de Gestión de Cobranzas. Así mismo, se plantea el problema de la omisión en la pre-sentación de las declaraciones como opción de planeación fiscal, el cual se agrava por la solicitud de apertura del trámite concursal de liquidación judicial.&quot;,&quot;container-title-short&quot;:&quot;&quot;},&quot;isTemporary&quot;:false}]},{&quot;citationID&quot;:&quot;MENDELEY_CITATION_93e322e8-fb31-4b01-a13a-fbb9e71c4472&quot;,&quot;properties&quot;:{&quot;noteIndex&quot;:0},&quot;isEdited&quot;:false,&quot;manualOverride&quot;:{&quot;isManuallyOverridden&quot;:false,&quot;citeprocText&quot;:&quot;(Saldarriaga Sergio, 2024)&quot;,&quot;manualOverrideText&quot;:&quot;&quot;},&quot;citationTag&quot;:&quot;MENDELEY_CITATION_v3_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&quot;,&quot;citationItems&quot;:[{&quot;id&quot;:&quot;5bef9066-28c2-3e42-9505-7d5792eb95cb&quot;,&quot;itemData&quot;:{&quot;type&quot;:&quot;thesis&quot;,&quot;id&quot;:&quot;5bef9066-28c2-3e42-9505-7d5792eb95cb&quot;,&quot;title&quot;:&quot;Ineficacia de las declaraciones de retención en la fuente.\nUn análisis comparativo frente a los cambios normativos de los años 2011 al 2023 y su relación con la debida gestión de cobro por parte de la DIAN seccional Villavicencio&quot;,&quot;groupId&quot;:&quot;971ce9a8-6561-39c7-bc05-0917ce119c89&quot;,&quot;author&quot;:[{&quot;family&quot;:&quot;Saldarriaga Sergio&quot;,&quot;given&quot;:&quot;&quot;,&quot;parse-names&quot;:false,&quot;dropping-particle&quot;:&quot;&quot;,&quot;non-dropping-particle&quot;:&quot;&quot;}],&quot;issued&quot;:{&quot;date-parts&quot;:[[2024]]},&quot;number-of-pages&quot;:&quot;1-70&quot;,&quot;language&quot;:&quot;Español&quot;,&quot;publisher&quot;:&quot;Universidad Externado de Colombia&quot;},&quot;isTemporary&quot;:false}]},{&quot;citationID&quot;:&quot;MENDELEY_CITATION_3259a629-cc03-4fde-afaf-42303bc03ad4&quot;,&quot;properties&quot;:{&quot;noteIndex&quot;:0},&quot;isEdited&quot;:false,&quot;manualOverride&quot;:{&quot;isManuallyOverridden&quot;:true,&quot;citeprocText&quot;:&quot;(Ley 2010 de 2019 (art. 101), 2019b)&quot;,&quot;manualOverrideText&quot;:&quot;(Ley 2010 de 2019)&quot;},&quot;citationTag&quot;:&quot;MENDELEY_CITATION_v3_eyJjaXRhdGlvbklEIjoiTUVOREVMRVlfQ0lUQVRJT05fMzI1OWE2MjktY2MwMy00ZmRlLWFmYWYtNDIzMDNiYzAzYWQ0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quot;,&quot;citationItems&quot;:[{&quot;id&quot;:&quot;61f228b1-d77d-33a4-9071-b532c619c011&quot;,&quot;itemData&quot;:{&quot;type&quot;:&quot;legislation&quot;,&quot;id&quot;:&quot;61f228b1-d77d-33a4-9071-b532c619c011&quot;,&quot;title&quot;:&quot;Ley 2010 de 2019 (art. 101)&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container-title-short&quot;:&quot;&quot;},&quot;isTemporary&quot;:false}]},{&quot;citationID&quot;:&quot;MENDELEY_CITATION_afa42cb7-546e-4002-aa12-43d2d9b9316d&quot;,&quot;properties&quot;:{&quot;noteIndex&quot;:0},&quot;isEdited&quot;:false,&quot;manualOverride&quot;:{&quot;isManuallyOverridden&quot;:true,&quot;citeprocText&quot;:&quot;(Ley 2010 de 2019 (art. 101), 2019b)&quot;,&quot;manualOverrideText&quot;:&quot;(Ley 2010 de 2019)&quot;},&quot;citationTag&quot;:&quot;MENDELEY_CITATION_v3_eyJjaXRhdGlvbklEIjoiTUVOREVMRVlfQ0lUQVRJT05fYWZhNDJjYjctNTQ2ZS00MDAyLWFhMTItNDNkMmQ5YjkzMTZk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quot;,&quot;citationItems&quot;:[{&quot;id&quot;:&quot;61f228b1-d77d-33a4-9071-b532c619c011&quot;,&quot;itemData&quot;:{&quot;type&quot;:&quot;legislation&quot;,&quot;id&quot;:&quot;61f228b1-d77d-33a4-9071-b532c619c011&quot;,&quot;title&quot;:&quot;Ley 2010 de 2019 (art. 101)&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container-title-short&quot;:&quot;&quot;},&quot;isTemporary&quot;:false}]},{&quot;citationID&quot;:&quot;MENDELEY_CITATION_656010aa-9f6b-4499-9b1a-12776845a72c&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NjU2MDEwYWEtOWY2Yi00NDk5LTliMWEtMTI3NzY4NDVhNzJj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6a50350d-123b-4173-b413-e3fe31ea4fef&quot;,&quot;properties&quot;:{&quot;noteIndex&quot;:0},&quot;isEdited&quot;:false,&quot;manualOverride&quot;:{&quot;isManuallyOverridden&quot;:true,&quot;citeprocText&quot;:&quot;(Paola &amp;#38; Palacio, 2018)&quot;,&quot;manualOverrideText&quot;:&quot;Rincón (2018)&quot;},&quot;citationTag&quot;:&quot;MENDELEY_CITATION_v3_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&quot;,&quot;citationItems&quot;:[{&quot;id&quot;:&quot;22a95315-46b9-3e77-a3a7-7190a3096c35&quot;,&quot;itemData&quot;:{&quot;type&quot;:&quot;report&quot;,&quot;id&quot;:&quot;22a95315-46b9-3e77-a3a7-7190a3096c35&quot;,&quot;title&quot;:&quot;Revista de Derecho Fiscal n.º 13 • julio-diciembre de&quot;,&quot;author&quot;:[{&quot;family&quot;:&quot;Paola&quot;,&quot;given&quot;:&quot;Adriana&quot;,&quot;parse-names&quot;:false,&quot;dropping-particle&quot;:&quot;&quot;,&quot;non-dropping-particle&quot;:&quot;&quot;},{&quot;family&quot;:&quot;Palacio&quot;,&quot;given&quot;:&quot;Rincón&quot;,&quot;parse-names&quot;:false,&quot;dropping-particle&quot;:&quot;&quot;,&quot;non-dropping-particle&quot;:&quot;&quot;}],&quot;issued&quot;:{&quot;date-parts&quot;:[[2018]]},&quot;number-of-pages&quot;:&quot;273-312&quot;,&quot;abstract&quot;:&quot;istration point of view. In the beginning, it was thought that retention agents would be persuaded to present his declarations with payment. However, it became an obstacle for collecting taxes and it also promoted tax evasion. The legislator established the declarations without effects with the purpose of acelerate collecting taxes thinking about a voluntary compliance. Although, it seems that the legislator forgot that besides voluntary compliance it was needed that the tax administration counts with collecting tools and at the same time it was an opportune moment to evaluate the tax determination procedure. Introducción La retención en la fuente es un mecanismo que permite que el recaudo del impuesto se realice en el mismo momento en que se produce el hecho generador del gravamen sobre el cual recae, ya sea el impuesto sobre la ren-ta o el impuesto al valor agregado. En este sentido, con la retención, la administración tributaria recibe un flujo de recursos cons-tante sin necesidad de esperar a que finalice el período gravable de cada impuesto. Se ha considerado que es una manifestación del principio de eficiencia tributaria, en la me-dida en que se pretende que el recaudo del tributo sea sencillo para la administración y cómodo para el contribuyente. Sin embargo, la consagración de la ineficacia de las decla-raciones de retención en la fuente presenta-das sin pago ha desvirtuado la eficiencia del mecanismo. El presente artículo tiene como objetivo abordar la problemática asociada a la consa-gración de la ineficacia de las declaraciones de retención en la fuente, tomando como fuente primaria la experiencia adquirida de la gestión de los procesos administrativos de cobro tanto en etapa coactiva como en la de representación externa. Igualmente, se proponen las reformas legislativas y las adecuaciones internas y tecnológicas que a juicio de la autora se consideran necesarias para mejorar la eficiencia del mecanismo de recaudo. Para efectos de determinar las razones por las cuales la consagración de la ineficacia conllevó a la ineficiencia del mecanismo de recaudo, en primer lugar, se explicará la evolución de la figura en la legislación colombiana y los mecanismos empleados a lo largo de la historia reciente para san-cionar el incumplimiento en el pago de las retenciones. Seguidamente, se analizará a fondo la problemática exponiendo las dificultades para realizar el cobro de las declaraciones de retención en la fuente ineficaces, entre las cuales se encuentra la ausencia de títu-lo ejecutivo, por cuanto se requiere de la resolución sanción por no declarar y de la liquidación oficial de aforo, lo cual demanda la gestión de varias Divisiones de Gestión de la entidad y no solamente de la División de Gestión de Cobranzas. Así mismo, se plantea el problema de la omisión en la pre-sentación de las declaraciones como opción de planeación fiscal, el cual se agrava por la solicitud de apertura del trámite concursal de liquidación judicial.&quot;,&quot;container-title-short&quot;:&quot;&quot;},&quot;isTemporary&quot;:false}]},{&quot;citationID&quot;:&quot;MENDELEY_CITATION_9bae8e24-1d98-49e8-9387-e2f14c151fa2&quot;,&quot;properties&quot;:{&quot;noteIndex&quot;:0},&quot;isEdited&quot;:false,&quot;manualOverride&quot;:{&quot;isManuallyOverridden&quot;:true,&quot;citeprocText&quot;:&quot;(&lt;i&gt;Sentencia C-102 de 2015&lt;/i&gt;, 2015b)&quot;,&quot;manualOverrideText&quot;:&quot;(Sentencia C-102 de 2015)&quot;},&quot;citationTag&quot;:&quot;MENDELEY_CITATION_v3_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&quot;,&quot;citationItems&quot;:[{&quot;id&quot;:&quot;df2638ca-6cde-3543-8cef-cfa6a8dc74cd&quot;,&quot;itemData&quot;:{&quot;type&quot;:&quot;legal_case&quot;,&quot;id&quot;:&quot;df2638ca-6cde-3543-8cef-cfa6a8dc74cd&quot;,&quot;title&quot;:&quot;Sentencia C-102 de 2015&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container-title-short&quot;:&quot;&quot;},&quot;isTemporary&quot;:false}]},{&quot;citationID&quot;:&quot;MENDELEY_CITATION_9346df20-e79a-4807-b636-51580c2d0f10&quot;,&quot;properties&quot;:{&quot;noteIndex&quot;:0},&quot;isEdited&quot;:false,&quot;manualOverride&quot;:{&quot;isManuallyOverridden&quot;:true,&quot;citeprocText&quot;:&quot;(Ley 2010 de 2019 (art. 101), 2019b)&quot;,&quot;manualOverrideText&quot;:&quot;(Ley 2010 de 2019)&quot;},&quot;citationTag&quot;:&quot;MENDELEY_CITATION_v3_eyJjaXRhdGlvbklEIjoiTUVOREVMRVlfQ0lUQVRJT05fOTM0NmRmMjAtZTc5YS00ODA3LWI2MzYtNTE1ODBjMmQwZjEw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quot;,&quot;citationItems&quot;:[{&quot;id&quot;:&quot;61f228b1-d77d-33a4-9071-b532c619c011&quot;,&quot;itemData&quot;:{&quot;type&quot;:&quot;legislation&quot;,&quot;id&quot;:&quot;61f228b1-d77d-33a4-9071-b532c619c011&quot;,&quot;title&quot;:&quot;Ley 2010 de 2019 (art. 101)&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container-title-short&quot;:&quot;&quot;},&quot;isTemporary&quot;:false}]},{&quot;citationID&quot;:&quot;MENDELEY_CITATION_88795893-db9d-47d6-9079-7bb5df04ddea&quot;,&quot;properties&quot;:{&quot;noteIndex&quot;:0},&quot;isEdited&quot;:false,&quot;manualOverride&quot;:{&quot;isManuallyOverridden&quot;:true,&quot;citeprocText&quot;:&quot;(Ley 2010 de 2019 (art. 101), 2019b)&quot;,&quot;manualOverrideText&quot;:&quot;(Ley 2010 de 2019)&quot;},&quot;citationTag&quot;:&quot;MENDELEY_CITATION_v3_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&quot;,&quot;citationItems&quot;:[{&quot;id&quot;:&quot;61f228b1-d77d-33a4-9071-b532c619c011&quot;,&quot;itemData&quot;:{&quot;type&quot;:&quot;legislation&quot;,&quot;id&quot;:&quot;61f228b1-d77d-33a4-9071-b532c619c011&quot;,&quot;title&quot;:&quot;Ley 2010 de 2019 (art. 101)&quot;,&quot;author&quot;:[{&quot;family&quot;:&quot;Colombia&quot;,&quot;given&quot;:&quot;Congreso de la República&quot;,&quot;parse-names&quot;:false,&quot;dropping-particle&quot;:&quot;de&quot;,&quot;non-dropping-particle&quot;:&quot;&quot;}],&quot;URL&quot;:&quot;https://www.suin-juriscol.gov.co/viewDocument.asp?id=30038705&quot;,&quot;issued&quot;:{&quot;date-parts&quot;:[[2019]]},&quot;language&quot;:&quot;es&quot;,&quot;abstract&quot;:&quot;Modificó el inciso 5 del artículo 580-1 del Estatuto Tributario e incorporó de forma expresa el mérito ejecutivo de la declaración inicialmente presentada.&quot;,&quot;publisher&quot;:&quot;Congreso de la República de Colombia&quot;,&quot;container-title-short&quot;:&quot;&quot;},&quot;isTemporary&quot;:false}]},{&quot;citationID&quot;:&quot;MENDELEY_CITATION_29bc7bae-aaa0-47be-aa7c-e45a0bd4194f&quot;,&quot;properties&quot;:{&quot;noteIndex&quot;:0},&quot;isEdited&quot;:false,&quot;manualOverride&quot;:{&quot;isManuallyOverridden&quot;:true,&quot;citeprocText&quot;:&quot;(Ley 2277, 2022b)&quot;,&quot;manualOverrideText&quot;:&quot;(Ley 2277, 2022)&quot;},&quot;citationTag&quot;:&quot;MENDELEY_CITATION_v3_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&quot;,&quot;citationItems&quot;:[{&quot;id&quot;:&quot;6a90f2ca-b2b0-376f-a42b-23bec6a0b97a&quot;,&quot;itemData&quot;:{&quot;type&quot;:&quot;legislation&quot;,&quot;id&quot;:&quot;6a90f2ca-b2b0-376f-a42b-23bec6a0b97a&quot;,&quot;title&quot;:&quot;Ley 2277&quot;,&quot;author&quot;:[{&quot;family&quot;:&quot;Congreso de la República de Colombia&quot;,&quot;given&quot;:&quot;&quot;,&quot;parse-names&quot;:false,&quot;dropping-particle&quot;:&quot;&quot;,&quot;non-dropping-particle&quot;:&quot;&quot;}],&quot;accessed&quot;:{&quot;date-parts&quot;:[[2025,10,22]]},&quot;URL&quot;:&quot;http://www.secretariasenado.gov.co/senado/basedoc/ley_2277_2022.html&quot;,&quot;issued&quot;:{&quot;date-parts&quot;:[[2022]]},&quot;container-title-short&quot;:&quot;&quot;},&quot;isTemporary&quot;:false}]},{&quot;citationID&quot;:&quot;MENDELEY_CITATION_c70b7a6a-8cd4-41ac-96ad-c886ca82ddd9&quot;,&quot;properties&quot;:{&quot;noteIndex&quot;:0},&quot;isEdited&quot;:false,&quot;manualOverride&quot;:{&quot;isManuallyOverridden&quot;:true,&quot;citeprocText&quot;:&quot;(Rincón Palacio, 2018b)&quot;,&quot;manualOverrideText&quot;:&quot;(Rincón Palacio, 2018)&quot;},&quot;citationTag&quot;:&quot;MENDELEY_CITATION_v3_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&quot;,&quot;citationItems&quot;:[{&quot;id&quot;:&quot;18941e3b-8244-3706-b6af-9381cbecddce&quot;,&quot;itemData&quot;:{&quot;type&quot;:&quot;article-journal&quot;,&quot;id&quot;:&quot;18941e3b-8244-3706-b6af-9381cbecddce&quot;,&quot;title&quot;:&quot;Problemática asociada a la consagración de la ineficacia de las declaraciones de retención en la fuente&quot;,&quot;author&quot;:[{&quot;family&quot;:&quot;Rincón Palacio&quot;,&quot;given&quot;:&quot;Adriana Paola&quot;,&quot;parse-names&quot;:false,&quot;dropping-particle&quot;:&quot;&quot;,&quot;non-dropping-particle&quot;:&quot;&quot;}],&quot;container-title&quot;:&quot;Revista de Derecho Fiscal&quot;,&quot;DOI&quot;:&quot;10.18601/16926722.n13.10&quot;,&quot;URL&quot;:&quot;https://revistas.uexternado.edu.co/index.php/fiscal/article/view/5684&quot;,&quot;issued&quot;:{&quot;date-parts&quot;:[[2018]]},&quot;page&quot;:&quot;273-312&quot;,&quot;language&quot;:&quot;es&quot;,&quot;abstract&quot;:&quot;Analiza las dificultades prácticas de cobro y ejecución asociadas a las declaraciones ineficaces.&quot;,&quot;issue&quot;:&quot;13&quot;,&quot;container-title-short&quot;:&quot;&quot;},&quot;isTemporary&quot;:false}]},{&quot;citationID&quot;:&quot;MENDELEY_CITATION_297a614f-cf37-4deb-916d-c780c170b2b6&quot;,&quot;properties&quot;:{&quot;noteIndex&quot;:0},&quot;isEdited&quot;:false,&quot;manualOverride&quot;:{&quot;isManuallyOverridden&quot;:true,&quot;citeprocText&quot;:&quot;(&lt;i&gt;Sentencia C-102 de 2015&lt;/i&gt;, 2015b)&quot;,&quot;manualOverrideText&quot;:&quot;(Sentencia C-102 de 2015)&quot;},&quot;citationTag&quot;:&quot;MENDELEY_CITATION_v3_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&quot;,&quot;citationItems&quot;:[{&quot;id&quot;:&quot;df2638ca-6cde-3543-8cef-cfa6a8dc74cd&quot;,&quot;itemData&quot;:{&quot;type&quot;:&quot;legal_case&quot;,&quot;id&quot;:&quot;df2638ca-6cde-3543-8cef-cfa6a8dc74cd&quot;,&quot;title&quot;:&quot;Sentencia C-102 de 2015&quot;,&quot;author&quot;:[{&quot;family&quot;:&quot;Colombia&quot;,&quot;given&quot;:&quot;Corte Constitucional&quot;,&quot;parse-names&quot;:false,&quot;dropping-particle&quot;:&quot;de&quot;,&quot;non-dropping-particle&quot;:&quot;&quot;}],&quot;URL&quot;:&quot;https://www.suin-juriscol.gov.co/viewDocument.asp?id=30020062&quot;,&quot;issued&quot;:{&quot;date-parts&quot;:[[2015]]},&quot;language&quot;:&quot;es&quot;,&quot;abstract&quot;:&quot;Declaró exequible el inciso primero del artículo 15 de la Ley 1430 de 2010 y sostuvo que la ineficacia no constituye sanción en sentido estricto.&quot;,&quot;publisher&quot;:&quot;Corte Constitucional de Colombia&quot;,&quot;container-title-short&quot;:&quot;&quot;},&quot;isTemporary&quot;:false}]},{&quot;citationID&quot;:&quot;MENDELEY_CITATION_6e3d5b42-509e-411a-ada5-97c431108bb0&quot;,&quot;properties&quot;:{&quot;noteIndex&quot;:0},&quot;isEdited&quot;:false,&quot;manualOverride&quot;:{&quot;isManuallyOverridden&quot;:true,&quot;citeprocText&quot;:&quot;(Estatuto Tributario, 1989a)&quot;,&quot;manualOverrideText&quot;:&quot;(Estatuto Tributario, 1989)&quot;},&quot;citationTag&quot;:&quot;MENDELEY_CITATION_v3_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&quot;,&quot;citationItems&quot;:[{&quot;id&quot;:&quot;363f9462-ae0e-324b-ac8e-f423901aa833&quot;,&quot;itemData&quot;:{&quot;type&quot;:&quot;legislation&quot;,&quot;id&quot;:&quot;363f9462-ae0e-324b-ac8e-f423901aa833&quot;,&quot;title&quot;:&quot;Estatuto Tributario&quot;,&quot;author&quot;:[{&quot;family&quot;:&quot;Presidencia de la República de Colombia&quot;,&quot;given&quot;:&quot;&quot;,&quot;parse-names&quot;:false,&quot;dropping-particle&quot;:&quot;&quot;,&quot;non-dropping-particle&quot;:&quot;&quot;}],&quot;accessed&quot;:{&quot;date-parts&quot;:[[2025,10,21]]},&quot;URL&quot;:&quot;http://www.secretariasenado.gov.co/senado/basedoc/estatuto_tributario.html&quot;,&quot;issued&quot;:{&quot;date-parts&quot;:[[1989]]},&quot;container-title-short&quot;:&quot;&quot;},&quot;isTemporary&quot;:false}]},{&quot;citationID&quot;:&quot;MENDELEY_CITATION_30a83968-34ec-40e9-9220-9a9bfbaf366e&quot;,&quot;properties&quot;:{&quot;noteIndex&quot;:0},&quot;isEdited&quot;:false,&quot;manualOverride&quot;:{&quot;isManuallyOverridden&quot;:true,&quot;citeprocText&quot;:&quot;(&lt;i&gt;Sentencia C-883 de 2011&lt;/i&gt;, 2011b)&quot;,&quot;manualOverrideText&quot;:&quot;(Sentencia C-883 de 2011)&quot;},&quot;citationTag&quot;:&quot;MENDELEY_CITATION_v3_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&quot;,&quot;citationItems&quot;:[{&quot;id&quot;:&quot;18901634-0a84-303d-8abb-e2218c629cb6&quot;,&quot;itemData&quot;:{&quot;type&quot;:&quot;legal_case&quot;,&quot;id&quot;:&quot;18901634-0a84-303d-8abb-e2218c629cb6&quot;,&quot;title&quot;:&quot;Sentencia C-883 de 2011&quot;,&quot;author&quot;:[{&quot;family&quot;:&quot;Colombia&quot;,&quot;given&quot;:&quot;Corte Constitucional&quot;,&quot;parse-names&quot;:false,&quot;dropping-particle&quot;:&quot;de&quot;,&quot;non-dropping-particle&quot;:&quot;&quot;}],&quot;URL&quot;:&quot;https://www.suin-juriscol.gov.co/viewDocument.asp?id=20043004&quot;,&quot;issued&quot;:{&quot;date-parts&quot;:[[2011]]},&quot;language&quot;:&quot;es&quot;,&quot;abstract&quot;:&quot;Examinó el artículo 15 de la Ley 1430 de 2010 y aspectos conexos del régimen de ineficacia de las declaraciones de retención en la fuente.&quot;,&quot;publisher&quot;:&quot;Corte Constitucional de Colombia&quot;,&quot;container-title-short&quot;:&quot;&quot;},&quot;isTemporary&quot;:false}]},{&quot;citationID&quot;:&quot;MENDELEY_CITATION_f3067696-8dfd-416d-8748-faaf35250ab5&quot;,&quot;properties&quot;:{&quot;noteIndex&quot;:0},&quot;isEdited&quot;:false,&quot;manualOverride&quot;:{&quot;isManuallyOverridden&quot;:false,&quot;citeprocText&quot;:&quot;(OCDE, 2025)&quot;,&quot;manualOverrideText&quot;:&quot;&quot;},&quot;citationTag&quot;:&quot;MENDELEY_CITATION_v3_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&quot;,&quot;citationItems&quot;:[{&quot;id&quot;:&quot;c1e1a203-cf72-3c9c-ad4a-f6a6fbce50af&quot;,&quot;itemData&quot;:{&quot;type&quot;:&quot;article-journal&quot;,&quot;id&quot;:&quot;c1e1a203-cf72-3c9c-ad4a-f6a6fbce50af&quot;,&quot;title&quot;:&quot;Administración tributaria 2024&quot;,&quot;author&quot;:[{&quot;family&quot;:&quot;OCDE&quot;,&quot;given&quot;:&quot;&quot;,&quot;parse-names&quot;:false,&quot;dropping-particle&quot;:&quot;&quot;,&quot;non-dropping-particle&quot;:&quot;&quot;}],&quot;issued&quot;:{&quot;date-parts&quot;:[[2025]]},&quot;container-title-short&quot;:&quot;&quot;},&quot;isTemporary&quot;:false}]}]"/>
    <we:property name="MENDELEY_CITATIONS_LOCALE_CODE" value="&quot;es-MX&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34565-D3D6-4D1C-99CD-EF3AC5B91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1280</TotalTime>
  <Pages>181</Pages>
  <Words>43028</Words>
  <Characters>236659</Characters>
  <Application>Microsoft Office Word</Application>
  <DocSecurity>0</DocSecurity>
  <Lines>1972</Lines>
  <Paragraphs>558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GARCIA ALVAREZ</dc:creator>
  <cp:keywords/>
  <dc:description/>
  <cp:lastModifiedBy>Autor</cp:lastModifiedBy>
  <cp:revision>6</cp:revision>
  <dcterms:created xsi:type="dcterms:W3CDTF">2026-05-27T03:57:00Z</dcterms:created>
  <dcterms:modified xsi:type="dcterms:W3CDTF">2026-07-30T14:15:00Z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id="eKauNAQh"/&gt;&lt;style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ClassificationContentMarkingFooterShapeIds">
    <vt:lpwstr>5fe20fff,4104ff90,71c47de0</vt:lpwstr>
  </property>
  <property fmtid="{D5CDD505-2E9C-101B-9397-08002B2CF9AE}" pid="5" name="ClassificationContentMarkingFooterFontProps">
    <vt:lpwstr>#000000,10,Calibri</vt:lpwstr>
  </property>
  <property fmtid="{D5CDD505-2E9C-101B-9397-08002B2CF9AE}" pid="6" name="ClassificationContentMarkingFooterText">
    <vt:lpwstr>Información Pública Clasificada </vt:lpwstr>
  </property>
  <property fmtid="{D5CDD505-2E9C-101B-9397-08002B2CF9AE}" pid="7" name="MSIP_Label_ccdd2d6d-4b00-43ff-82f7-780af7893f3e_Enabled">
    <vt:lpwstr>true</vt:lpwstr>
  </property>
  <property fmtid="{D5CDD505-2E9C-101B-9397-08002B2CF9AE}" pid="8" name="MSIP_Label_ccdd2d6d-4b00-43ff-82f7-780af7893f3e_SetDate">
    <vt:lpwstr>2026-02-21T13:28:27Z</vt:lpwstr>
  </property>
  <property fmtid="{D5CDD505-2E9C-101B-9397-08002B2CF9AE}" pid="9" name="MSIP_Label_ccdd2d6d-4b00-43ff-82f7-780af7893f3e_Method">
    <vt:lpwstr>Privileged</vt:lpwstr>
  </property>
  <property fmtid="{D5CDD505-2E9C-101B-9397-08002B2CF9AE}" pid="10" name="MSIP_Label_ccdd2d6d-4b00-43ff-82f7-780af7893f3e_Name">
    <vt:lpwstr>Clasificada</vt:lpwstr>
  </property>
  <property fmtid="{D5CDD505-2E9C-101B-9397-08002B2CF9AE}" pid="11" name="MSIP_Label_ccdd2d6d-4b00-43ff-82f7-780af7893f3e_SiteId">
    <vt:lpwstr>fab26e5a-737a-4438-8ccd-8e465ecf21d8</vt:lpwstr>
  </property>
  <property fmtid="{D5CDD505-2E9C-101B-9397-08002B2CF9AE}" pid="12" name="MSIP_Label_ccdd2d6d-4b00-43ff-82f7-780af7893f3e_ActionId">
    <vt:lpwstr>9461fa45-8740-461c-b9fd-cf308c16b3c4</vt:lpwstr>
  </property>
  <property fmtid="{D5CDD505-2E9C-101B-9397-08002B2CF9AE}" pid="13" name="MSIP_Label_ccdd2d6d-4b00-43ff-82f7-780af7893f3e_ContentBits">
    <vt:lpwstr>2</vt:lpwstr>
  </property>
</Properties>
</file>