
<file path=[Content_Types].xml><?xml version="1.0" encoding="utf-8"?>
<Types xmlns="http://schemas.openxmlformats.org/package/2006/content-types">
  <Default Extension="emf" ContentType="image/x-emf"/>
  <Default Extension="jpeg" ContentType="image/jpeg"/>
  <Default Extension="odttf" ContentType="application/vnd.openxmlformats-officedocument.obfuscatedFont"/>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A65C906" w14:textId="70885839" w:rsidR="005D037E" w:rsidRPr="005D037E" w:rsidRDefault="005D037E" w:rsidP="005D037E">
      <w:pPr>
        <w:jc w:val="center"/>
      </w:pPr>
      <w:r>
        <w:rPr>
          <w:noProof/>
        </w:rPr>
        <w:drawing>
          <wp:inline distT="0" distB="0" distL="0" distR="0" wp14:anchorId="16082C7F" wp14:editId="529FC0D4">
            <wp:extent cx="1828800" cy="1249775"/>
            <wp:effectExtent l="0" t="0" r="0" b="7620"/>
            <wp:docPr id="124447952" name="Imagen 1" descr="Logotip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4447952" name="Imagen 1" descr="Logotipo&#10;&#10;Descripción generada automáticamente"/>
                    <pic:cNvPicPr/>
                  </pic:nvPicPr>
                  <pic:blipFill>
                    <a:blip r:embed="rId9" cstate="print">
                      <a:extLst>
                        <a:ext uri="{28A0092B-C50C-407E-A947-70E740481C1C}">
                          <a14:useLocalDpi xmlns:a14="http://schemas.microsoft.com/office/drawing/2010/main" val="0"/>
                        </a:ext>
                      </a:extLst>
                    </a:blip>
                    <a:stretch>
                      <a:fillRect/>
                    </a:stretch>
                  </pic:blipFill>
                  <pic:spPr>
                    <a:xfrm>
                      <a:off x="0" y="0"/>
                      <a:ext cx="1854121" cy="1267079"/>
                    </a:xfrm>
                    <a:prstGeom prst="rect">
                      <a:avLst/>
                    </a:prstGeom>
                  </pic:spPr>
                </pic:pic>
              </a:graphicData>
            </a:graphic>
          </wp:inline>
        </w:drawing>
      </w:r>
    </w:p>
    <w:p w14:paraId="723F67BA" w14:textId="5C60C424" w:rsidR="005D037E" w:rsidRDefault="005D037E" w:rsidP="00357374">
      <w:pPr>
        <w:jc w:val="center"/>
        <w:rPr>
          <w:rFonts w:cs="Times New Roman"/>
          <w:szCs w:val="24"/>
        </w:rPr>
      </w:pPr>
      <w:r w:rsidRPr="005D037E">
        <w:rPr>
          <w:rFonts w:cs="Times New Roman"/>
          <w:b/>
          <w:bCs/>
          <w:sz w:val="28"/>
          <w:szCs w:val="28"/>
        </w:rPr>
        <w:t xml:space="preserve">Formación automatizada y transferencia del aprendizaje en entornos normativos dinámicos: estudio de caso en Car </w:t>
      </w:r>
      <w:proofErr w:type="spellStart"/>
      <w:r w:rsidRPr="005D037E">
        <w:rPr>
          <w:rFonts w:cs="Times New Roman"/>
          <w:b/>
          <w:bCs/>
          <w:sz w:val="28"/>
          <w:szCs w:val="28"/>
        </w:rPr>
        <w:t>Freight</w:t>
      </w:r>
      <w:proofErr w:type="spellEnd"/>
      <w:r w:rsidRPr="005D037E">
        <w:rPr>
          <w:rFonts w:cs="Times New Roman"/>
          <w:b/>
          <w:bCs/>
          <w:sz w:val="28"/>
          <w:szCs w:val="28"/>
        </w:rPr>
        <w:t xml:space="preserve"> </w:t>
      </w:r>
      <w:proofErr w:type="spellStart"/>
      <w:r w:rsidRPr="005D037E">
        <w:rPr>
          <w:rFonts w:cs="Times New Roman"/>
          <w:b/>
          <w:bCs/>
          <w:sz w:val="28"/>
          <w:szCs w:val="28"/>
        </w:rPr>
        <w:t>Shipping</w:t>
      </w:r>
      <w:proofErr w:type="spellEnd"/>
      <w:r w:rsidRPr="005D037E">
        <w:rPr>
          <w:rFonts w:cs="Times New Roman"/>
          <w:b/>
          <w:bCs/>
          <w:sz w:val="28"/>
          <w:szCs w:val="28"/>
        </w:rPr>
        <w:t xml:space="preserve"> Company</w:t>
      </w:r>
      <w:bookmarkStart w:id="0" w:name="_Hlk65067898"/>
    </w:p>
    <w:p w14:paraId="5D8112B6" w14:textId="77777777" w:rsidR="00357374" w:rsidRDefault="00357374" w:rsidP="005D037E">
      <w:pPr>
        <w:jc w:val="center"/>
        <w:rPr>
          <w:rFonts w:cs="Times New Roman"/>
          <w:szCs w:val="24"/>
        </w:rPr>
      </w:pPr>
    </w:p>
    <w:p w14:paraId="5BEA12E0" w14:textId="075185A7" w:rsidR="005D037E" w:rsidRPr="00357374" w:rsidRDefault="005D037E" w:rsidP="005D037E">
      <w:pPr>
        <w:jc w:val="center"/>
        <w:rPr>
          <w:rFonts w:cs="Times New Roman"/>
          <w:szCs w:val="24"/>
        </w:rPr>
      </w:pPr>
      <w:r w:rsidRPr="00357374">
        <w:rPr>
          <w:rFonts w:cs="Times New Roman"/>
          <w:szCs w:val="24"/>
        </w:rPr>
        <w:t>Karen Cardona Narváez</w:t>
      </w:r>
    </w:p>
    <w:p w14:paraId="49D72EC5" w14:textId="77777777" w:rsidR="005D037E" w:rsidRPr="00357374" w:rsidRDefault="005D037E" w:rsidP="005D037E">
      <w:pPr>
        <w:ind w:firstLine="0"/>
        <w:rPr>
          <w:rFonts w:cs="Times New Roman"/>
          <w:szCs w:val="24"/>
        </w:rPr>
      </w:pPr>
    </w:p>
    <w:bookmarkStart w:id="1" w:name="_Hlk68542115"/>
    <w:p w14:paraId="5F2A0F69" w14:textId="7D509A81" w:rsidR="005D037E" w:rsidRPr="00357374" w:rsidRDefault="00357374" w:rsidP="005D037E">
      <w:pPr>
        <w:jc w:val="center"/>
        <w:rPr>
          <w:rFonts w:cs="Times New Roman"/>
          <w:szCs w:val="24"/>
        </w:rPr>
      </w:pPr>
      <w:sdt>
        <w:sdtPr>
          <w:rPr>
            <w:rStyle w:val="Estilo7"/>
            <w:szCs w:val="24"/>
          </w:rPr>
          <w:alias w:val="Tipo de documento"/>
          <w:tag w:val="Tipo de documento"/>
          <w:id w:val="1127737763"/>
          <w:placeholder>
            <w:docPart w:val="2ED6C1BF07B347149EABAB02D3677B0B"/>
          </w:placeholder>
          <w15:color w:val="008000"/>
          <w:dropDownList>
            <w:listItem w:displayText="Tipo de documento" w:value="Tipo de documento"/>
            <w:listItem w:displayText="Anteproyecto presentado" w:value="Anteproyecto presentado"/>
            <w:listItem w:displayText="Artículo de investigación presentado" w:value="Artículo de investigación presentado"/>
            <w:listItem w:displayText="Artículo de reflexión presentado" w:value="Artículo de reflexión presentado"/>
            <w:listItem w:displayText="Artículo de revisión presentado" w:value="Artículo de revisión presentado"/>
            <w:listItem w:displayText="Balance historiográfico presentado" w:value="Balance historiográfico presentado"/>
            <w:listItem w:displayText="Cartilla presentada" w:value="Cartilla presentada"/>
            <w:listItem w:displayText="Compilación y edición crítica de fuentes documentales presentada" w:value="Compilación y edición crítica de fuentes documentales presentada"/>
            <w:listItem w:displayText="Descripción y valoración de fuentes documentales presentado" w:value="Descripción y valoración de fuentes documentales presentado"/>
            <w:listItem w:displayText="Ensayo presentado" w:value="Ensayo presentado"/>
            <w:listItem w:displayText="Estudio de caso" w:value="Estudio de caso"/>
            <w:listItem w:displayText="Informe de pasantía en investigación presentado" w:value="Informe de pasantía en investigación presentado"/>
            <w:listItem w:displayText="Informe de práctica presentado" w:value="Informe de práctica presentado"/>
            <w:listItem w:displayText="Monografía presentada" w:value="Monografía presentada"/>
            <w:listItem w:displayText="Plan de negocio presentado" w:value="Plan de negocio presentado"/>
            <w:listItem w:displayText="Propuesta educativa" w:value="Propuesta educativa"/>
            <w:listItem w:displayText="Proyecto presentado" w:value="Proyecto presentado"/>
            <w:listItem w:displayText="Sistematitización de pasantía presentada" w:value="Sistematitización de pasantía presentada"/>
            <w:listItem w:displayText="Tesis de maestría presentada" w:value="Tesis de maestría presentada"/>
            <w:listItem w:displayText="Tesis doctoral presentada" w:value="Tesis doctoral presentada"/>
            <w:listItem w:displayText="Trabajo de grado presentado" w:value="Trabajo de grado presentado"/>
            <w:listItem w:displayText="Trabajo de investigación presentado" w:value="Trabajo de investigación presentado"/>
          </w:dropDownList>
        </w:sdtPr>
        <w:sdtEndPr>
          <w:rPr>
            <w:rStyle w:val="Fuentedeprrafopredeter"/>
            <w:rFonts w:cs="Times New Roman"/>
          </w:rPr>
        </w:sdtEndPr>
        <w:sdtContent>
          <w:r w:rsidR="005D037E" w:rsidRPr="00357374">
            <w:rPr>
              <w:rStyle w:val="Estilo7"/>
              <w:szCs w:val="24"/>
            </w:rPr>
            <w:t>Tesis de maestría presentada</w:t>
          </w:r>
        </w:sdtContent>
      </w:sdt>
      <w:r w:rsidR="005D037E" w:rsidRPr="00357374">
        <w:rPr>
          <w:rFonts w:cs="Times New Roman"/>
          <w:szCs w:val="24"/>
        </w:rPr>
        <w:t xml:space="preserve"> para optar al título de</w:t>
      </w:r>
      <w:bookmarkStart w:id="2" w:name="_Hlk206691093"/>
      <w:r w:rsidR="005D037E" w:rsidRPr="00357374">
        <w:rPr>
          <w:rFonts w:cs="Times New Roman"/>
          <w:szCs w:val="24"/>
        </w:rPr>
        <w:t xml:space="preserve"> </w:t>
      </w:r>
      <w:bookmarkStart w:id="3" w:name="_Hlk206690637"/>
      <w:bookmarkStart w:id="4" w:name="_Hlk206692023"/>
      <w:sdt>
        <w:sdtPr>
          <w:rPr>
            <w:rStyle w:val="TextocomentarioCar"/>
            <w:rFonts w:cs="Times New Roman"/>
            <w:sz w:val="24"/>
            <w:szCs w:val="24"/>
          </w:rPr>
          <w:alias w:val="Título"/>
          <w:tag w:val="Título"/>
          <w:id w:val="907349457"/>
          <w:placeholder>
            <w:docPart w:val="655487AEE9B7463FBE5D39F3DB59F762"/>
          </w:placeholder>
          <w15:color w:val="008000"/>
          <w:dropDownList>
            <w:listItem w:displayText="Seleccione título otorgado pregrado o posgrado UManizales (A-Z)" w:value="Seleccione título otorgado pregrado o posgrado UManizales (A-Z)"/>
            <w:listItem w:displayText="Abogado " w:value="Abogado "/>
            <w:listItem w:displayText="Administrador de Empresas" w:value="Administrador de Empresas"/>
            <w:listItem w:displayText="Administrador en Gestión Documental y Archivística" w:value="Administrador en Gestión Documental y Archivística"/>
            <w:listItem w:displayText="Comunicador Social y Periodista" w:value="Comunicador Social y Periodista"/>
            <w:listItem w:displayText="Contador Público" w:value="Contador Público"/>
            <w:listItem w:displayText="Doctor en Administración" w:value="Doctor en Administración"/>
            <w:listItem w:displayText="Doctor en Ciencias Sociales, Niñez y Juventud" w:value="Doctor en Ciencias Sociales, Niñez y Juventud"/>
            <w:listItem w:displayText="Doctor en Derecho" w:value="Doctor en Derecho"/>
            <w:listItem w:displayText="Doctor en Desarrollo Sostenible" w:value="Doctor en Desarrollo Sostenible"/>
            <w:listItem w:displayText="Doctor en Formación en Diversidad" w:value="Doctor en Formación en Diversidad"/>
            <w:listItem w:displayText="Doctor en Pedagogías y Saberes Educativos" w:value="Doctor en Pedagogías y Saberes Educativos"/>
            <w:listItem w:displayText="Doctor en Psicología" w:value="Doctor en Psicología"/>
            <w:listItem w:displayText="Economista" w:value="Economista"/>
            <w:listItem w:displayText="Especialista en Comercio y Negocios Internacionales" w:value="Especialista en Comercio y Negocios Internacionales"/>
            <w:listItem w:displayText="Especialista en Contratación Pública" w:value="Especialista en Contratación Pública"/>
            <w:listItem w:displayText="Especialista en Derecho Constitucional y de los Derechos Humanos" w:value="Especialista en Derecho Constitucional y de los Derechos Humanos"/>
            <w:listItem w:displayText="Especialista en Estudios Interdisciplinarios en Duelo" w:value="Especialista en Estudios Interdisciplinarios en Duelo"/>
            <w:listItem w:displayText="Especialista en Finanzas" w:value="Especialista en Finanzas"/>
            <w:listItem w:displayText="Especialista en Gerencia de la Comunicación Digital " w:value="Especialista en Gerencia de la Comunicación Digital "/>
            <w:listItem w:displayText="Especialista en Gerencia de la Seguridad y Salud en el Trabajo" w:value="Especialista en Gerencia de la Seguridad y Salud en el Trabajo"/>
            <w:listItem w:displayText="Especialista en Gerencia de Mercadeo y Ventas" w:value="Especialista en Gerencia de Mercadeo y Ventas"/>
            <w:listItem w:displayText="Especialista en Gerencia de Proyectos" w:value="Especialista en Gerencia de Proyectos"/>
            <w:listItem w:displayText="Especialista en Gerencia del Talento Humano " w:value="Especialista en Gerencia del Talento Humano "/>
            <w:listItem w:displayText="Especialista en Gestión de Estándares Internacionales e Información Financiera" w:value="Especialista en Gestión de Estándares Internacionales e Información Financiera"/>
            <w:listItem w:displayText="Especialista en Gestión de la Innovación" w:value="Especialista en Gestión de la Innovación"/>
            <w:listItem w:displayText="Especialista en Medicina Crítica y Cuidados Intensivos" w:value="Especialista en Medicina Crítica y Cuidados Intensivos"/>
            <w:listItem w:displayText="Especialista en Medicina Interna" w:value="Especialista en Medicina Interna"/>
            <w:listItem w:displayText="Especialista en Neuropsicopedagogía" w:value="Especialista en Neuropsicopedagogía"/>
            <w:listItem w:displayText="Especialista en Psicoterapia y Consulta Sistémica" w:value="Especialista en Psicoterapia y Consulta Sistémica"/>
            <w:listItem w:displayText="Especialista en Psiquiatría" w:value="Especialista en Psiquiatría"/>
            <w:listItem w:displayText="Especialista en Redes y Telecomunicaciones" w:value="Especialista en Redes y Telecomunicaciones"/>
            <w:listItem w:displayText="Especialista en Resolución de Conflictos, Conciliación y Paz " w:value="Especialista en Resolución de Conflictos, Conciliación y Paz "/>
            <w:listItem w:displayText="Especialista en Seguridad Social " w:value="Especialista en Seguridad Social "/>
            <w:listItem w:displayText="Especialista en Sistema Procesal Penal" w:value="Especialista en Sistema Procesal Penal"/>
            <w:listItem w:displayText="Especialista en Sistemas de Información Geográfica " w:value="Especialista en Sistemas de Información Geográfica "/>
            <w:listItem w:displayText="Especialista en Sistemas Integrados de Gestión " w:value="Especialista en Sistemas Integrados de Gestión "/>
            <w:listItem w:displayText="Ingeniero de Sistemas " w:value="Ingeniero de Sistemas "/>
            <w:listItem w:displayText="Ingeniero de Sistemas y Telecomunicaciones" w:value="Ingeniero de Sistemas y Telecomunicaciones"/>
            <w:listItem w:displayText="Ingeniero en Analítica de Datos " w:value="Ingeniero en Analítica de Datos "/>
            <w:listItem w:displayText="Ingeniero en Seguridad de la Información" w:value="Ingeniero en Seguridad de la Información"/>
            <w:listItem w:displayText="Ingeniero Industrial " w:value="Ingeniero Industrial "/>
            <w:listItem w:displayText="Ingeniero Logístico" w:value="Ingeniero Logístico"/>
            <w:listItem w:displayText="Licenciado en Educación Básica Primaria con Énfasis en Diversidad" w:value="Licenciado en Educación Básica Primaria con Énfasis en Diversidad"/>
            <w:listItem w:displayText="Magíster en Bioinformática y Biología Computacional" w:value="Magíster en Bioinformática y Biología Computacional"/>
            <w:listItem w:displayText="Magíster en Ciencias Forenses" w:value="Magíster en Ciencias Forenses"/>
            <w:listItem w:displayText="Magíster en Ciencias Forenses y Sistema Penal" w:value="Magíster en Ciencias Forenses y Sistema Penal"/>
            <w:listItem w:displayText="Magíster en Comunicación" w:value="Magíster en Comunicación"/>
            <w:listItem w:displayText="Magíster en Derecho" w:value="Magíster en Derecho"/>
            <w:listItem w:displayText="Magíster en Derecho Constitucional y Política Legislativa" w:value="Magíster en Derecho Constitucional y Política Legislativa"/>
            <w:listItem w:displayText="Magíster en Desarrollo Infantil" w:value="Magíster en Desarrollo Infantil"/>
            <w:listItem w:displayText="Magíster en Desarrollo Sostenible y Medio Ambiente" w:value="Magíster en Desarrollo Sostenible y Medio Ambiente"/>
            <w:listItem w:displayText="Magíster en Economía" w:value="Magíster en Economía"/>
            <w:listItem w:displayText="Magíster en Ecología Política" w:value="Magíster en Ecología Política"/>
            <w:listItem w:displayText="Magíster en Educación" w:value="Magíster en Educación"/>
            <w:listItem w:displayText="Magíster en Educación desde la Diversidad" w:value="Magíster en Educación desde la Diversidad"/>
            <w:listItem w:displayText="Magíster en Educación y Desarrollo Humano" w:value="Magíster en Educación y Desarrollo Humano"/>
            <w:listItem w:displayText="Magíster en Educación y Desarrollo Humano - Sabaneta" w:value="Magíster en Educación y Desarrollo Humano - Sabaneta"/>
            <w:listItem w:displayText="Magíster en Educación y Docencia" w:value="Magíster en Educación y Docencia"/>
            <w:listItem w:displayText="Magíster en Educación y Transformación Digital" w:value="Magíster en Educación y Transformación Digital"/>
            <w:listItem w:displayText="Magíster en Finanzas" w:value="Magíster en Finanzas"/>
            <w:listItem w:displayText="Magíster en Gerencia del Talento Humano" w:value="Magíster en Gerencia del Talento Humano"/>
            <w:listItem w:displayText="Magíster en Gestión Estrátegica de la Información" w:value="Magíster en Gestión Estratégica de la Información"/>
            <w:listItem w:displayText="Magíster en Mercadeo" w:value="Magíster en Mercadeo"/>
            <w:listItem w:displayText="Magíster en Psicología Clínica" w:value="Magíster en Psicología Clínica"/>
            <w:listItem w:displayText="Magíster en Psicología Social" w:value="Magíster en Psicología Social"/>
            <w:listItem w:displayText="Magíster en Seguridad de la Información" w:value="Magíster en Seguridad de la Información"/>
            <w:listItem w:displayText="Magíster en Tecnologías de la Información Geográfica" w:value="Magíster en Tecnologías de la Información Geográfica"/>
            <w:listItem w:displayText="Magíster en Tributación" w:value="Magíster en Tributación"/>
            <w:listItem w:displayText="Médico" w:value="Médico"/>
            <w:listItem w:displayText="Posdoctor en Ciencias de la Tierra y Medio Ambiente" w:value="Posdoctor en Ciencias de la Tierra y Medio Ambiente"/>
            <w:listItem w:displayText="Posdoctor en Ciencias Sociales, Niñez y Juventud" w:value="Posdoctor en Ciencias Sociales, Niñez y Juventud"/>
            <w:listItem w:displayText="Posdoctor en Diversidades, Saberes y Lenguajes del Sur" w:value="Posdoctor en Diversidades, Saberes y Lenguajes del Sur"/>
            <w:listItem w:displayText="Psicólogo" w:value="Psicólogo"/>
            <w:listItem w:displayText="Profesional en Finanzas y Negocios Internacionales" w:value="Profesional en Finanzas y Negocios Internacionales"/>
            <w:listItem w:displayText="Profesional en Gestión Ambiental" w:value="Profesional en Gestión Ambiental"/>
            <w:listItem w:displayText="Profesional en Mercadeo Nacional e Internacional" w:value="Profesional en Mercadeo Nacional e Internacional"/>
          </w:dropDownList>
        </w:sdtPr>
        <w:sdtEndPr>
          <w:rPr>
            <w:rStyle w:val="Fuentedeprrafopredeter"/>
            <w:rFonts w:eastAsia="Calibri"/>
            <w:lang w:eastAsia="es-CO"/>
          </w:rPr>
        </w:sdtEndPr>
        <w:sdtContent>
          <w:r w:rsidR="005D037E" w:rsidRPr="00357374">
            <w:rPr>
              <w:rStyle w:val="TextocomentarioCar"/>
              <w:rFonts w:cs="Times New Roman"/>
              <w:sz w:val="24"/>
              <w:szCs w:val="24"/>
            </w:rPr>
            <w:t>Magíster en Gerencia del Talento Humano</w:t>
          </w:r>
        </w:sdtContent>
      </w:sdt>
      <w:bookmarkEnd w:id="2"/>
      <w:bookmarkEnd w:id="3"/>
    </w:p>
    <w:bookmarkEnd w:id="4"/>
    <w:p w14:paraId="6B9E12CC" w14:textId="77777777" w:rsidR="005D037E" w:rsidRPr="00357374" w:rsidRDefault="005D037E" w:rsidP="005D037E">
      <w:pPr>
        <w:jc w:val="center"/>
        <w:rPr>
          <w:rFonts w:cs="Times New Roman"/>
          <w:szCs w:val="24"/>
        </w:rPr>
      </w:pPr>
    </w:p>
    <w:bookmarkStart w:id="5" w:name="_Hlk65077587"/>
    <w:bookmarkEnd w:id="1"/>
    <w:p w14:paraId="4F0C32F4" w14:textId="0EA9712A" w:rsidR="005D037E" w:rsidRPr="00357374" w:rsidRDefault="00357374" w:rsidP="005D037E">
      <w:pPr>
        <w:jc w:val="center"/>
        <w:rPr>
          <w:rStyle w:val="Estilo3"/>
          <w:szCs w:val="24"/>
        </w:rPr>
      </w:pPr>
      <w:sdt>
        <w:sdtPr>
          <w:rPr>
            <w:szCs w:val="24"/>
          </w:rPr>
          <w:alias w:val="Tipo de orientador(es)"/>
          <w:tag w:val="Tipo de orientador(es)"/>
          <w:id w:val="-2029240515"/>
          <w:placeholder>
            <w:docPart w:val="77B95ABA0FBA4CADAFEFB94E28F55F38"/>
          </w:placeholder>
          <w15:color w:val="008000"/>
          <w:dropDownList>
            <w:listItem w:displayText="Seleccione tipo de orientador(es)" w:value="Seleccione tipo de orientador(es)"/>
            <w:listItem w:displayText="Asesor" w:value="Asesor"/>
            <w:listItem w:displayText="Asesora" w:value="Asesora"/>
            <w:listItem w:displayText="Asesoras" w:value="Asesoras"/>
            <w:listItem w:displayText="Asesores" w:value="Asesores"/>
            <w:listItem w:displayText="Coasesor" w:value="Coasesor"/>
            <w:listItem w:displayText="Coasesora" w:value="Coasesora"/>
            <w:listItem w:displayText="Coasesoras" w:value="Coasesoras"/>
            <w:listItem w:displayText="Coasesores" w:value="Coasesores"/>
            <w:listItem w:displayText="Codirector" w:value="Codirector"/>
            <w:listItem w:displayText="Codirectora" w:value="Codirectora"/>
            <w:listItem w:displayText="Codirectoras" w:value="Codirectoras"/>
            <w:listItem w:displayText="Codirectores" w:value="Codirectores"/>
            <w:listItem w:displayText="Cotutor" w:value="Cotutor"/>
            <w:listItem w:displayText="Cotutora" w:value="Cotutora"/>
            <w:listItem w:displayText="Cotutoras" w:value="Cotutoras"/>
            <w:listItem w:displayText="Cotutores" w:value="Cotutores"/>
            <w:listItem w:displayText="Director" w:value="Director"/>
            <w:listItem w:displayText="Directora" w:value="Directora"/>
            <w:listItem w:displayText="Directoras" w:value="Directoras"/>
            <w:listItem w:displayText="Directores" w:value="Directores"/>
            <w:listItem w:displayText="Docente" w:value="Docente"/>
            <w:listItem w:displayText="Tutor" w:value="Tutor"/>
            <w:listItem w:displayText="Tutora" w:value="Tutora"/>
            <w:listItem w:displayText="Tutoras" w:value="Tutoras"/>
            <w:listItem w:displayText="Tutores" w:value="Tutores"/>
          </w:dropDownList>
        </w:sdtPr>
        <w:sdtEndPr>
          <w:rPr>
            <w:rFonts w:cs="Times New Roman"/>
          </w:rPr>
        </w:sdtEndPr>
        <w:sdtContent>
          <w:r w:rsidR="005D037E" w:rsidRPr="00357374">
            <w:rPr>
              <w:szCs w:val="24"/>
            </w:rPr>
            <w:t>Asesor</w:t>
          </w:r>
        </w:sdtContent>
      </w:sdt>
      <w:r w:rsidR="005D037E" w:rsidRPr="00357374">
        <w:rPr>
          <w:rFonts w:cs="Times New Roman"/>
          <w:szCs w:val="24"/>
        </w:rPr>
        <w:t>:</w:t>
      </w:r>
      <w:bookmarkEnd w:id="5"/>
      <w:r w:rsidR="005D037E" w:rsidRPr="00357374">
        <w:rPr>
          <w:rFonts w:cs="Times New Roman"/>
          <w:szCs w:val="24"/>
        </w:rPr>
        <w:t xml:space="preserve"> </w:t>
      </w:r>
      <w:r w:rsidR="005D037E" w:rsidRPr="00357374">
        <w:rPr>
          <w:szCs w:val="24"/>
        </w:rPr>
        <w:t>Luis Humberto Orozco Nieto</w:t>
      </w:r>
      <w:r w:rsidRPr="00357374">
        <w:rPr>
          <w:szCs w:val="24"/>
        </w:rPr>
        <w:t>, Doctor en Ciencias Sociales, Niñez y Juventud</w:t>
      </w:r>
      <w:r w:rsidR="005D037E" w:rsidRPr="00357374">
        <w:rPr>
          <w:rStyle w:val="Estilo3"/>
          <w:szCs w:val="24"/>
        </w:rPr>
        <w:tab/>
      </w:r>
    </w:p>
    <w:p w14:paraId="220BA7AA" w14:textId="77777777" w:rsidR="005D037E" w:rsidRPr="00357374" w:rsidRDefault="005D037E" w:rsidP="005D037E">
      <w:pPr>
        <w:tabs>
          <w:tab w:val="left" w:pos="8110"/>
        </w:tabs>
        <w:rPr>
          <w:rStyle w:val="Estilo3"/>
          <w:szCs w:val="24"/>
        </w:rPr>
      </w:pPr>
      <w:r w:rsidRPr="00357374">
        <w:rPr>
          <w:rStyle w:val="Estilo3"/>
          <w:szCs w:val="24"/>
        </w:rPr>
        <w:tab/>
      </w:r>
    </w:p>
    <w:p w14:paraId="342BE340" w14:textId="00793F1F" w:rsidR="005D037E" w:rsidRPr="00357374" w:rsidRDefault="00357374" w:rsidP="005D037E">
      <w:pPr>
        <w:jc w:val="center"/>
        <w:rPr>
          <w:rFonts w:cs="Times New Roman"/>
          <w:szCs w:val="24"/>
        </w:rPr>
      </w:pPr>
      <w:sdt>
        <w:sdtPr>
          <w:rPr>
            <w:rStyle w:val="Estilo3"/>
            <w:szCs w:val="24"/>
          </w:rPr>
          <w:alias w:val="Seleccione universidad o convenio"/>
          <w:tag w:val="Seleccione universidad o convenio"/>
          <w:id w:val="204839192"/>
          <w:placeholder>
            <w:docPart w:val="2CC10B4873014FB19E534DC61750D62C"/>
          </w:placeholder>
          <w15:color w:val="008000"/>
          <w:dropDownList>
            <w:listItem w:displayText="Universidad de Manizales" w:value="Universidad de Manizales"/>
            <w:listItem w:displayText="Universidad de Manizales - Fundación Centro Internacional de Educación y Desarrollo Humano (CINDE)" w:value="Universidad de Manizales - Fundación Centro Internacional de Educación y Desarrollo Humano (CINDE)"/>
          </w:dropDownList>
        </w:sdtPr>
        <w:sdtEndPr>
          <w:rPr>
            <w:rStyle w:val="Estilo3"/>
          </w:rPr>
        </w:sdtEndPr>
        <w:sdtContent>
          <w:r w:rsidR="005D037E" w:rsidRPr="00357374">
            <w:rPr>
              <w:rStyle w:val="Estilo3"/>
              <w:szCs w:val="24"/>
            </w:rPr>
            <w:t>Universidad de Manizales</w:t>
          </w:r>
        </w:sdtContent>
      </w:sdt>
      <w:r w:rsidR="005D037E" w:rsidRPr="00357374">
        <w:rPr>
          <w:szCs w:val="24"/>
        </w:rPr>
        <w:br/>
      </w:r>
      <w:sdt>
        <w:sdtPr>
          <w:rPr>
            <w:rStyle w:val="TextocomentarioCar"/>
            <w:sz w:val="24"/>
            <w:szCs w:val="24"/>
          </w:rPr>
          <w:alias w:val="Facultad"/>
          <w:tag w:val="Facultad"/>
          <w:id w:val="1362708455"/>
          <w:placeholder>
            <w:docPart w:val="C8E3899A32B2413E965DC9EAAD7D66F5"/>
          </w:placeholder>
          <w15:color w:val="008000"/>
          <w:dropDownList>
            <w:listItem w:displayText="Seleccione Facultad UManizales" w:value="Seleccione Facultad UManizales"/>
            <w:listItem w:displayText="Facultad de Ciencias Contables, Económicas y Administrativas " w:value="Facultad de Ciencias Contables, Económicas y Administrativas "/>
            <w:listItem w:displayText="Facultad de Ciencias de la Salud" w:value="Facultad de Ciencias de la Salud"/>
            <w:listItem w:displayText="Facultad de Ciencias e Ingeniería" w:value="Facultad de Ciencias e Ingeniería"/>
            <w:listItem w:displayText="Facultad de Ciencias Jurídicas " w:value="Facultad de Ciencias Jurídicas "/>
            <w:listItem w:displayText="Facultad de Ciencias Sociales y Humanas" w:value="Facultad de Ciencias Sociales y Humanas"/>
          </w:dropDownList>
        </w:sdtPr>
        <w:sdtEndPr>
          <w:rPr>
            <w:rStyle w:val="Fuentedeprrafopredeter"/>
            <w:rFonts w:eastAsia="Calibri" w:cs="Times New Roman"/>
            <w:lang w:eastAsia="es-CO"/>
          </w:rPr>
        </w:sdtEndPr>
        <w:sdtContent>
          <w:r w:rsidR="005D037E" w:rsidRPr="00357374">
            <w:rPr>
              <w:rStyle w:val="TextocomentarioCar"/>
              <w:sz w:val="24"/>
              <w:szCs w:val="24"/>
            </w:rPr>
            <w:t>Facultad de Ciencias Sociales y Humanas</w:t>
          </w:r>
        </w:sdtContent>
      </w:sdt>
    </w:p>
    <w:bookmarkStart w:id="6" w:name="_Hlk206691583"/>
    <w:p w14:paraId="12B9D476" w14:textId="648112C2" w:rsidR="005D037E" w:rsidRPr="00357374" w:rsidRDefault="00357374" w:rsidP="005D037E">
      <w:pPr>
        <w:jc w:val="center"/>
        <w:rPr>
          <w:rFonts w:cs="Times New Roman"/>
          <w:szCs w:val="24"/>
        </w:rPr>
      </w:pPr>
      <w:sdt>
        <w:sdtPr>
          <w:rPr>
            <w:rStyle w:val="TextocomentarioCar"/>
            <w:rFonts w:cs="Times New Roman"/>
            <w:sz w:val="24"/>
            <w:szCs w:val="24"/>
          </w:rPr>
          <w:alias w:val="Programa"/>
          <w:tag w:val="Programa"/>
          <w:id w:val="-1492942475"/>
          <w:placeholder>
            <w:docPart w:val="412292A988D54416931E85F2FFC771AC"/>
          </w:placeholder>
          <w15:color w:val="008000"/>
          <w:dropDownList>
            <w:listItem w:displayText="Seleccione pregrado o posgrado UManizales (A-Z)" w:value="Seleccione pregrado o posgrado UManizales (A-Z)"/>
            <w:listItem w:displayText="Administración de Empresas" w:value="Administración de Empresas"/>
            <w:listItem w:displayText="Administración de Empresas - Virtual" w:value="Administración de Empresas - Virtual"/>
            <w:listItem w:displayText="Administración en Gestión Documental y Archivística" w:value="Administración en Gestión Documental y Archivística"/>
            <w:listItem w:displayText="Administración en Gestión Documental y Archivística - Virtual" w:value="Administración en Gestión Documental y Archivística - Virtual"/>
            <w:listItem w:displayText="Comunicación Social y Periodismo" w:value="Comunicación Social y Periodismo"/>
            <w:listItem w:displayText="Contaduría Pública" w:value="Contaduría Pública"/>
            <w:listItem w:displayText="Contaduría Pública - Virtual" w:value="Contaduría Pública - Virtual"/>
            <w:listItem w:displayText="Derecho" w:value="Derecho"/>
            <w:listItem w:displayText="Doctorado en Administración" w:value="Doctorado en Administración"/>
            <w:listItem w:displayText="Doctorado en Ciencias Sociales, Niñez y Juventud" w:value="Doctorado en Ciencias Sociales, Niñez y Juventud"/>
            <w:listItem w:displayText="Doctorado en Derecho" w:value="Doctorado en Derecho"/>
            <w:listItem w:displayText="Doctorado en Derecho - Virtual" w:value="Doctorado en Derecho - Virtual"/>
            <w:listItem w:displayText="Doctorado en Desarrollo Sostenible" w:value="Doctorado en Desarrollo Sostenible"/>
            <w:listItem w:displayText="Doctorado en Desarrollo Sostenible - Virtual" w:value="Doctorado en Desarrollo Sostenible - Virtual"/>
            <w:listItem w:displayText="Doctorado en Formación en Diversidad" w:value="Doctorado en Formación en Diversidad"/>
            <w:listItem w:displayText="Doctorado en Formación en Diversidad - Virtual" w:value="Doctorado en Formación en Diversidad - Virtual"/>
            <w:listItem w:displayText="Doctorado en Pedagogías y Saberes Educativos - Virtual" w:value="Doctorado en Pedagogías y Saberes Educativos - Virtual"/>
            <w:listItem w:displayText="Doctorado en Psicología" w:value="Doctorado en Psicología"/>
            <w:listItem w:displayText="Economía - Virtual" w:value="Economía - Virtual"/>
            <w:listItem w:displayText="Especialización en Comercio y Negocios Internacionales" w:value="Especialización en Comercio y Negocios Internacionales"/>
            <w:listItem w:displayText="Especialización en Contratación Pública" w:value="Especialización en Contratación Pública"/>
            <w:listItem w:displayText="Especialización en Derecho Constitucional y de los Derechos Humanos" w:value="Especialización en Derecho Constitucional y de los Derechos Humanos"/>
            <w:listItem w:displayText="Especialización en Estudios Interdisciplinarios en Duelos" w:value="Especialización en Estudios Interdisciplinarios en Duelos"/>
            <w:listItem w:displayText="Especialización en Estudios Interdisciplinarios en Duelos - Virtual" w:value="Especialización en Estudios Interdisciplinarios en Duelos - Virtual"/>
            <w:listItem w:displayText="Especialización en Finanzas" w:value="Especialización en Finanzas"/>
            <w:listItem w:displayText="Especialización en Gerencia de la Comunicación Digital " w:value="Especialización en Gerencia de la Comunicación Digital "/>
            <w:listItem w:displayText="Especialización en Gerencia de la Seguridad y Salud en el Trabajo" w:value="Especialización en Gerencia de la Seguridad y Salud en el Trabajo"/>
            <w:listItem w:displayText="Especialización en Gerencia de la Seguridad y Salud en el Trabajo - Virtual" w:value="Especialización en Gerencia de la Seguridad y Salud en el Trabajo - Virtual"/>
            <w:listItem w:displayText="Especialización en Gerencia de Mercadeo y Ventas" w:value="Especialización en Gerencia de Mercadeo y Ventas"/>
            <w:listItem w:displayText="Especialización en Gerencia de Mercadeo y Ventas - Virtual" w:value="Especialización en Gerencia de Mercadeo y Ventas - Virtual"/>
            <w:listItem w:displayText="Especialización en Gerencia de Proyectos" w:value="Especialización en Gerencia de Proyectos"/>
            <w:listItem w:displayText="Especialización en Gerencia del Talento Humano " w:value="Especialización en Gerencia del Talento Humano "/>
            <w:listItem w:displayText="Especialización en Gestión de Estándares Internacionales e Información Financiera" w:value="Especialización en Gestión de Estándares Internacionales e Información Financiera"/>
            <w:listItem w:displayText="Especialización en Gestión de la Innovación" w:value="Especialización en Gestión de la Innovación"/>
            <w:listItem w:displayText="Especialización en Gestión de la Innovación - Virtual" w:value="Especialización en Gestión de la Innovación - Virtual"/>
            <w:listItem w:displayText="Especialización en Medicina Crítica y Cuidados Intensivos" w:value="Especialización en Medicina Crítica y Cuidados Intensivos"/>
            <w:listItem w:displayText="Especialización en Medicina Interna" w:value="Especialización en Medicina Interna"/>
            <w:listItem w:displayText="Especialización en Neuropsicopedagogía" w:value="Especialización en Neuropsicopedagogía"/>
            <w:listItem w:displayText="Especialización en Psicoterapia y Consulta Sistémica" w:value="Especialización en Psicoterapia y Consulta Sistémica"/>
            <w:listItem w:displayText="Especialización en Psiquiatría" w:value="Especialización en Psiquiatría"/>
            <w:listItem w:displayText="Especialización en Redes y Telecomunicaciones" w:value="Especialización en Redes y Telecomunicaciones"/>
            <w:listItem w:displayText="Especialización en Resolución de Conflictos, Conciliación y Paz " w:value="Especialización en Resolución de Conflictos, Conciliación y Paz "/>
            <w:listItem w:displayText="Especialización en Resolución de Conflictos, Conciliación y Paz - Virtual" w:value="Especialización en Resolución de Conflictos, Conciliación y Paz - Virtual"/>
            <w:listItem w:displayText="Especialización en Seguridad Social " w:value="Especialización en Seguridad Social "/>
            <w:listItem w:displayText="Especialización en Sistema Procesal Penal" w:value="Especialización en Sistema Procesal Penal"/>
            <w:listItem w:displayText="Especialización en Sistema Procesal Penal - Virtual" w:value="Especialización en Sistema Procesal Penal - Virtual"/>
            <w:listItem w:displayText="Especialización en Sistemas de Información Geográfica " w:value="Especialización en Sistemas de Información Geográfica "/>
            <w:listItem w:displayText="Especialización en Sistemas de Información Geográfica - Virtual" w:value="Especialización en Sistemas de Información Geográfica - Virtual"/>
            <w:listItem w:displayText="Especialización en Sistemas Integrados de Gestión " w:value="Especialización en Sistemas Integrados de Gestión "/>
            <w:listItem w:displayText="Especialización en Sistemas Integrados de Gestión - Virtual" w:value="Especialización en Sistemas Integrados de Gestión - Virtual"/>
            <w:listItem w:displayText="Finanzas y Negocios Internacionales - Virtual" w:value="Finanzas y Negocios Internacionales - Virtual"/>
            <w:listItem w:displayText="Gestión Ambiental" w:value="Gestión Ambiental"/>
            <w:listItem w:displayText="Gestión Ambiental - Virtual" w:value="Gestión Ambiental - Virtual"/>
            <w:listItem w:displayText="Ingeniería de Sistemas - Virtual" w:value="Ingeniería de Sistemas - Virtual"/>
            <w:listItem w:displayText="Ingeniería de Sistemas y Telecomunicaciones" w:value="Ingeniería de Sistemas y Telecomunicaciones"/>
            <w:listItem w:displayText="Ingeniería en Analítica de Datos " w:value="Ingeniería en Analítica de Datos "/>
            <w:listItem w:displayText="Ingeniería en Analítica de Datos - Virtual" w:value="Ingeniería en Analítica de Datos - Virtual"/>
            <w:listItem w:displayText="Ingeniería en Seguridad de la Información" w:value="Ingeniería en Seguridad de la Información"/>
            <w:listItem w:displayText="Ingeniería en Seguridad de la Información - Virtual" w:value="Ingeniería en Seguridad de la Información - Virtual"/>
            <w:listItem w:displayText="Ingeniería Industrial - Virtual" w:value="Ingeniería Industrial - Virtual"/>
            <w:listItem w:displayText="Ingeniería Logística" w:value="Ingeniería Logística"/>
            <w:listItem w:displayText="Ingeniería Logística - Virtual" w:value="Ingeniería Logística - Virtual"/>
            <w:listItem w:displayText="Licenciatura en Educación Básica Primaria con Énfasis en Diversidad - Virtual" w:value="Licenciatura en Educación Básica Primaria con Énfasis en Diversidad - Virtual"/>
            <w:listItem w:displayText="Maestría en Bioinformática y Biología Computacional" w:value="Maestría en Bioinformática y Biología Computacional"/>
            <w:listItem w:displayText="Maestría en Ciencias Forenses" w:value="Maestría en Ciencias Forenses"/>
            <w:listItem w:displayText="Maestría en Ciencias Forenses y Sistema Penal" w:value="Maestría en Ciencias Forenses y Sistema Penal"/>
            <w:listItem w:displayText="Maestría en Ciencias Forenses y Sistema Penal - Virtual" w:value="Maestría en Ciencias Forenses y Sistema Penal - Virtual"/>
            <w:listItem w:displayText="Maestría en Comunicación" w:value="Maestría en Comunicación"/>
            <w:listItem w:displayText="Maestría en Derecho" w:value="Maestría en Derecho"/>
            <w:listItem w:displayText="Maestría en Derecho Constitucional y Política Legislativa" w:value="Maestría en Derecho Constitucional y Política Legislativa"/>
            <w:listItem w:displayText="Maestría en Derecho Constitucional y Política Legislativa - Virtual" w:value="Maestría en Derecho Constitucional y Política Legislativa - Virtual"/>
            <w:listItem w:displayText="Maestría en Desarrollo Infantil" w:value="Maestría en Desarrollo Infantil"/>
            <w:listItem w:displayText="Maestría en Desarrollo Sostenible y Medio Ambiente" w:value="Maestría en Desarrollo Sostenible y Medio Ambiente"/>
            <w:listItem w:displayText="Maestría en Desarrollo Sostenible y Medio Ambiente - CORHUILA" w:value="Maestría en Desarrollo Sostenible y Medio Ambiente - CORHUILA"/>
            <w:listItem w:displayText="Maestría en Desarrollo Sostenible y Medio Ambiente - Virtual" w:value="Maestría en Desarrollo Sostenible y Medio Ambiente - Virtual"/>
            <w:listItem w:displayText="Maestría en Ecología Política - Presencial y Virtual" w:value="Maestría en Ecología Política - Presencial y Virtual"/>
            <w:listItem w:displayText="Maestría en Ecología Política - Virtual" w:value="Maestría en Ecología Política - Virtual"/>
            <w:listItem w:displayText="Maestría en Economía" w:value="Maestría en Economía"/>
            <w:listItem w:displayText="Maestría en Economía - CORHUILA" w:value="Maestría en Economía - CORHUILA"/>
            <w:listItem w:displayText="Maestría en Economía - Virtual" w:value="Maestría en Economía - Virtual"/>
            <w:listItem w:displayText="Maestría en Educación - Virtual" w:value="Maestría en Educación - Virtual"/>
            <w:listItem w:displayText="Maestría en Educación desde la Diversidad - A Distancia" w:value="Maestría en Educación desde la Diversidad - A Distancia"/>
            <w:listItem w:displayText="Maestría en Educación desde la Diversidad - CAFAM" w:value="Maestría en Educación desde la Diversidad - CAFAM"/>
            <w:listItem w:displayText="Maestría en Educación desde la Diversidad - Virtual" w:value="Maestría en Educación desde la Diversidad - Virtual"/>
            <w:listItem w:displayText="Maestría en Educación y Desarrollo Humano" w:value="Maestría en Educación y Desarrollo Humano"/>
            <w:listItem w:displayText="Maestría en Educación y Desarrollo Humano - Sabaneta" w:value="Maestría en Educación y Desarrollo Humano - Sabaneta"/>
            <w:listItem w:displayText="Maestría en Educación y Docencia" w:value="Maestría en Educación y Docencia"/>
            <w:listItem w:displayText="Maestría en Educación y Transformación Digital - Virtual" w:value="Maestría en Educación y Transformación Digital - Virtual"/>
            <w:listItem w:displayText="Maestría en Finanzas" w:value="Maestría en Finanzas"/>
            <w:listItem w:displayText="Maestría en Finanzas - Virtual" w:value="Maestría en Finanzas - Virtual"/>
            <w:listItem w:displayText="Maestría en Gerencia del Talento Humano" w:value="Maestría en Gerencia del Talento Humano"/>
            <w:listItem w:displayText="Maestría en Gerencia del Talento Humano - Virtual" w:value="Maestría en Gerencia del Talento Humano - Virtual"/>
            <w:listItem w:displayText="Maestría en Gestión Estrátegica de la Información" w:value="Maestría en Gestión Estratégica de la Información"/>
            <w:listItem w:displayText="Maestría en Mercadeo - Virtual" w:value="Maestría en Mercadeo - Virtual"/>
            <w:listItem w:displayText="Maestría en Psicología Clínica" w:value="Maestría en Psicología Clínica"/>
            <w:listItem w:displayText="Maestría en Psicología Social - Virtual" w:value="Maestría en Psicología Social - Virtual"/>
            <w:listItem w:displayText="Maestría en Seguridad de la Información" w:value="Maestría en Seguridad de la Información"/>
            <w:listItem w:displayText="Maestría en Tecnologías de la Información Geográfica" w:value="Maestría en Tecnologías de la Información Geográfica"/>
            <w:listItem w:displayText="Maestría en Tributación" w:value="Maestría en Tributación"/>
            <w:listItem w:displayText="Maestría en Tributación - CORHUILA" w:value="Maestría en Tributación - CORHUILA"/>
            <w:listItem w:displayText="Maestría en Tributación - Institución Universitaria EAM" w:value="Maestría en Tributación - Institución Universitaria EAM"/>
            <w:listItem w:displayText="Medicina" w:value="Medicina"/>
            <w:listItem w:displayText="Mercadeo Nacional e Internacional" w:value="Mercadeo Nacional e Internacional"/>
            <w:listItem w:displayText="Mercadeo Nacional e Internacional - Virtual" w:value="Mercadeo Nacional e Internacional - Virtual"/>
            <w:listItem w:displayText="Programa de Investigación Posdoctoral en Ciencias de la Tierra y Medio Ambiente" w:value="Programa de Investigación Posdoctoral en Ciencias de la Tierra y Medio Ambiente"/>
            <w:listItem w:displayText="Programa de Investigación Posdoctoral en Ciencias Sociales, Niñez y Juventud" w:value="Programa de Investigación Posdoctoral en Ciencias Sociales, Niñez y Juventud"/>
            <w:listItem w:displayText="Programa de Investigación Posdoctoral en Diversidades, Saberes y Lenguajes del Sur" w:value="Programa de Investigación Posdoctoral en Diversidades, Saberes y Lenguajes del Sur"/>
            <w:listItem w:displayText="Psicología" w:value="Psicología"/>
          </w:dropDownList>
        </w:sdtPr>
        <w:sdtEndPr>
          <w:rPr>
            <w:rStyle w:val="Fuentedeprrafopredeter"/>
            <w:rFonts w:eastAsia="Calibri"/>
            <w:lang w:eastAsia="es-CO"/>
          </w:rPr>
        </w:sdtEndPr>
        <w:sdtContent>
          <w:r w:rsidR="005D037E" w:rsidRPr="00357374">
            <w:rPr>
              <w:rStyle w:val="TextocomentarioCar"/>
              <w:rFonts w:cs="Times New Roman"/>
              <w:sz w:val="24"/>
              <w:szCs w:val="24"/>
            </w:rPr>
            <w:t>Maestría en Gerencia del Talento Humano</w:t>
          </w:r>
        </w:sdtContent>
      </w:sdt>
    </w:p>
    <w:bookmarkEnd w:id="6"/>
    <w:p w14:paraId="7E186DE8" w14:textId="77777777" w:rsidR="005D037E" w:rsidRPr="00357374" w:rsidRDefault="005D037E" w:rsidP="005D037E">
      <w:pPr>
        <w:jc w:val="center"/>
        <w:rPr>
          <w:rFonts w:cs="Times New Roman"/>
          <w:szCs w:val="24"/>
        </w:rPr>
      </w:pPr>
      <w:r w:rsidRPr="00357374">
        <w:rPr>
          <w:szCs w:val="24"/>
        </w:rPr>
        <w:t xml:space="preserve"> </w:t>
      </w:r>
      <w:sdt>
        <w:sdtPr>
          <w:rPr>
            <w:szCs w:val="24"/>
          </w:rPr>
          <w:alias w:val="Lugar de publicación"/>
          <w:tag w:val="Lugar de publicación"/>
          <w:id w:val="-461030245"/>
          <w:placeholder>
            <w:docPart w:val="B3A3F5CA91E640E4872CF335CEA1BAA2"/>
          </w:placeholder>
          <w15:color w:val="008000"/>
          <w:dropDownList>
            <w:listItem w:displayText="Manizales, Caldas, Colombia" w:value="Manizales, Caldas, Colombia"/>
            <w:listItem w:displayText="Medellín, Antioquia, Colombia" w:value="Medellín, Antioquia, Colombia"/>
          </w:dropDownList>
        </w:sdtPr>
        <w:sdtEndPr/>
        <w:sdtContent>
          <w:r w:rsidRPr="00357374">
            <w:rPr>
              <w:szCs w:val="24"/>
            </w:rPr>
            <w:t>Manizales, Caldas, Colombia</w:t>
          </w:r>
        </w:sdtContent>
      </w:sdt>
    </w:p>
    <w:p w14:paraId="6FFBA6FF" w14:textId="00C19F5F" w:rsidR="005D037E" w:rsidRDefault="00357374" w:rsidP="005D037E">
      <w:pPr>
        <w:jc w:val="center"/>
        <w:rPr>
          <w:rFonts w:cs="Times New Roman"/>
          <w:szCs w:val="24"/>
        </w:rPr>
      </w:pPr>
      <w:sdt>
        <w:sdtPr>
          <w:rPr>
            <w:szCs w:val="24"/>
          </w:rPr>
          <w:alias w:val="Año grado"/>
          <w:tag w:val="Año grado"/>
          <w:id w:val="-1455008069"/>
          <w:placeholder>
            <w:docPart w:val="A04CAF6EC320476DA79AFD6C3F944D85"/>
          </w:placeholder>
          <w15:color w:val="008000"/>
          <w:dropDownList>
            <w:listItem w:displayText="Seleccione año de grado" w:value="Seleccione año de grado"/>
            <w:listItem w:displayText="2024" w:value="2024"/>
            <w:listItem w:displayText="2025" w:value="2025"/>
            <w:listItem w:displayText="2026" w:value="2026"/>
            <w:listItem w:displayText="2027" w:value="2027"/>
          </w:dropDownList>
        </w:sdtPr>
        <w:sdtEndPr>
          <w:rPr>
            <w:rFonts w:cs="Times New Roman"/>
          </w:rPr>
        </w:sdtEndPr>
        <w:sdtContent>
          <w:r w:rsidR="005D037E" w:rsidRPr="00357374">
            <w:rPr>
              <w:szCs w:val="24"/>
            </w:rPr>
            <w:t>2026</w:t>
          </w:r>
        </w:sdtContent>
      </w:sdt>
      <w:r w:rsidR="005D037E" w:rsidRPr="00357374">
        <w:rPr>
          <w:rFonts w:cs="Times New Roman"/>
          <w:szCs w:val="24"/>
        </w:rPr>
        <w:t xml:space="preserve"> </w:t>
      </w:r>
      <w:bookmarkEnd w:id="0"/>
      <w:r w:rsidR="005D037E">
        <w:rPr>
          <w:rFonts w:cs="Times New Roman"/>
          <w:szCs w:val="24"/>
        </w:rPr>
        <w:br w:type="page"/>
      </w:r>
    </w:p>
    <w:tbl>
      <w:tblPr>
        <w:tblStyle w:val="Tablaconcuadrcula"/>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51"/>
        <w:gridCol w:w="7053"/>
      </w:tblGrid>
      <w:tr w:rsidR="005D037E" w:rsidRPr="00711795" w14:paraId="0095C9F9" w14:textId="77777777" w:rsidTr="00A65C73">
        <w:trPr>
          <w:trHeight w:val="397"/>
          <w:jc w:val="center"/>
        </w:trPr>
        <w:tc>
          <w:tcPr>
            <w:tcW w:w="2351" w:type="dxa"/>
            <w:tcBorders>
              <w:top w:val="single" w:sz="12" w:space="0" w:color="538135" w:themeColor="accent6" w:themeShade="BF"/>
              <w:bottom w:val="single" w:sz="12" w:space="0" w:color="538135" w:themeColor="accent6" w:themeShade="BF"/>
            </w:tcBorders>
            <w:vAlign w:val="center"/>
          </w:tcPr>
          <w:p w14:paraId="24427FAC" w14:textId="77777777" w:rsidR="005D037E" w:rsidRPr="00CB6E4E" w:rsidRDefault="005D037E" w:rsidP="00A65C73">
            <w:pPr>
              <w:spacing w:before="60" w:after="60"/>
              <w:jc w:val="center"/>
              <w:rPr>
                <w:rFonts w:cs="Times New Roman"/>
                <w:b/>
                <w:bCs/>
                <w:sz w:val="20"/>
                <w:szCs w:val="20"/>
              </w:rPr>
            </w:pPr>
            <w:bookmarkStart w:id="7" w:name="_Hlk65068309"/>
            <w:r>
              <w:rPr>
                <w:rFonts w:cs="Times New Roman"/>
                <w:szCs w:val="24"/>
              </w:rPr>
              <w:lastRenderedPageBreak/>
              <w:br w:type="page"/>
            </w:r>
            <w:r w:rsidRPr="00CB6E4E">
              <w:rPr>
                <w:rFonts w:cs="Times New Roman"/>
                <w:b/>
                <w:bCs/>
                <w:sz w:val="20"/>
                <w:szCs w:val="20"/>
              </w:rPr>
              <w:t>Cita</w:t>
            </w:r>
          </w:p>
        </w:tc>
        <w:tc>
          <w:tcPr>
            <w:tcW w:w="7053" w:type="dxa"/>
            <w:tcBorders>
              <w:top w:val="single" w:sz="12" w:space="0" w:color="538135" w:themeColor="accent6" w:themeShade="BF"/>
              <w:bottom w:val="single" w:sz="12" w:space="0" w:color="538135" w:themeColor="accent6" w:themeShade="BF"/>
            </w:tcBorders>
            <w:vAlign w:val="center"/>
          </w:tcPr>
          <w:p w14:paraId="2628A6DA" w14:textId="7173C944" w:rsidR="005D037E" w:rsidRPr="00711795" w:rsidRDefault="005D037E" w:rsidP="00A65C73">
            <w:pPr>
              <w:spacing w:before="60" w:after="60" w:line="276" w:lineRule="auto"/>
              <w:rPr>
                <w:rFonts w:cs="Times New Roman"/>
                <w:sz w:val="20"/>
                <w:szCs w:val="20"/>
              </w:rPr>
            </w:pPr>
            <w:r w:rsidRPr="00711795">
              <w:rPr>
                <w:rFonts w:cs="Times New Roman"/>
                <w:sz w:val="20"/>
                <w:szCs w:val="20"/>
              </w:rPr>
              <w:t>(</w:t>
            </w:r>
            <w:r>
              <w:rPr>
                <w:rFonts w:cs="Times New Roman"/>
                <w:sz w:val="20"/>
                <w:szCs w:val="20"/>
              </w:rPr>
              <w:t>Cardona Narváez, 20216)</w:t>
            </w:r>
          </w:p>
        </w:tc>
      </w:tr>
      <w:tr w:rsidR="005D037E" w:rsidRPr="00711795" w14:paraId="0F0D3ED0" w14:textId="77777777" w:rsidTr="00A65C73">
        <w:trPr>
          <w:trHeight w:val="983"/>
          <w:jc w:val="center"/>
        </w:trPr>
        <w:tc>
          <w:tcPr>
            <w:tcW w:w="2351" w:type="dxa"/>
            <w:tcBorders>
              <w:top w:val="single" w:sz="12" w:space="0" w:color="538135" w:themeColor="accent6" w:themeShade="BF"/>
              <w:bottom w:val="single" w:sz="12" w:space="0" w:color="538135" w:themeColor="accent6" w:themeShade="BF"/>
            </w:tcBorders>
            <w:vAlign w:val="center"/>
          </w:tcPr>
          <w:p w14:paraId="0D720198" w14:textId="77777777" w:rsidR="005D037E" w:rsidRPr="00CB6E4E" w:rsidRDefault="005D037E" w:rsidP="00A65C73">
            <w:pPr>
              <w:spacing w:before="60"/>
              <w:jc w:val="center"/>
              <w:rPr>
                <w:rFonts w:cs="Times New Roman"/>
                <w:b/>
                <w:bCs/>
                <w:sz w:val="20"/>
                <w:szCs w:val="20"/>
              </w:rPr>
            </w:pPr>
            <w:r w:rsidRPr="00CB6E4E">
              <w:rPr>
                <w:rFonts w:cs="Times New Roman"/>
                <w:b/>
                <w:bCs/>
                <w:sz w:val="20"/>
                <w:szCs w:val="20"/>
              </w:rPr>
              <w:t>Referencia</w:t>
            </w:r>
          </w:p>
          <w:p w14:paraId="69B3D72B" w14:textId="77777777" w:rsidR="005D037E" w:rsidRPr="00711795" w:rsidRDefault="005D037E" w:rsidP="00A65C73">
            <w:pPr>
              <w:jc w:val="center"/>
              <w:rPr>
                <w:rFonts w:cs="Times New Roman"/>
                <w:sz w:val="20"/>
                <w:szCs w:val="20"/>
              </w:rPr>
            </w:pPr>
          </w:p>
          <w:p w14:paraId="335285BE" w14:textId="77777777" w:rsidR="005D037E" w:rsidRPr="00711795" w:rsidRDefault="005D037E" w:rsidP="00A65C73">
            <w:pPr>
              <w:jc w:val="center"/>
              <w:rPr>
                <w:rFonts w:cs="Times New Roman"/>
                <w:sz w:val="20"/>
                <w:szCs w:val="20"/>
              </w:rPr>
            </w:pPr>
            <w:r w:rsidRPr="00CB6E4E">
              <w:rPr>
                <w:rFonts w:cs="Times New Roman"/>
                <w:b/>
                <w:bCs/>
                <w:sz w:val="20"/>
                <w:szCs w:val="20"/>
              </w:rPr>
              <w:t>Estilo</w:t>
            </w:r>
            <w:r>
              <w:rPr>
                <w:rFonts w:cs="Times New Roman"/>
                <w:b/>
                <w:bCs/>
                <w:sz w:val="20"/>
                <w:szCs w:val="20"/>
              </w:rPr>
              <w:t xml:space="preserve"> </w:t>
            </w:r>
            <w:r w:rsidRPr="00CB6E4E">
              <w:rPr>
                <w:rFonts w:cs="Times New Roman"/>
                <w:b/>
                <w:bCs/>
                <w:sz w:val="20"/>
                <w:szCs w:val="20"/>
              </w:rPr>
              <w:t>APA 7</w:t>
            </w:r>
            <w:r>
              <w:rPr>
                <w:rFonts w:cs="Times New Roman"/>
                <w:b/>
                <w:bCs/>
                <w:sz w:val="20"/>
                <w:szCs w:val="20"/>
              </w:rPr>
              <w:t xml:space="preserve"> </w:t>
            </w:r>
            <w:r w:rsidRPr="00CB6E4E">
              <w:rPr>
                <w:rFonts w:cs="Times New Roman"/>
                <w:b/>
                <w:bCs/>
                <w:sz w:val="20"/>
                <w:szCs w:val="20"/>
              </w:rPr>
              <w:t>(2020)</w:t>
            </w:r>
          </w:p>
        </w:tc>
        <w:tc>
          <w:tcPr>
            <w:tcW w:w="7053" w:type="dxa"/>
            <w:tcBorders>
              <w:top w:val="single" w:sz="12" w:space="0" w:color="538135" w:themeColor="accent6" w:themeShade="BF"/>
              <w:bottom w:val="single" w:sz="12" w:space="0" w:color="538135" w:themeColor="accent6" w:themeShade="BF"/>
            </w:tcBorders>
          </w:tcPr>
          <w:p w14:paraId="7FE1A894" w14:textId="6CB368C4" w:rsidR="005D037E" w:rsidRPr="00C80061" w:rsidRDefault="005D037E" w:rsidP="00A65C73">
            <w:pPr>
              <w:spacing w:before="60" w:after="60" w:line="276" w:lineRule="auto"/>
              <w:ind w:left="709" w:hanging="709"/>
              <w:rPr>
                <w:rFonts w:cs="Times New Roman"/>
                <w:sz w:val="20"/>
                <w:szCs w:val="20"/>
              </w:rPr>
            </w:pPr>
            <w:r>
              <w:rPr>
                <w:rFonts w:cs="Times New Roman"/>
                <w:sz w:val="20"/>
                <w:szCs w:val="20"/>
              </w:rPr>
              <w:t>Cardona Narváez, K. A.</w:t>
            </w:r>
            <w:r w:rsidRPr="00711795">
              <w:rPr>
                <w:rFonts w:cs="Times New Roman"/>
                <w:sz w:val="20"/>
                <w:szCs w:val="20"/>
              </w:rPr>
              <w:t xml:space="preserve"> (20</w:t>
            </w:r>
            <w:r>
              <w:rPr>
                <w:rFonts w:cs="Times New Roman"/>
                <w:sz w:val="20"/>
                <w:szCs w:val="20"/>
              </w:rPr>
              <w:t>26</w:t>
            </w:r>
            <w:r w:rsidRPr="00711795">
              <w:rPr>
                <w:rFonts w:cs="Times New Roman"/>
                <w:sz w:val="20"/>
                <w:szCs w:val="20"/>
              </w:rPr>
              <w:t xml:space="preserve">). </w:t>
            </w:r>
            <w:r w:rsidRPr="005D037E">
              <w:rPr>
                <w:i/>
                <w:sz w:val="20"/>
                <w:szCs w:val="20"/>
              </w:rPr>
              <w:t xml:space="preserve">Formación automatizada y transferencia del aprendizaje en entornos normativos dinámicos: estudio de caso en Car </w:t>
            </w:r>
            <w:proofErr w:type="spellStart"/>
            <w:r w:rsidRPr="005D037E">
              <w:rPr>
                <w:i/>
                <w:sz w:val="20"/>
                <w:szCs w:val="20"/>
              </w:rPr>
              <w:t>Freight</w:t>
            </w:r>
            <w:proofErr w:type="spellEnd"/>
            <w:r w:rsidRPr="005D037E">
              <w:rPr>
                <w:i/>
                <w:sz w:val="20"/>
                <w:szCs w:val="20"/>
              </w:rPr>
              <w:t xml:space="preserve"> </w:t>
            </w:r>
            <w:proofErr w:type="spellStart"/>
            <w:r w:rsidRPr="005D037E">
              <w:rPr>
                <w:i/>
                <w:sz w:val="20"/>
                <w:szCs w:val="20"/>
              </w:rPr>
              <w:t>Shipping</w:t>
            </w:r>
            <w:proofErr w:type="spellEnd"/>
            <w:r w:rsidRPr="005D037E">
              <w:rPr>
                <w:i/>
                <w:sz w:val="20"/>
                <w:szCs w:val="20"/>
              </w:rPr>
              <w:t xml:space="preserve"> Company </w:t>
            </w:r>
            <w:r w:rsidRPr="000C619C">
              <w:rPr>
                <w:rFonts w:cs="Times New Roman"/>
                <w:iCs/>
                <w:sz w:val="20"/>
                <w:szCs w:val="20"/>
              </w:rPr>
              <w:t>[</w:t>
            </w:r>
            <w:sdt>
              <w:sdtPr>
                <w:rPr>
                  <w:rStyle w:val="Estilo10"/>
                  <w:szCs w:val="20"/>
                </w:rPr>
                <w:alias w:val="Modalidad de grado"/>
                <w:tag w:val="Tipo de artículo"/>
                <w:id w:val="1337426040"/>
                <w:placeholder>
                  <w:docPart w:val="017F0DE767E54CBCA22A593FE6406423"/>
                </w:placeholder>
                <w15:color w:val="008000"/>
                <w:dropDownList>
                  <w:listItem w:displayText="Seleccione modalidad de grado" w:value="Seleccione modalidad de grado"/>
                  <w:listItem w:displayText="Informe de práctica" w:value="Informe de práctica"/>
                  <w:listItem w:displayText="Tesis de maestría" w:value="Tesis de maestría"/>
                  <w:listItem w:displayText="Tesis doctoral" w:value="Tesis doctoral"/>
                  <w:listItem w:displayText="Trabajo de grado especialización" w:value="Trabajo de grado especialización"/>
                  <w:listItem w:displayText="Trabajo de grado profesional" w:value="Trabajo de grado profesional"/>
                  <w:listItem w:displayText="Trabajo de grado tecnología" w:value="Trabajo de grado tecnología"/>
                </w:dropDownList>
              </w:sdtPr>
              <w:sdtEndPr>
                <w:rPr>
                  <w:rStyle w:val="Fuentedeprrafopredeter"/>
                  <w:rFonts w:cs="Times New Roman"/>
                  <w:sz w:val="24"/>
                </w:rPr>
              </w:sdtEndPr>
              <w:sdtContent>
                <w:r>
                  <w:rPr>
                    <w:rStyle w:val="Estilo10"/>
                    <w:szCs w:val="20"/>
                  </w:rPr>
                  <w:t>Tesis de maestría</w:t>
                </w:r>
              </w:sdtContent>
            </w:sdt>
            <w:r>
              <w:rPr>
                <w:rFonts w:cs="Times New Roman"/>
                <w:szCs w:val="20"/>
              </w:rPr>
              <w:t>]</w:t>
            </w:r>
            <w:r w:rsidRPr="00711795">
              <w:rPr>
                <w:rFonts w:cs="Times New Roman"/>
                <w:sz w:val="20"/>
                <w:szCs w:val="20"/>
              </w:rPr>
              <w:t>.</w:t>
            </w:r>
            <w:r w:rsidRPr="00D74C92">
              <w:rPr>
                <w:rFonts w:cs="Times New Roman"/>
                <w:sz w:val="20"/>
                <w:szCs w:val="20"/>
              </w:rPr>
              <w:t xml:space="preserve"> Universidad de</w:t>
            </w:r>
            <w:r>
              <w:rPr>
                <w:rFonts w:cs="Times New Roman"/>
                <w:sz w:val="20"/>
                <w:szCs w:val="20"/>
              </w:rPr>
              <w:t xml:space="preserve"> Manizales. RIDUM: Repositorio Institucional Universidad de Manizales.</w:t>
            </w:r>
            <w:r w:rsidRPr="000C619C">
              <w:rPr>
                <w:rFonts w:cs="Times New Roman"/>
                <w:iCs/>
                <w:sz w:val="20"/>
                <w:szCs w:val="20"/>
              </w:rPr>
              <w:t xml:space="preserve"> </w:t>
            </w:r>
          </w:p>
        </w:tc>
      </w:tr>
    </w:tbl>
    <w:p w14:paraId="02746B44" w14:textId="450F43C7" w:rsidR="005D037E" w:rsidRPr="005D037E" w:rsidRDefault="005D037E" w:rsidP="005D037E">
      <w:pPr>
        <w:rPr>
          <w:rStyle w:val="TextocomentarioCar"/>
          <w:rFonts w:eastAsia="Calibri" w:cs="Times New Roman"/>
          <w:b/>
          <w:noProof/>
          <w:sz w:val="24"/>
          <w:szCs w:val="24"/>
          <w:lang w:eastAsia="es-CO"/>
        </w:rPr>
      </w:pPr>
      <w:r>
        <w:rPr>
          <w:rFonts w:cs="Times New Roman"/>
          <w:b/>
          <w:noProof/>
          <w:szCs w:val="24"/>
        </w:rPr>
        <w:drawing>
          <wp:inline distT="0" distB="0" distL="0" distR="0" wp14:anchorId="55B563CD" wp14:editId="2AC280B2">
            <wp:extent cx="762000" cy="287979"/>
            <wp:effectExtent l="0" t="0" r="0" b="0"/>
            <wp:docPr id="2" name="Imagen 2">
              <a:hlinkClick xmlns:a="http://schemas.openxmlformats.org/drawingml/2006/main" r:id="rId10"/>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n 2">
                      <a:hlinkClick r:id="rId10"/>
                    </pic:cNvPr>
                    <pic:cNvPicPr/>
                  </pic:nvPicPr>
                  <pic:blipFill>
                    <a:blip r:embed="rId11" cstate="print">
                      <a:extLst>
                        <a:ext uri="{28A0092B-C50C-407E-A947-70E740481C1C}">
                          <a14:useLocalDpi xmlns:a14="http://schemas.microsoft.com/office/drawing/2010/main" val="0"/>
                        </a:ext>
                      </a:extLst>
                    </a:blip>
                    <a:stretch>
                      <a:fillRect/>
                    </a:stretch>
                  </pic:blipFill>
                  <pic:spPr>
                    <a:xfrm>
                      <a:off x="0" y="0"/>
                      <a:ext cx="803637" cy="303715"/>
                    </a:xfrm>
                    <a:prstGeom prst="rect">
                      <a:avLst/>
                    </a:prstGeom>
                  </pic:spPr>
                </pic:pic>
              </a:graphicData>
            </a:graphic>
          </wp:inline>
        </w:drawing>
      </w:r>
      <w:r w:rsidRPr="005716A2">
        <w:rPr>
          <w:rFonts w:cs="Times New Roman"/>
          <w:b/>
          <w:noProof/>
          <w:szCs w:val="24"/>
        </w:rPr>
        <w:t xml:space="preserve"> </w:t>
      </w:r>
      <w:r>
        <w:rPr>
          <w:noProof/>
        </w:rPr>
        <w:drawing>
          <wp:inline distT="0" distB="0" distL="0" distR="0" wp14:anchorId="02D0029C" wp14:editId="0100DB44">
            <wp:extent cx="736600" cy="256427"/>
            <wp:effectExtent l="0" t="0" r="6350" b="0"/>
            <wp:docPr id="12" name="Imagen 12" descr="Creative Commons en periodismo: qué es y cómo usarlo">
              <a:hlinkClick xmlns:a="http://schemas.openxmlformats.org/drawingml/2006/main" r:id="rId10"/>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Imagen 12" descr="Creative Commons en periodismo: qué es y cómo usarlo">
                      <a:hlinkClick r:id="rId10"/>
                    </pic:cNvPr>
                    <pic:cNvPicPr>
                      <a:picLocks noChangeAspect="1" noChangeArrowheads="1"/>
                    </pic:cNvPicPr>
                  </pic:nvPicPr>
                  <pic:blipFill rotWithShape="1">
                    <a:blip r:embed="rId12" cstate="print">
                      <a:extLst>
                        <a:ext uri="{28A0092B-C50C-407E-A947-70E740481C1C}">
                          <a14:useLocalDpi xmlns:a14="http://schemas.microsoft.com/office/drawing/2010/main" val="0"/>
                        </a:ext>
                      </a:extLst>
                    </a:blip>
                    <a:srcRect/>
                    <a:stretch/>
                  </pic:blipFill>
                  <pic:spPr bwMode="auto">
                    <a:xfrm>
                      <a:off x="0" y="0"/>
                      <a:ext cx="750563" cy="261288"/>
                    </a:xfrm>
                    <a:prstGeom prst="rect">
                      <a:avLst/>
                    </a:prstGeom>
                    <a:noFill/>
                    <a:ln>
                      <a:noFill/>
                    </a:ln>
                    <a:extLst>
                      <a:ext uri="{53640926-AAD7-44D8-BBD7-CCE9431645EC}">
                        <a14:shadowObscured xmlns:a14="http://schemas.microsoft.com/office/drawing/2010/main"/>
                      </a:ext>
                    </a:extLst>
                  </pic:spPr>
                </pic:pic>
              </a:graphicData>
            </a:graphic>
          </wp:inline>
        </w:drawing>
      </w:r>
      <w:bookmarkStart w:id="8" w:name="_Hlk66967260"/>
      <w:bookmarkStart w:id="9" w:name="_Hlk65069342"/>
      <w:bookmarkEnd w:id="7"/>
    </w:p>
    <w:bookmarkStart w:id="10" w:name="_Hlk206691773"/>
    <w:bookmarkStart w:id="11" w:name="_Hlk206692473"/>
    <w:p w14:paraId="0C8CB9EF" w14:textId="0509C246" w:rsidR="005D037E" w:rsidRPr="005D037E" w:rsidRDefault="00357374" w:rsidP="005D037E">
      <w:pPr>
        <w:rPr>
          <w:rStyle w:val="Estilo4"/>
          <w:rFonts w:cs="Times New Roman"/>
          <w:sz w:val="22"/>
        </w:rPr>
      </w:pPr>
      <w:sdt>
        <w:sdtPr>
          <w:rPr>
            <w:rStyle w:val="TextocomentarioCar"/>
            <w:rFonts w:cs="Times New Roman"/>
            <w:sz w:val="22"/>
          </w:rPr>
          <w:alias w:val="Programa"/>
          <w:tag w:val="Programa"/>
          <w:id w:val="-723830706"/>
          <w:placeholder>
            <w:docPart w:val="CB9566F4E8374E72A896C0D57EF1A3DF"/>
          </w:placeholder>
          <w15:color w:val="008000"/>
          <w:dropDownList>
            <w:listItem w:displayText="Seleccione posgrado UManizales (A-Z)" w:value="Seleccione posgrado UManizales (A-Z)"/>
            <w:listItem w:displayText="Doctorado en Administración" w:value="Doctorado en Administración"/>
            <w:listItem w:displayText="Doctorado en Ciencias Sociales Niñez y Juventud" w:value="Doctorado en Ciencias Sociales Niñez y Juventud"/>
            <w:listItem w:displayText="Doctorado en Derecho" w:value="Doctorado en Derecho"/>
            <w:listItem w:displayText="Doctorado en Derecho - Virtual" w:value="Doctorado en Derecho - Virtual"/>
            <w:listItem w:displayText="Doctorado en Desarrollo Sostenible" w:value="Doctorado en Desarrollo Sostenible"/>
            <w:listItem w:displayText="Doctorado en Desarrollo Sostenible - Virtual" w:value="Doctorado en Desarrollo Sostenible - Virtual"/>
            <w:listItem w:displayText="Doctorado en Formación en Diversidad" w:value="Doctorado en Formación en Diversidad"/>
            <w:listItem w:displayText="Doctorado en Formación en Diversidad - Virtual" w:value="Doctorado en Formación en Diversidad - Virtual"/>
            <w:listItem w:displayText="Doctorado en Pedagogías y Saberes Educativos - Virtual" w:value="Doctorado en Pedagogías y Saberes Educativos - Virtual"/>
            <w:listItem w:displayText="Doctorado en Psicología" w:value="Doctorado en Psicología"/>
            <w:listItem w:displayText="Especialización en Comercio y Negocios Internacionales" w:value="Especialización en Comercio y Negocios Internacionales"/>
            <w:listItem w:displayText="Especialización en Contratación Pública" w:value="Especialización en Contratación Pública"/>
            <w:listItem w:displayText="Especialización en Derecho Constitucional y de los Derechos Humanos" w:value="Especialización en Derecho Constitucional y de los Derechos Humanos"/>
            <w:listItem w:displayText="Especialización en Estudios Interdisciplinarios en Duelos" w:value="Especialización en Estudios Interdisciplinarios en Duelos"/>
            <w:listItem w:displayText="Especialización en Estudios Interdisciplinarios en Duelos - Virtual" w:value="Especialización en Estudios Interdisciplinarios en Duelos - Virtual"/>
            <w:listItem w:displayText="Especialización en Finanzas" w:value="Especialización en Finanzas"/>
            <w:listItem w:displayText="Especialización en Gerencia de la Comunicación Digital " w:value="Especialización en Gerencia de la Comunicación Digital "/>
            <w:listItem w:displayText="Especialización en Gerencia de la Seguridad y Salud en el Trabajo - Virtual" w:value="Especialización en Gerencia de la Seguridad y Salud en el Trabajo - Virtual"/>
            <w:listItem w:displayText="Especialización en Gerencia de Mercadeo y Ventas" w:value="Especialización en Gerencia de Mercadeo y Ventas"/>
            <w:listItem w:displayText="Especialización en Gerencia de Mercadeo y Ventas - Virtual" w:value="Especialización en Gerencia de Mercadeo y Ventas - Virtual"/>
            <w:listItem w:displayText="Especialización en Gerencia de Proyectos" w:value="Especialización en Gerencia de Proyectos"/>
            <w:listItem w:displayText="Especialización en Gerencia del Talento Humano " w:value="Especialización en Gerencia del Talento Humano "/>
            <w:listItem w:displayText="Especialización en Gerencia del Talento Humano - Virtual" w:value="Especialización en Gerencia del Talento Humano - Virtual"/>
            <w:listItem w:displayText="Especialización en Gestión de Estándares Internacionales e Información Financiera" w:value="Especialización en Gestión de Estándares Internacionales e Información Financiera"/>
            <w:listItem w:displayText="Especialización en Gestión de la Innovación" w:value="Especialización en Gestión de la Innovación"/>
            <w:listItem w:displayText="Especialización en Gestión de la Innovación - Virtual" w:value="Especialización en Gestión de la Innovación - Virtual"/>
            <w:listItem w:displayText="Especialización en Medicina Crítica y Cuidados Intensivos" w:value="Especialización en Medicina Crítica y Cuidados Intensivos"/>
            <w:listItem w:displayText="Especialización en Medicina Interna" w:value="Especialización en Medicina Interna"/>
            <w:listItem w:displayText="Especialización en Neuropsicopedagogía" w:value="Especialización en Neuropsicopedagogía"/>
            <w:listItem w:displayText="Especialización en Psicoterapia y Consulta Sistémica" w:value="Especialización en Psicoterapia y Consulta Sistémica"/>
            <w:listItem w:displayText="Especialización en Redes y Telecomunicaciones" w:value="Especialización en Redes y Telecomunicaciones"/>
            <w:listItem w:displayText="Especialización en Resolución de Conflictos, Conciliación y Paz" w:value="Especialización en Resolución de Conflictos, Conciliación y Paz"/>
            <w:listItem w:displayText="Especialización en Resolución de Conflictos, Conciliación y Paz - Virtual " w:value="Especialización en Resolución de Conflictos, Conciliación y Paz - Virtual "/>
            <w:listItem w:displayText="Especialización en Seguridad Social " w:value="Especialización en Seguridad Social "/>
            <w:listItem w:displayText="Especialización en Sistema Procesal Penal" w:value="Especialización en Sistema Procesal Penal"/>
            <w:listItem w:displayText="Especialización en Sistema Procesal Penal - Virtual" w:value="Especialización en Sistema Procesal Penal - Virtual"/>
            <w:listItem w:displayText="Especialización en Sistemas de Información Geográfica " w:value="Especialización en Sistemas de Información Geográfica "/>
            <w:listItem w:displayText="Especialización en Sistemas de Información Geográfica - Virtual" w:value="Especialización en Sistemas de Información Geográfica - Virtual"/>
            <w:listItem w:displayText="Especialización en Sistemas Integrados de Gestión " w:value="Especialización en Sistemas Integrados de Gestión "/>
            <w:listItem w:displayText="Especialización en Sistemas Integrados de Gestión - Virtual" w:value="Especialización en Sistemas Integrados de Gestión - Virtual"/>
            <w:listItem w:displayText="Maestría en Bioinformática y Biología Computacional" w:value="Maestría en Bioinformática y Biología Computacional"/>
            <w:listItem w:displayText="Maestría en Ciencias Forenses" w:value="Maestría en Ciencias Forenses"/>
            <w:listItem w:displayText="Maestría en Ciencias Forenses y Sistema Penal" w:value="Maestría en Ciencias Forenses y Sistema Penal"/>
            <w:listItem w:displayText="Maestría en Ciencias Forenses y Sistema Penal - Virtual" w:value="Maestría en Ciencias Forenses y Sistema Penal - Virtual"/>
            <w:listItem w:displayText="Maestría en Comunicación" w:value="Maestría en Comunicación"/>
            <w:listItem w:displayText="Maestría en Derecho" w:value="Maestría en Derecho"/>
            <w:listItem w:displayText="Maestría en Derecho Constitucional y Política Legislativa" w:value="Maestría en Derecho Constitucional y Política Legislativa"/>
            <w:listItem w:displayText="Maestría en Derecho Constitucional y Política Legislativa - Virtual" w:value="Maestría en Derecho Constitucional y Política Legislativa - Virtual"/>
            <w:listItem w:displayText="Maestría en Desarrollo Infantil" w:value="Maestría en Desarrollo Infantil"/>
            <w:listItem w:displayText="Maestría en Desarrollo Sostenible y Medio Ambiente" w:value="Maestría en Desarrollo Sostenible y Medio Ambiente"/>
            <w:listItem w:displayText="Maestría en Desarrollo Sostenible y Medio Ambiente - CORHUILA" w:value="Maestría en Desarrollo Sostenible y Medio Ambiente - CORHUILA"/>
            <w:listItem w:displayText="Maestría en Desarrollo Sostenible y Medio Ambiente - Virtual" w:value="Maestría en Desarrollo Sostenible y Medio Ambiente - Virtual"/>
            <w:listItem w:displayText="Maestría en Ecología Política - Presencial y Virtual" w:value="Maestría en Ecología Política - Presencial y Virtual"/>
            <w:listItem w:displayText="Maestría en Ecología Política - Virtual" w:value="Maestría en Ecología Política - Virtual"/>
            <w:listItem w:displayText="Maestría en Economía" w:value="Maestría en Economía"/>
            <w:listItem w:displayText="Maestría en Economía - Virtual" w:value="Maestría en Economía - Virtual"/>
            <w:listItem w:displayText="Maestría en Economía - CORHUILA" w:value="Maestría en Economía - CORHUILA"/>
            <w:listItem w:displayText="Maestría en Educación - Virtual" w:value="Maestría en Educación - Virtual"/>
            <w:listItem w:displayText="Maestría en Educación desde la Diversidad - A Distancia" w:value="Maestría en Educación desde la Diversidad - A Distancia"/>
            <w:listItem w:displayText="Maestría en Educación desde la Diversidad - CAFAM" w:value="Maestría en Educación desde la Diversidad - CAFAM"/>
            <w:listItem w:displayText="Maestría en Educación desde la Diversidad - Virtual" w:value="Maestría en Educación desde la Diversidad - Virtual"/>
            <w:listItem w:displayText="Maestría en Educación y Desarrollo Humano" w:value="Maestría en Educación y Desarrollo Humano"/>
            <w:listItem w:displayText="Maestría en Educación y Desarrollo Humano - Sabaneta" w:value="Maestría en Educación y Desarrollo Humano - Sabaneta"/>
            <w:listItem w:displayText="Maestría en Educación y Docencia" w:value="Maestría en Educación y Docencia"/>
            <w:listItem w:displayText="Maestría en Educación y Transformación Digital - Virtual" w:value="Maestría en Educación y Transformación Digital - Virtual"/>
            <w:listItem w:displayText="Maestría en Finanzas" w:value="Maestría en Finanzas"/>
            <w:listItem w:displayText="Maestría en Finanzas - Virtual" w:value="Maestría en Finanzas - Virtual"/>
            <w:listItem w:displayText="Maestría en Gerencia del Talento Humano" w:value="Maestría en Gerencia del Talento Humano"/>
            <w:listItem w:displayText="Maestría en Gerencia del Talento Humano - Virtual" w:value="Maestría en Gerencia del Talento Humano - Virtual"/>
            <w:listItem w:displayText="Maestría en Gestión Estrátegica de la Información" w:value="Maestría en Gestión Estratégica de la Información"/>
            <w:listItem w:displayText="Maestría en Mercadeo - Virtual" w:value="Maestría en Mercadeo - Virtual"/>
            <w:listItem w:displayText="Maestría en Psicología Clínica" w:value="Maestría en Psicología Clínica"/>
            <w:listItem w:displayText="Maestría en Psicología Social - Virtual" w:value="Maestría en Psicología Social - Virtual"/>
            <w:listItem w:displayText="Maestría en Seguridad de la Información" w:value="Maestría en Seguridad de la Información"/>
            <w:listItem w:displayText="Maestría en Tecnologías de la Información Geográfica" w:value="Maestría en Tecnologías de la Información Geográfica"/>
            <w:listItem w:displayText="Maestría en Tributación" w:value="Maestría en Tributación"/>
            <w:listItem w:displayText="Maestría en Tributación - CORHUILA" w:value="Maestría en Tributación - CORHUILA"/>
            <w:listItem w:displayText="Maestría en Tributación - Institución Universitaria EAM" w:value="Maestría en Tributación - Institución Universitaria EAM"/>
            <w:listItem w:displayText="Programa de Investigación Posdoctoral en Ciencias de la Tierra y Medio Ambiente" w:value="Programa de Investigación Posdoctoral en Ciencias de la Tierra y Medio Ambiente"/>
            <w:listItem w:displayText="Programa de Investigación Posdoctoral en Ciencias Sociales, Niñez y Juventud" w:value="Programa de Investigación Posdoctoral en Ciencias Sociales, Niñez y Juventud"/>
            <w:listItem w:displayText="Programa de Investigación Posdoctoral en Diversidades, Saberes y Lenguajes del Sur" w:value="Programa de Investigación Posdoctoral en Diversidades, Saberes y Lenguajes del Sur"/>
          </w:dropDownList>
        </w:sdtPr>
        <w:sdtEndPr>
          <w:rPr>
            <w:rStyle w:val="Fuentedeprrafopredeter"/>
            <w:rFonts w:eastAsia="Calibri"/>
            <w:szCs w:val="22"/>
            <w:lang w:eastAsia="es-CO"/>
          </w:rPr>
        </w:sdtEndPr>
        <w:sdtContent>
          <w:r w:rsidR="005D037E">
            <w:rPr>
              <w:rStyle w:val="TextocomentarioCar"/>
              <w:rFonts w:cs="Times New Roman"/>
              <w:sz w:val="22"/>
            </w:rPr>
            <w:t>Maestría en Gerencia del Talento Humano</w:t>
          </w:r>
        </w:sdtContent>
      </w:sdt>
      <w:r w:rsidR="005D037E" w:rsidRPr="00F61F5A">
        <w:rPr>
          <w:rFonts w:cs="Times New Roman"/>
          <w:sz w:val="22"/>
        </w:rPr>
        <w:t xml:space="preserve">, </w:t>
      </w:r>
      <w:bookmarkEnd w:id="10"/>
      <w:r w:rsidR="005D037E" w:rsidRPr="00F61F5A">
        <w:rPr>
          <w:rStyle w:val="Estilo4"/>
          <w:sz w:val="22"/>
        </w:rPr>
        <w:t xml:space="preserve"> </w:t>
      </w:r>
    </w:p>
    <w:p w14:paraId="0DC5B99A" w14:textId="5CDD40A5" w:rsidR="005D037E" w:rsidRPr="00F61F5A" w:rsidRDefault="005D037E" w:rsidP="005D037E">
      <w:pPr>
        <w:spacing w:before="120" w:after="120"/>
        <w:rPr>
          <w:rFonts w:cs="Times New Roman"/>
          <w:sz w:val="22"/>
        </w:rPr>
      </w:pPr>
      <w:bookmarkStart w:id="12" w:name="_Hlk66967311"/>
      <w:bookmarkStart w:id="13" w:name="_Hlk66967277"/>
      <w:bookmarkStart w:id="14" w:name="_Hlk64031905"/>
      <w:bookmarkStart w:id="15" w:name="_Hlk65683077"/>
      <w:bookmarkEnd w:id="11"/>
    </w:p>
    <w:bookmarkStart w:id="16" w:name="_Hlk66967298"/>
    <w:bookmarkStart w:id="17" w:name="_Hlk65187326"/>
    <w:bookmarkEnd w:id="12"/>
    <w:p w14:paraId="756E1020" w14:textId="77777777" w:rsidR="005D037E" w:rsidRPr="00F61F5A" w:rsidRDefault="00357374" w:rsidP="005D037E">
      <w:pPr>
        <w:spacing w:before="120" w:after="120"/>
        <w:rPr>
          <w:rFonts w:cs="Times New Roman"/>
          <w:sz w:val="22"/>
        </w:rPr>
      </w:pPr>
      <w:sdt>
        <w:sdtPr>
          <w:rPr>
            <w:rStyle w:val="Estilo5"/>
            <w:sz w:val="22"/>
          </w:rPr>
          <w:alias w:val="Grupo"/>
          <w:tag w:val="Grupo"/>
          <w:id w:val="1851758388"/>
          <w:placeholder>
            <w:docPart w:val="3466A10026144DF29BBB32D823631118"/>
          </w:placeholder>
          <w15:color w:val="008000"/>
          <w:dropDownList>
            <w:listItem w:displayText="Seleccione línea de investigación UManizales (A-Z)" w:value="Seleccione línea de investigación UManizales (A-Z)"/>
            <w:listItem w:displayText="Línea de Investigación Actores y Escenarios del Desarrollo Infantil en el Contexto Clínico" w:value="Línea de Investigación Actores y Escenarios del Desarrollo Infantil en el Contexto Clínico"/>
            <w:listItem w:displayText="Línea de Investigación Actores y Escenarios del Desarrollo Infantil en el Contexto Educativo" w:value="Línea de Investigación Actores y Escenarios del Desarrollo Infantil en el Contexto Educativo"/>
            <w:listItem w:displayText="Línea de Investigación Actores y Escenarios del Desarrollo Infantil en el Contexto Psicosocial y Cultural" w:value="Línea de Investigación Actores y Escenarios del Desarrollo Infantil en el Contexto Psicosocial y Cultural"/>
            <w:listItem w:displayText="Línea de Investigación Actuación Psicosocial y Gestión del Riesgo de Desastres" w:value="Línea de Investigación Actuación Psicosocial y Gestión del Riesgo de Desastres"/>
            <w:listItem w:displayText="Línea de Investigación Administración y Entorno " w:value="Línea de Investigación Administración y Entorno "/>
            <w:listItem w:displayText="Línea de Investigación Aglomeraciones y Sistemas Productivos " w:value="Línea de Investigación Aglomeraciones y Sistemas Productivos "/>
            <w:listItem w:displayText="Línea de Investigación Análisis y Modelamiento Espacial" w:value="Línea de Investigación Análisis y Modelamiento Espacial"/>
            <w:listItem w:displayText="Línea de Investigación Bioinformática" w:value="Línea de Investigación Bioinformática"/>
            <w:listItem w:displayText="Línea de Investigación Biosistemas Integrados" w:value="Línea de Investigación Biosistemas Integrados"/>
            <w:listItem w:displayText="Línea de Investigación Ciencias Básicas y Bioinformatica" w:value="Línea de Investigación Ciencias Básicas y Bioinformatica"/>
            <w:listItem w:displayText="Línea de Investigación Ciencias Clinicas e Informática Médica" w:value="Línea de Investigación Ciencias Clinicas e Informática Médica"/>
            <w:listItem w:displayText="Línea de Investigación Clínica y Psicoanálisis" w:value="Línea de Investigación Clínica y Psicoanálisis"/>
            <w:listItem w:displayText="Línea de Investigación Comunicación-Educación en la Cultura" w:value="Línea de Investigación Comunicación-Educación en la Cultura"/>
            <w:listItem w:displayText="Línea de Investigación Comunicación y Estructuras Sociales" w:value="Línea de Investigación Comunicación y Estructuras Sociales"/>
            <w:listItem w:displayText="Línea de Investigación Constitución, Legalidad y Estado Social de Derecho" w:value="Línea de Investigación Constitución, Legalidad y Estado Social de Derecho"/>
            <w:listItem w:displayText="Línea de Investigación Consumidor y Entorno" w:value="Línea de Investigación Consumidor y Entorno"/>
            <w:listItem w:displayText="Línea de Investigación Contabilidad-Sociedad y Educación Contable" w:value="Línea de Investigación Contabilidad-Sociedad y Educación Contable"/>
            <w:listItem w:displayText="Línea de Investigación Contabilidad y Estado" w:value="Línea de Investigación Contabilidad y Estado"/>
            <w:listItem w:displayText="Línea de Investigación Contabilidad y Medio Ambiente" w:value="Línea de Investigación Contabilidad y Medio Ambiente"/>
            <w:listItem w:displayText="Línea de Investigación Derecho y Medio Ambiente" w:value="Línea de Investigación Derecho y Medio Ambiente"/>
            <w:listItem w:displayText="Línea de Investigación Derechos Humanos, Medio Ambiente y Territorio" w:value="Línea de Investigación Derechos Humanos, Medio Ambiente y Territorio"/>
            <w:listItem w:displayText="Línea de Investigación Desarrollo de Software" w:value="Línea de Investigación Desarrollo de Software"/>
            <w:listItem w:displayText="Línea de Investigación Desarrollo del Adolescente y del Adulto" w:value="Línea de Investigación Desarrollo del Adolescente y del Adulto"/>
            <w:listItem w:displayText="Línea de Investigación Desarrollo Humano" w:value="Línea de Investigación Desarrollo Humano"/>
            <w:listItem w:displayText="Línea de Investigación Desarrollo Humano desde la Primera Infancia" w:value="Línea de Investigación Desarrollo Humano desde la Primera Infancia"/>
            <w:listItem w:displayText="Línea de Investigación Desarrollo Social, Comunitario y Políticas Públicas" w:value="Línea de Investigación Desarrollo Social, Comunitario y Políticas Públicas"/>
            <w:listItem w:displayText="Línea de Investigación Desarrollo Social y Humano" w:value="Línea de Investigación Desarrollo Social y Humano"/>
            <w:listItem w:displayText="Línea de Investigación Desarrollo Sostenible y Medio Ambiente" w:value="Línea de Investigación Desarrollo Sostenible y Medio Ambiente"/>
            <w:listItem w:displayText="Línea de Investigación Desarrollo Psicosocial" w:value="Línea de Investigación Desarrollo Psicosocial"/>
            <w:listItem w:displayText="Línea de Investigación Dirección y Estrategia" w:value="Línea de Investigación Dirección y Estrategia"/>
            <w:listItem w:displayText="Línea de Investigación Economía Regional" w:value="Línea de Investigación Economía Regional"/>
            <w:listItem w:displayText="Línea de Investigación Educación Digital" w:value="Línea de Investigación Educación Digital"/>
            <w:listItem w:displayText="Línea de Investigación Educación en Salud" w:value="Línea de Investigación Educación en Salud"/>
            <w:listItem w:displayText="Línea de Investigación Educación y Cultura en América latina" w:value="Línea de Investigación Educación y Cultura en América latina"/>
            <w:listItem w:displayText="Línea de Investigación Educación y Pedagogía" w:value="Línea de Investigación Educación y Pedagogía"/>
            <w:listItem w:displayText="Línea de Investigación Emprendimiento e Innovación" w:value="Línea de Investigación Emprendimiento e Innovación"/>
            <w:listItem w:displayText="Línea de Investigación en Gestión Educativa" w:value="Línea de Investigación en Gestión Educativa"/>
            <w:listItem w:displayText="Línea de Investigación en Identidad, Territorio, Memoria y Acción Política Colectiva en América Latina" w:value="Línea de Investigación en Identidad, Territorio, Memoria y Acción Política Colectiva en América Latina"/>
            <w:listItem w:displayText="Línea de Investigación Estudios sobre Cine" w:value="Línea de Investigación Estudios sobre Cine"/>
            <w:listItem w:displayText="Línea de Investigación Gerencia del Talento Humano" w:value="Línea de Investigación Gerencia del Talento Humano"/>
            <w:listItem w:displayText="Línea de Investigación Horizontes Humanos" w:value="Línea de Investigación Horizontes Humanos"/>
            <w:listItem w:displayText="Línea de Investigación Infancias, Juventudes y Ejercicio de la Ciudadanía" w:value="Línea de Investigación Infancias, Juventudes y Ejercicio de la Ciudadanía"/>
            <w:listItem w:displayText="Línea de Investigación Infancias y Familias en la Cultura" w:value="Línea de Investigación Infancias y Familias en la Cultura"/>
            <w:listItem w:displayText="Línea de Investigación Jóvenes, Culturas y Poderes" w:value="Línea de Investigación Jóvenes, Culturas y Poderes"/>
            <w:listItem w:displayText="Línea de Investigación Lenguajes y Narrativas" w:value="Línea de Investigación Lenguajes y Narrativas"/>
            <w:listItem w:displayText="Línea de Investigación Mercado Laboral " w:value="Línea de Investigación Mercado Laboral "/>
            <w:listItem w:displayText="Línea de Investigación Negocios Digitales" w:value="Línea de Investigación Negocios Digitales"/>
            <w:listItem w:displayText="Línea de Investigación Perspectivas Críticas para una Educación Inclusiva desde la Diversidad" w:value="Línea de Investigación Perspectivas Críticas para una Educación Inclusiva desde la Diversidad"/>
            <w:listItem w:displayText="Línea de Investigación Pluralismo Jurídico, Género y Justicia" w:value="Línea de Investigación Pluralismo Jurídico, Género y Justicia"/>
            <w:listItem w:displayText="Línea de Investigación Políticas Generacionales y Transiciones Juveniles" w:value="Línea de Investigación Políticas Generacionales y Transiciones Juveniles"/>
            <w:listItem w:displayText="Línea de Investigación Praxis Cognitivo-Emotiva en Contextos Educativos y Sociales" w:value="Línea de Investigación Praxis Cognitivo-Emotiva en Contextos Educativos y Sociales"/>
            <w:listItem w:displayText="Línea de Investigación Políticas Públicas y Programas en Niñez y Juventud" w:value="Línea de Investigación Políticas Públicas y Programas en Niñez y Juventud"/>
            <w:listItem w:displayText="Línea de Investigación Políticas y Programas de Juventud" w:value="Línea de Investigación Políticas y Programas de Juventud"/>
            <w:listItem w:displayText="Línea de Investigación Procesos Interculturales Globales y Locales" w:value="Línea de Investigación Procesos Interculturales Globales y Locales"/>
            <w:listItem w:displayText="Línea de Investigación Procesos Psicológicos" w:value="Línea de Investigación Procesos Psicológicos"/>
            <w:listItem w:displayText="Línea de Investigación Promoción, Prevención y Redes en Salud" w:value="Línea de Investigación Promoción, Prevención y Redes en Salud"/>
            <w:listItem w:displayText="Línea de Investigación Psicología Social" w:value="Línea de Investigación Psicología Social"/>
            <w:listItem w:displayText="Línea de Investigación Salud Digital" w:value="Línea de Investigación Salud Digital"/>
            <w:listItem w:displayText="Línea de Investigación Salud Mental y Neurociencias" w:value="Línea de Investigación Salud Mental y Neurociencias"/>
            <w:listItem w:displayText="Línea de Investigación Seguridad en IoT" w:value="Línea de Investigación Seguridad en IoT"/>
            <w:listItem w:displayText="Línea de Investigación Sistemas de Gestión de Seguridad de la Información - SGSI" w:value="Línea de Investigación Sistemas de Gestión de Seguridad de la Información - SGSI"/>
            <w:listItem w:displayText="Línea de Investigación Sistemas Nacionales y Regionales de Innovación" w:value="Línea de Investigación Sistemas Nacionales y Regionales de Innovación"/>
            <w:listItem w:displayText="Línea de Investigación Socialización Política, Agenciamientos y Construcción de Subjetividades" w:value="Línea de Investigación Socialización Política, Agenciamientos y Construcción de Subjetividades"/>
            <w:listItem w:displayText="Línea de Investigación Socialización Política y Construcción de Subjetividades" w:value="Línea de Investigación Socialización Política y Construcción de Subjetividades"/>
            <w:listItem w:displayText="Línea de Investigación Suicidología" w:value="Línea de Investigación Suicidología"/>
            <w:listItem w:displayText="Línea de Investigación Teoría Contable" w:value="Línea de Investigación Teoría Contable"/>
            <w:listItem w:displayText="Línea de Investigación Teoría Jurídica y Formación en Derecho" w:value="Línea de Investigación Teoría Jurídica y Formación en Derecho"/>
            <w:listItem w:displayText="Línea de Investigación Territorios Inteligentes y Sostenibles" w:value="Línea de Investigación Territorios Inteligentes y Sostenibles"/>
            <w:listItem w:displayText="Línea de Investigación Transformación Digital en las Organizaciones" w:value="Línea de Investigación Transformación Digital en las Organizaciones"/>
          </w:dropDownList>
        </w:sdtPr>
        <w:sdtEndPr>
          <w:rPr>
            <w:rStyle w:val="Fuentedeprrafopredeter"/>
            <w:rFonts w:cs="Times New Roman"/>
          </w:rPr>
        </w:sdtEndPr>
        <w:sdtContent>
          <w:r w:rsidR="005D037E" w:rsidRPr="00F61F5A">
            <w:rPr>
              <w:rStyle w:val="Estilo5"/>
              <w:sz w:val="22"/>
            </w:rPr>
            <w:t>Seleccione línea de investigación UManizales (A-Z)</w:t>
          </w:r>
        </w:sdtContent>
      </w:sdt>
      <w:bookmarkEnd w:id="16"/>
      <w:r w:rsidR="005D037E" w:rsidRPr="00F61F5A">
        <w:rPr>
          <w:rFonts w:cs="Times New Roman"/>
          <w:sz w:val="22"/>
        </w:rPr>
        <w:t>.</w:t>
      </w:r>
      <w:bookmarkEnd w:id="17"/>
      <w:r w:rsidR="005D037E" w:rsidRPr="00F61F5A">
        <w:rPr>
          <w:rFonts w:cs="Times New Roman"/>
          <w:sz w:val="22"/>
        </w:rPr>
        <w:t xml:space="preserve">  </w:t>
      </w:r>
    </w:p>
    <w:bookmarkEnd w:id="8"/>
    <w:bookmarkEnd w:id="13"/>
    <w:p w14:paraId="1A6D8AE5" w14:textId="77777777" w:rsidR="005D037E" w:rsidRDefault="005D037E" w:rsidP="005D037E">
      <w:pPr>
        <w:spacing w:before="120" w:after="120" w:line="276" w:lineRule="auto"/>
        <w:rPr>
          <w:rFonts w:cs="Times New Roman"/>
          <w:sz w:val="22"/>
        </w:rPr>
      </w:pPr>
    </w:p>
    <w:p w14:paraId="777642FD" w14:textId="11C516D7" w:rsidR="005D037E" w:rsidRPr="00B878CC" w:rsidRDefault="005D037E" w:rsidP="005D037E">
      <w:pPr>
        <w:spacing w:before="120" w:after="120" w:line="240" w:lineRule="auto"/>
        <w:rPr>
          <w:rFonts w:cs="Times New Roman"/>
          <w:sz w:val="20"/>
          <w:szCs w:val="20"/>
        </w:rPr>
      </w:pPr>
      <w:r w:rsidRPr="00B878CC">
        <w:rPr>
          <w:rFonts w:cs="Times New Roman"/>
          <w:b/>
          <w:bCs/>
          <w:sz w:val="20"/>
          <w:szCs w:val="20"/>
        </w:rPr>
        <w:t>Declaración de inteligencia artificial:</w:t>
      </w:r>
      <w:r w:rsidRPr="00B878CC">
        <w:rPr>
          <w:rFonts w:cs="Times New Roman"/>
          <w:sz w:val="20"/>
          <w:szCs w:val="20"/>
        </w:rPr>
        <w:t xml:space="preserve"> el o los autores de este trabajo de grado declaran que han utilizado herramientas de inteligencia artificial (IA), tales como [mencionar herramientas utilizadas, por ejemplo, </w:t>
      </w:r>
      <w:proofErr w:type="spellStart"/>
      <w:r w:rsidRPr="00B878CC">
        <w:rPr>
          <w:rFonts w:cs="Times New Roman"/>
          <w:sz w:val="20"/>
          <w:szCs w:val="20"/>
        </w:rPr>
        <w:t>ChatGPT</w:t>
      </w:r>
      <w:proofErr w:type="spellEnd"/>
      <w:r w:rsidRPr="00B878CC">
        <w:rPr>
          <w:rFonts w:cs="Times New Roman"/>
          <w:sz w:val="20"/>
          <w:szCs w:val="20"/>
        </w:rPr>
        <w:t xml:space="preserve">, de manera ética y responsable, tal como se establece en el Acuerdo </w:t>
      </w:r>
      <w:proofErr w:type="spellStart"/>
      <w:r w:rsidRPr="00B878CC">
        <w:rPr>
          <w:rFonts w:cs="Times New Roman"/>
          <w:sz w:val="20"/>
          <w:szCs w:val="20"/>
        </w:rPr>
        <w:t>UManizales</w:t>
      </w:r>
      <w:proofErr w:type="spellEnd"/>
      <w:r w:rsidRPr="00B878CC">
        <w:rPr>
          <w:rFonts w:cs="Times New Roman"/>
          <w:sz w:val="20"/>
          <w:szCs w:val="20"/>
        </w:rPr>
        <w:t xml:space="preserve"> 002 (julio 26 de 2023) sobre propiedad intelectual e IA. Estas herramientas son empleadas como apoyo en la redacción, revisión gramatical y generación de ideas, pero en ningún caso sustituyen el análisis crítico, la argumentación académica ni la originalidad del trabajo. Asimismo, cualquier contenido generado con asistencia de IA está citado y referenciado adecuadamente, garantizando la integridad académica y el cumplimiento de los principios éticos de la investigación.</w:t>
      </w:r>
    </w:p>
    <w:p w14:paraId="0EF4CEE9" w14:textId="77777777" w:rsidR="005D037E" w:rsidRPr="00F61F5A" w:rsidRDefault="005D037E" w:rsidP="005D037E">
      <w:pPr>
        <w:spacing w:before="120" w:after="120" w:line="276" w:lineRule="auto"/>
        <w:rPr>
          <w:rFonts w:cs="Times New Roman"/>
          <w:sz w:val="22"/>
        </w:rPr>
      </w:pPr>
    </w:p>
    <w:p w14:paraId="60B282CE" w14:textId="77777777" w:rsidR="005D037E" w:rsidRPr="00F61F5A" w:rsidRDefault="005D037E" w:rsidP="005D037E">
      <w:pPr>
        <w:spacing w:before="120" w:after="180" w:line="240" w:lineRule="auto"/>
        <w:rPr>
          <w:rFonts w:cs="Times New Roman"/>
          <w:b/>
          <w:bCs/>
          <w:sz w:val="22"/>
        </w:rPr>
      </w:pPr>
      <w:r w:rsidRPr="00F61F5A">
        <w:rPr>
          <w:rFonts w:cs="Times New Roman"/>
          <w:b/>
          <w:bCs/>
          <w:sz w:val="22"/>
        </w:rPr>
        <w:t>Biblioteca y Centro de Recursos</w:t>
      </w:r>
      <w:r w:rsidRPr="00F61F5A">
        <w:rPr>
          <w:rFonts w:cs="Times New Roman"/>
          <w:sz w:val="22"/>
        </w:rPr>
        <w:t>: biblioteca.umanizales.edu.co</w:t>
      </w:r>
      <w:bookmarkStart w:id="18" w:name="_Hlk65432254"/>
      <w:bookmarkStart w:id="19" w:name="_Hlk64031990"/>
      <w:bookmarkEnd w:id="14"/>
    </w:p>
    <w:p w14:paraId="3B510196" w14:textId="77777777" w:rsidR="005D037E" w:rsidRPr="000C6442" w:rsidRDefault="005D037E" w:rsidP="005D037E">
      <w:pPr>
        <w:spacing w:before="120" w:after="180" w:line="240" w:lineRule="auto"/>
        <w:rPr>
          <w:sz w:val="22"/>
        </w:rPr>
      </w:pPr>
      <w:r w:rsidRPr="00F61F5A">
        <w:rPr>
          <w:rFonts w:cs="Times New Roman"/>
          <w:b/>
          <w:bCs/>
          <w:sz w:val="22"/>
        </w:rPr>
        <w:t>Repositorio Institucional:</w:t>
      </w:r>
      <w:r w:rsidRPr="00F61F5A">
        <w:rPr>
          <w:rFonts w:cs="Times New Roman"/>
          <w:sz w:val="22"/>
        </w:rPr>
        <w:t xml:space="preserve"> ridum.umanizales.edu.co</w:t>
      </w:r>
    </w:p>
    <w:p w14:paraId="2DB6AEC9" w14:textId="77777777" w:rsidR="005D037E" w:rsidRPr="00F61F5A" w:rsidRDefault="005D037E" w:rsidP="005D037E">
      <w:pPr>
        <w:spacing w:after="180" w:line="240" w:lineRule="auto"/>
        <w:rPr>
          <w:rFonts w:cs="Times New Roman"/>
          <w:sz w:val="22"/>
        </w:rPr>
      </w:pPr>
      <w:r w:rsidRPr="00F61F5A">
        <w:rPr>
          <w:rFonts w:cs="Times New Roman"/>
          <w:b/>
          <w:bCs/>
          <w:sz w:val="22"/>
        </w:rPr>
        <w:t>Universidad de Manizales:</w:t>
      </w:r>
      <w:r w:rsidRPr="00F61F5A">
        <w:rPr>
          <w:rFonts w:cs="Times New Roman"/>
          <w:sz w:val="22"/>
        </w:rPr>
        <w:t xml:space="preserve"> umanizales.edu.co </w:t>
      </w:r>
    </w:p>
    <w:p w14:paraId="545C1FF2" w14:textId="77777777" w:rsidR="005D037E" w:rsidRPr="00F61F5A" w:rsidRDefault="005D037E" w:rsidP="005D037E">
      <w:pPr>
        <w:spacing w:after="180" w:line="240" w:lineRule="auto"/>
        <w:rPr>
          <w:rFonts w:cs="Times New Roman"/>
          <w:sz w:val="22"/>
        </w:rPr>
      </w:pPr>
      <w:r w:rsidRPr="00F61F5A">
        <w:rPr>
          <w:rFonts w:cs="Times New Roman"/>
          <w:b/>
          <w:bCs/>
          <w:sz w:val="22"/>
        </w:rPr>
        <w:t>Revistas:</w:t>
      </w:r>
      <w:r w:rsidRPr="00F61F5A">
        <w:rPr>
          <w:rFonts w:cs="Times New Roman"/>
          <w:sz w:val="22"/>
        </w:rPr>
        <w:t xml:space="preserve"> revistasum.umanizales.edu.co</w:t>
      </w:r>
    </w:p>
    <w:p w14:paraId="6D427954" w14:textId="77777777" w:rsidR="005D037E" w:rsidRDefault="005D037E" w:rsidP="005D037E">
      <w:pPr>
        <w:spacing w:line="240" w:lineRule="auto"/>
        <w:rPr>
          <w:rFonts w:cs="Times New Roman"/>
          <w:sz w:val="22"/>
        </w:rPr>
      </w:pPr>
      <w:r w:rsidRPr="004728F9">
        <w:rPr>
          <w:rFonts w:cs="Times New Roman"/>
          <w:b/>
          <w:bCs/>
          <w:sz w:val="22"/>
        </w:rPr>
        <w:t xml:space="preserve">Fondo </w:t>
      </w:r>
      <w:r w:rsidRPr="009669AF">
        <w:rPr>
          <w:rFonts w:cs="Times New Roman"/>
          <w:b/>
          <w:bCs/>
          <w:sz w:val="22"/>
        </w:rPr>
        <w:t>Editorial:</w:t>
      </w:r>
      <w:r>
        <w:rPr>
          <w:rFonts w:cs="Times New Roman"/>
          <w:sz w:val="22"/>
        </w:rPr>
        <w:t xml:space="preserve"> </w:t>
      </w:r>
      <w:r w:rsidRPr="00B148EA">
        <w:rPr>
          <w:rFonts w:cs="Times New Roman"/>
          <w:sz w:val="22"/>
        </w:rPr>
        <w:t>editorialum.umanizales.edu.co</w:t>
      </w:r>
    </w:p>
    <w:p w14:paraId="2A35735E" w14:textId="77777777" w:rsidR="005D037E" w:rsidRPr="00F61F5A" w:rsidRDefault="005D037E" w:rsidP="005D037E">
      <w:pPr>
        <w:spacing w:line="276" w:lineRule="auto"/>
        <w:rPr>
          <w:rFonts w:cs="Times New Roman"/>
          <w:sz w:val="22"/>
        </w:rPr>
      </w:pPr>
    </w:p>
    <w:p w14:paraId="5F97ADB2" w14:textId="77777777" w:rsidR="005D037E" w:rsidRDefault="005D037E" w:rsidP="005D037E">
      <w:pPr>
        <w:spacing w:line="276" w:lineRule="auto"/>
        <w:rPr>
          <w:rFonts w:cs="Times New Roman"/>
          <w:sz w:val="22"/>
        </w:rPr>
      </w:pPr>
    </w:p>
    <w:p w14:paraId="58EF699E" w14:textId="77777777" w:rsidR="005D037E" w:rsidRDefault="005D037E" w:rsidP="005D037E">
      <w:pPr>
        <w:spacing w:line="240" w:lineRule="auto"/>
        <w:rPr>
          <w:rFonts w:cs="Times New Roman"/>
          <w:sz w:val="22"/>
        </w:rPr>
      </w:pPr>
    </w:p>
    <w:p w14:paraId="73B3B813" w14:textId="77777777" w:rsidR="005D037E" w:rsidRDefault="005D037E" w:rsidP="005D037E">
      <w:pPr>
        <w:spacing w:line="240" w:lineRule="auto"/>
        <w:rPr>
          <w:rFonts w:cs="Times New Roman"/>
          <w:sz w:val="22"/>
        </w:rPr>
      </w:pPr>
    </w:p>
    <w:p w14:paraId="50A99D66" w14:textId="77777777" w:rsidR="005D037E" w:rsidRPr="00F61F5A" w:rsidRDefault="005D037E" w:rsidP="005D037E">
      <w:pPr>
        <w:spacing w:line="240" w:lineRule="auto"/>
        <w:rPr>
          <w:rFonts w:cs="Times New Roman"/>
          <w:sz w:val="22"/>
        </w:rPr>
      </w:pPr>
      <w:r w:rsidRPr="00F61F5A">
        <w:rPr>
          <w:rFonts w:cs="Times New Roman"/>
          <w:sz w:val="22"/>
        </w:rPr>
        <w:t>El contenido de esta obra corresponde al derecho de expresión de los autores y no compromete el pensamiento institucional de la Universidad de Manizales ni desata su responsabilidad frente a terceros. Los autores asumen la responsabilidad por los derechos de autor y conexos.</w:t>
      </w:r>
      <w:bookmarkEnd w:id="9"/>
      <w:bookmarkEnd w:id="15"/>
      <w:bookmarkEnd w:id="18"/>
      <w:bookmarkEnd w:id="19"/>
    </w:p>
    <w:p w14:paraId="5442C12D" w14:textId="63FDAAAE" w:rsidR="0006260A" w:rsidRPr="00905DB0" w:rsidRDefault="00905DB0" w:rsidP="003D115A">
      <w:pPr>
        <w:pStyle w:val="Ttulo2"/>
        <w:spacing w:before="0" w:after="0"/>
        <w:ind w:firstLine="0"/>
      </w:pPr>
      <w:r>
        <w:t>Resumen</w:t>
      </w:r>
    </w:p>
    <w:p w14:paraId="126D9A16" w14:textId="7CAD8FA0" w:rsidR="00C62685" w:rsidRDefault="00C62685" w:rsidP="00243175">
      <w:pPr>
        <w:spacing w:after="0"/>
        <w:rPr>
          <w:rFonts w:eastAsia="Times New Roman" w:cs="Times New Roman"/>
          <w:szCs w:val="24"/>
        </w:rPr>
      </w:pPr>
      <w:r w:rsidRPr="00C62685">
        <w:rPr>
          <w:rFonts w:eastAsia="Times New Roman" w:cs="Times New Roman"/>
          <w:szCs w:val="24"/>
        </w:rPr>
        <w:t xml:space="preserve">El presente estudio tuvo como propósito analizar cómo la mediación tecnológica de la formación configura la transferencia del aprendizaje en el área de Documentación de Car </w:t>
      </w:r>
      <w:proofErr w:type="spellStart"/>
      <w:r w:rsidRPr="00C62685">
        <w:rPr>
          <w:rFonts w:eastAsia="Times New Roman" w:cs="Times New Roman"/>
          <w:szCs w:val="24"/>
        </w:rPr>
        <w:t>Freight</w:t>
      </w:r>
      <w:proofErr w:type="spellEnd"/>
      <w:r w:rsidRPr="00C62685">
        <w:rPr>
          <w:rFonts w:eastAsia="Times New Roman" w:cs="Times New Roman"/>
          <w:szCs w:val="24"/>
        </w:rPr>
        <w:t xml:space="preserve"> </w:t>
      </w:r>
      <w:proofErr w:type="spellStart"/>
      <w:r w:rsidRPr="00C62685">
        <w:rPr>
          <w:rFonts w:eastAsia="Times New Roman" w:cs="Times New Roman"/>
          <w:szCs w:val="24"/>
        </w:rPr>
        <w:lastRenderedPageBreak/>
        <w:t>Shipping</w:t>
      </w:r>
      <w:proofErr w:type="spellEnd"/>
      <w:r w:rsidRPr="00C62685">
        <w:rPr>
          <w:rFonts w:eastAsia="Times New Roman" w:cs="Times New Roman"/>
          <w:szCs w:val="24"/>
        </w:rPr>
        <w:t xml:space="preserve"> Company, un operador logístico internacional. Bajo un enfoque cualitativo-interpretativo y un diseño de estudio de caso instrumental, se examinaron las tensiones entre la lógica de estandarización de los </w:t>
      </w:r>
      <w:proofErr w:type="spellStart"/>
      <w:r w:rsidRPr="00C62685">
        <w:rPr>
          <w:rFonts w:eastAsia="Times New Roman" w:cs="Times New Roman"/>
          <w:szCs w:val="24"/>
        </w:rPr>
        <w:t>Learning</w:t>
      </w:r>
      <w:proofErr w:type="spellEnd"/>
      <w:r w:rsidRPr="00C62685">
        <w:rPr>
          <w:rFonts w:eastAsia="Times New Roman" w:cs="Times New Roman"/>
          <w:szCs w:val="24"/>
        </w:rPr>
        <w:t xml:space="preserve"> Management </w:t>
      </w:r>
      <w:proofErr w:type="spellStart"/>
      <w:r w:rsidRPr="00C62685">
        <w:rPr>
          <w:rFonts w:eastAsia="Times New Roman" w:cs="Times New Roman"/>
          <w:szCs w:val="24"/>
        </w:rPr>
        <w:t>Systems</w:t>
      </w:r>
      <w:proofErr w:type="spellEnd"/>
      <w:r w:rsidRPr="00C62685">
        <w:rPr>
          <w:rFonts w:eastAsia="Times New Roman" w:cs="Times New Roman"/>
          <w:szCs w:val="24"/>
        </w:rPr>
        <w:t xml:space="preserve"> (LMS) y las necesidades de aprendizaje situado en contextos de alta volatilidad normativa. Se utilizó el Modelo de Transferencia Dinámica Contextualizada (DTM-CF) como marco analítico para diagnosticar las condiciones actuales mediante entrevistas semiestructuradas a ocho participantes y un análisis temático reflexivo .</w:t>
      </w:r>
      <w:r w:rsidR="00142B52">
        <w:rPr>
          <w:rFonts w:eastAsia="Times New Roman" w:cs="Times New Roman"/>
          <w:szCs w:val="24"/>
        </w:rPr>
        <w:t xml:space="preserve"> </w:t>
      </w:r>
      <w:r w:rsidRPr="00C62685">
        <w:rPr>
          <w:rFonts w:eastAsia="Times New Roman" w:cs="Times New Roman"/>
          <w:szCs w:val="24"/>
        </w:rPr>
        <w:t>Los hallazgos identificaron el fenómeno del desfase de andamiaje: la ausencia de retroalimentación experta inmediata genera un "aprendizaje por adivinación" y la consolidación de versiones paralelas de los procedimientos operativos. Los resultados sugieren que, si bien la automatización favorece la intención inicial de transferir, existe un alto riesgo de decaimiento si no se articula con mecanismos de validación humana. Se concluye que la efectividad de la formación depende de su configuración como un sistema de soporte al desempeño integrado al flujo de trabajo (ZOHO CRM), combinando micro-módulos de baja carga cognitiva con un esquema de mentoría escalonada de 30-60-90 días.</w:t>
      </w:r>
    </w:p>
    <w:p w14:paraId="62B83D62" w14:textId="2E8C0761" w:rsidR="005C57FD" w:rsidRPr="00AD0C6C" w:rsidRDefault="00C62685" w:rsidP="00AD0C6C">
      <w:pPr>
        <w:spacing w:after="0"/>
        <w:rPr>
          <w:rFonts w:eastAsia="Times New Roman" w:cs="Times New Roman"/>
          <w:szCs w:val="24"/>
        </w:rPr>
      </w:pPr>
      <w:r w:rsidRPr="00C62685">
        <w:rPr>
          <w:rFonts w:eastAsia="Times New Roman" w:cs="Times New Roman"/>
          <w:szCs w:val="24"/>
        </w:rPr>
        <w:t>Palabras clave: Formación automatizada, transferencia del aprendizaje, LMS, logística internacional, modelo DTM-CF, desfase de andamiaje, soporte al desempeño.</w:t>
      </w:r>
      <w:r w:rsidR="00142B52">
        <w:rPr>
          <w:rFonts w:eastAsia="Times New Roman" w:cs="Times New Roman"/>
          <w:szCs w:val="24"/>
        </w:rPr>
        <w:t xml:space="preserve"> </w:t>
      </w:r>
    </w:p>
    <w:p w14:paraId="589F8C58" w14:textId="615A5D40" w:rsidR="00371DD4" w:rsidRPr="00357374" w:rsidRDefault="00905DB0" w:rsidP="002A08EC">
      <w:pPr>
        <w:spacing w:after="0"/>
        <w:ind w:firstLine="0"/>
        <w:jc w:val="center"/>
        <w:rPr>
          <w:rFonts w:eastAsia="Times New Roman" w:cs="Times New Roman"/>
          <w:b/>
          <w:szCs w:val="24"/>
          <w:lang w:val="en-US"/>
        </w:rPr>
      </w:pPr>
      <w:r w:rsidRPr="00357374">
        <w:rPr>
          <w:rFonts w:eastAsia="Times New Roman" w:cs="Times New Roman"/>
          <w:b/>
          <w:szCs w:val="24"/>
          <w:lang w:val="en-US"/>
        </w:rPr>
        <w:t>Abstract</w:t>
      </w:r>
    </w:p>
    <w:p w14:paraId="03D7F1B6" w14:textId="7E59668E" w:rsidR="00C62685" w:rsidRPr="00357374" w:rsidRDefault="00C62685" w:rsidP="00243175">
      <w:pPr>
        <w:spacing w:after="0"/>
        <w:rPr>
          <w:rFonts w:eastAsia="Times New Roman" w:cs="Times New Roman"/>
          <w:szCs w:val="24"/>
          <w:lang w:val="en-US"/>
        </w:rPr>
      </w:pPr>
      <w:r w:rsidRPr="00357374">
        <w:rPr>
          <w:rFonts w:eastAsia="Times New Roman" w:cs="Times New Roman"/>
          <w:szCs w:val="24"/>
          <w:lang w:val="en-US"/>
        </w:rPr>
        <w:t xml:space="preserve">This study aimed to analyze how the technological mediation of training shapes learning transfer within the Documentation area of Car Freight Shipping Company, an international logistics operator. Adopting a qualitative-interpretive approach and an instrumental case study design, the research examined the tensions between the standardization logic of Learning Management Systems (LMS) and situated learning needs in contexts of high regulatory volatility. The Contextualized Dynamic Transfer Model (DTM-CF) served as the analytical framework to diagnose current conditions through semi-structured interviews with eight participants and reflexive thematic </w:t>
      </w:r>
      <w:proofErr w:type="gramStart"/>
      <w:r w:rsidRPr="00357374">
        <w:rPr>
          <w:rFonts w:eastAsia="Times New Roman" w:cs="Times New Roman"/>
          <w:szCs w:val="24"/>
          <w:lang w:val="en-US"/>
        </w:rPr>
        <w:t>analysis .</w:t>
      </w:r>
      <w:proofErr w:type="gramEnd"/>
      <w:r w:rsidR="00142B52" w:rsidRPr="00357374">
        <w:rPr>
          <w:rFonts w:eastAsia="Times New Roman" w:cs="Times New Roman"/>
          <w:szCs w:val="24"/>
          <w:lang w:val="en-US"/>
        </w:rPr>
        <w:t xml:space="preserve"> </w:t>
      </w:r>
      <w:r w:rsidRPr="00357374">
        <w:rPr>
          <w:rFonts w:eastAsia="Times New Roman" w:cs="Times New Roman"/>
          <w:szCs w:val="24"/>
          <w:lang w:val="en-US"/>
        </w:rPr>
        <w:t xml:space="preserve">The findings identified a "scaffolding lag" phenomenon: the absence of immediate expert feedback leads to "guess-based learning" and the proliferation of parallel versions of operating </w:t>
      </w:r>
      <w:proofErr w:type="gramStart"/>
      <w:r w:rsidRPr="00357374">
        <w:rPr>
          <w:rFonts w:eastAsia="Times New Roman" w:cs="Times New Roman"/>
          <w:szCs w:val="24"/>
          <w:lang w:val="en-US"/>
        </w:rPr>
        <w:t>procedures .</w:t>
      </w:r>
      <w:proofErr w:type="gramEnd"/>
      <w:r w:rsidRPr="00357374">
        <w:rPr>
          <w:rFonts w:eastAsia="Times New Roman" w:cs="Times New Roman"/>
          <w:szCs w:val="24"/>
          <w:lang w:val="en-US"/>
        </w:rPr>
        <w:t xml:space="preserve"> Results suggest that while automation enhances the initial intention to transfer, there is a high risk of decay if not integrated with human validation mechanisms. The study concludes that training effectiveness depends on its configuration as a Performance Support System embedded within the workflow (ZOHO CRM), combining low cognitive load micro-modules with a structured 30-60-90 day mentoring </w:t>
      </w:r>
      <w:proofErr w:type="gramStart"/>
      <w:r w:rsidRPr="00357374">
        <w:rPr>
          <w:rFonts w:eastAsia="Times New Roman" w:cs="Times New Roman"/>
          <w:szCs w:val="24"/>
          <w:lang w:val="en-US"/>
        </w:rPr>
        <w:t>scheme .</w:t>
      </w:r>
      <w:proofErr w:type="gramEnd"/>
      <w:r w:rsidR="00142B52" w:rsidRPr="00357374">
        <w:rPr>
          <w:rFonts w:eastAsia="Times New Roman" w:cs="Times New Roman"/>
          <w:szCs w:val="24"/>
          <w:lang w:val="en-US"/>
        </w:rPr>
        <w:t xml:space="preserve"> </w:t>
      </w:r>
    </w:p>
    <w:p w14:paraId="39F819FE" w14:textId="77777777" w:rsidR="00674B07" w:rsidRPr="00357374" w:rsidRDefault="00C62685" w:rsidP="00674B07">
      <w:pPr>
        <w:spacing w:after="0"/>
        <w:rPr>
          <w:rFonts w:eastAsia="Times New Roman" w:cs="Times New Roman"/>
          <w:szCs w:val="24"/>
          <w:lang w:val="en-US"/>
        </w:rPr>
      </w:pPr>
      <w:r w:rsidRPr="00357374">
        <w:rPr>
          <w:rFonts w:eastAsia="Times New Roman" w:cs="Times New Roman"/>
          <w:szCs w:val="24"/>
          <w:lang w:val="en-US"/>
        </w:rPr>
        <w:lastRenderedPageBreak/>
        <w:t>Keywords: Automated training, learning transfer, LMS, international logistics, DTM-CF model, scaffolding lag, performance support.</w:t>
      </w:r>
    </w:p>
    <w:p w14:paraId="7C4B2BE9" w14:textId="53428D71" w:rsidR="00674B07" w:rsidRPr="00674B07" w:rsidRDefault="00905DB0" w:rsidP="00674B07">
      <w:pPr>
        <w:pStyle w:val="Ttulo2"/>
        <w:numPr>
          <w:ilvl w:val="0"/>
          <w:numId w:val="33"/>
        </w:numPr>
        <w:ind w:left="0" w:firstLine="0"/>
        <w:rPr>
          <w:rFonts w:eastAsia="Times New Roman" w:cs="Times New Roman"/>
          <w:szCs w:val="24"/>
        </w:rPr>
      </w:pPr>
      <w:r w:rsidRPr="00905DB0">
        <w:t>Introducción</w:t>
      </w:r>
      <w:r w:rsidR="00674B07">
        <w:t>.</w:t>
      </w:r>
    </w:p>
    <w:p w14:paraId="4DB4DAD9" w14:textId="2931F32F" w:rsidR="00B4794E" w:rsidRPr="00674B07" w:rsidRDefault="00B4794E" w:rsidP="00674B07">
      <w:pPr>
        <w:rPr>
          <w:b/>
        </w:rPr>
      </w:pPr>
      <w:r w:rsidRPr="00674B07">
        <w:t xml:space="preserve">La literatura reciente ha posicionado la automatización de la formación como dinamizadora de la estandarización y la personalización al ritmo del aprendiz (Davenport &amp; </w:t>
      </w:r>
      <w:proofErr w:type="spellStart"/>
      <w:r w:rsidRPr="00674B07">
        <w:t>Ronanki</w:t>
      </w:r>
      <w:proofErr w:type="spellEnd"/>
      <w:r w:rsidRPr="00674B07">
        <w:t>, 2018; Salas et al., 2012). Sin embargo, esta promesa técnica choca con evidencias crecientes que advierten sobre los límites de la digitalización cuando se implementa sin consideraciones pedagógicas y organizacionales de fondo (</w:t>
      </w:r>
      <w:proofErr w:type="spellStart"/>
      <w:r w:rsidRPr="00674B07">
        <w:t>Jarrahi</w:t>
      </w:r>
      <w:proofErr w:type="spellEnd"/>
      <w:r w:rsidRPr="00674B07">
        <w:t>, 2018). Específicamente, en el sector de las agencias de carga internacional particularmente en operadores logísticos, la naturaleza variable del comercio internacional genera un conflicto estructural organizacional: mientras la estandarización promete reducir errores documentales críticos (Baldwin &amp; Ford, 1988), la volatilidad normativa y la coordinación interzonal demandan formas de aprendizaje que resisten la automatización unidimensional.</w:t>
      </w:r>
    </w:p>
    <w:p w14:paraId="2E3C85A8" w14:textId="77777777" w:rsidR="00B4794E" w:rsidRPr="00243175" w:rsidRDefault="00B4794E" w:rsidP="00674B07">
      <w:pPr>
        <w:rPr>
          <w:b/>
        </w:rPr>
      </w:pPr>
      <w:r w:rsidRPr="00243175">
        <w:t xml:space="preserve">El contexto </w:t>
      </w:r>
      <w:proofErr w:type="spellStart"/>
      <w:r w:rsidRPr="00243175">
        <w:t>post-pandemia</w:t>
      </w:r>
      <w:proofErr w:type="spellEnd"/>
      <w:r w:rsidRPr="00243175">
        <w:t xml:space="preserve"> ha exacerbado esta tensión. Tras la "aceleración digital forzada" de 2020-2022, las organizaciones logísticas exhiben un fenómeno no anticipado en la literatura previa: la fatiga digital del aprendizaje (Soto-Acosta, 2020). En Car </w:t>
      </w:r>
      <w:proofErr w:type="spellStart"/>
      <w:r w:rsidRPr="00243175">
        <w:t>Freight</w:t>
      </w:r>
      <w:proofErr w:type="spellEnd"/>
      <w:r w:rsidRPr="00243175">
        <w:t xml:space="preserve"> </w:t>
      </w:r>
      <w:proofErr w:type="spellStart"/>
      <w:r w:rsidRPr="00243175">
        <w:t>Shipping</w:t>
      </w:r>
      <w:proofErr w:type="spellEnd"/>
      <w:r w:rsidRPr="00243175">
        <w:t xml:space="preserve"> Company, esta condición se manifiesta en la resistencia hacia plataformas percibidas como mecanismos de vigilancia adicional más que como soporte al desempeño, consecuencia de la "fractura de atención" generada por la multiplicidad de herramientas virtuales (Zoom, </w:t>
      </w:r>
      <w:proofErr w:type="spellStart"/>
      <w:r w:rsidRPr="00243175">
        <w:t>Cliq</w:t>
      </w:r>
      <w:proofErr w:type="spellEnd"/>
      <w:r w:rsidRPr="00243175">
        <w:t>, WhatsApp Business) implementadas durante la emergencia sanitaria.</w:t>
      </w:r>
    </w:p>
    <w:p w14:paraId="77546126" w14:textId="77777777" w:rsidR="00B4794E" w:rsidRPr="00243175" w:rsidRDefault="00B4794E" w:rsidP="00674B07">
      <w:pPr>
        <w:rPr>
          <w:b/>
        </w:rPr>
      </w:pPr>
      <w:r w:rsidRPr="00243175">
        <w:t xml:space="preserve">A diferencia de los sectores manufactureros, donde la repetición de tareas facilita la estandarización de procesos, el contexto del sector de la logística internacional presenta características que hacen insuficiente aplicar soluciones tecnológicas de forma directa. En primer lugar, existe una alta inestabilidad normativa: regulaciones relacionadas con el comercio internacional cambian con frecuencia, lo que provoca que los manuales y contenidos estáticos se vuelvan obsoletos en poco tiempo. En segundo lugar, la baja disponibilidad de los empleados con experiencia durante la jornada laboral, dificulta la atención oportuna de las dudas de los nuevos empleados, generando vacíos en el acompañamiento durante el aprendizaje. Finalmente, el costo de los errores es considerablemente alto: fallas en la documentación o en la clasificación de la carga </w:t>
      </w:r>
      <w:r w:rsidRPr="00243175">
        <w:lastRenderedPageBreak/>
        <w:t>pueden generar retrasos, sobrecostos e incluso sanciones, lo que limita la posibilidad de aprender a partir de la práctica directa sin consecuencias económicas importantes.</w:t>
      </w:r>
    </w:p>
    <w:p w14:paraId="1345CA63" w14:textId="541651FE" w:rsidR="005D5A4D" w:rsidRPr="00905DB0" w:rsidRDefault="005D5A4D" w:rsidP="00243175">
      <w:pPr>
        <w:pStyle w:val="Ttulo3"/>
      </w:pPr>
      <w:r w:rsidRPr="00905DB0">
        <w:t>1.</w:t>
      </w:r>
      <w:r w:rsidR="00172E6E">
        <w:t>1</w:t>
      </w:r>
      <w:r w:rsidRPr="00905DB0">
        <w:t>. Planteamiento del Problema</w:t>
      </w:r>
    </w:p>
    <w:p w14:paraId="23B525DA" w14:textId="77777777" w:rsidR="00B4794E" w:rsidRPr="00B4794E" w:rsidRDefault="00B4794E" w:rsidP="00243175">
      <w:pPr>
        <w:spacing w:after="0"/>
        <w:rPr>
          <w:rFonts w:eastAsia="Times New Roman" w:cs="Times New Roman"/>
          <w:szCs w:val="24"/>
        </w:rPr>
      </w:pPr>
      <w:r w:rsidRPr="00B4794E">
        <w:rPr>
          <w:rFonts w:eastAsia="Times New Roman" w:cs="Times New Roman"/>
          <w:szCs w:val="24"/>
        </w:rPr>
        <w:t xml:space="preserve">En Car </w:t>
      </w:r>
      <w:proofErr w:type="spellStart"/>
      <w:r w:rsidRPr="00B4794E">
        <w:rPr>
          <w:rFonts w:eastAsia="Times New Roman" w:cs="Times New Roman"/>
          <w:szCs w:val="24"/>
        </w:rPr>
        <w:t>Freight</w:t>
      </w:r>
      <w:proofErr w:type="spellEnd"/>
      <w:r w:rsidRPr="00B4794E">
        <w:rPr>
          <w:rFonts w:eastAsia="Times New Roman" w:cs="Times New Roman"/>
          <w:szCs w:val="24"/>
        </w:rPr>
        <w:t xml:space="preserve"> </w:t>
      </w:r>
      <w:proofErr w:type="spellStart"/>
      <w:r w:rsidRPr="00B4794E">
        <w:rPr>
          <w:rFonts w:eastAsia="Times New Roman" w:cs="Times New Roman"/>
          <w:szCs w:val="24"/>
        </w:rPr>
        <w:t>Shipping</w:t>
      </w:r>
      <w:proofErr w:type="spellEnd"/>
      <w:r w:rsidRPr="00B4794E">
        <w:rPr>
          <w:rFonts w:eastAsia="Times New Roman" w:cs="Times New Roman"/>
          <w:szCs w:val="24"/>
        </w:rPr>
        <w:t xml:space="preserve"> Company, la formación de nuevos representantes de documentación enfrenta una triple disfunción estructural: (1) temporal, dada la imposibilidad de sincronización experto-aprendiz dadas las ocupaciones en horario laboral para atender inquietudes de los nuevos empleados; (2) normativa, derivada de la discrepancia entre la rigidez de los contenidos formativos y la mutabilidad de la normativa del transporte internacional de vehículos y carga; y (3) tecnológica, manifestada en la resistencia a nuevas plataformas tras la fatiga digital pandémica.</w:t>
      </w:r>
    </w:p>
    <w:p w14:paraId="7779D9C9" w14:textId="77777777" w:rsidR="00B4794E" w:rsidRPr="00B4794E" w:rsidRDefault="00B4794E" w:rsidP="00243175">
      <w:pPr>
        <w:spacing w:after="0"/>
        <w:rPr>
          <w:rFonts w:eastAsia="Times New Roman" w:cs="Times New Roman"/>
          <w:szCs w:val="24"/>
        </w:rPr>
      </w:pPr>
      <w:r w:rsidRPr="00B4794E">
        <w:rPr>
          <w:rFonts w:eastAsia="Times New Roman" w:cs="Times New Roman"/>
          <w:szCs w:val="24"/>
        </w:rPr>
        <w:t xml:space="preserve">El área de Documentación reportó para 2024 una alta tasa de reprocesos en embarques </w:t>
      </w:r>
      <w:proofErr w:type="spellStart"/>
      <w:r w:rsidRPr="00B4794E">
        <w:rPr>
          <w:rFonts w:eastAsia="Times New Roman" w:cs="Times New Roman"/>
          <w:szCs w:val="24"/>
        </w:rPr>
        <w:t>overseas</w:t>
      </w:r>
      <w:proofErr w:type="spellEnd"/>
      <w:r w:rsidRPr="00B4794E">
        <w:rPr>
          <w:rFonts w:eastAsia="Times New Roman" w:cs="Times New Roman"/>
          <w:szCs w:val="24"/>
        </w:rPr>
        <w:t xml:space="preserve"> debido a inconsistencias en títulos de propiedad, registraciones y </w:t>
      </w:r>
      <w:proofErr w:type="spellStart"/>
      <w:r w:rsidRPr="00B4794E">
        <w:rPr>
          <w:rFonts w:eastAsia="Times New Roman" w:cs="Times New Roman"/>
          <w:szCs w:val="24"/>
        </w:rPr>
        <w:t>bookings</w:t>
      </w:r>
      <w:proofErr w:type="spellEnd"/>
      <w:r w:rsidRPr="00B4794E">
        <w:rPr>
          <w:rFonts w:eastAsia="Times New Roman" w:cs="Times New Roman"/>
          <w:szCs w:val="24"/>
        </w:rPr>
        <w:t xml:space="preserve">, generando importantes retrasos en los envíos y reprocesos, principalmente correcciones (Datos internos, Área de Operaciones, 2024). Estos retrasos inciden directamente en costos por demoras portuarias y reprogramación de </w:t>
      </w:r>
      <w:proofErr w:type="spellStart"/>
      <w:r w:rsidRPr="00B4794E">
        <w:rPr>
          <w:rFonts w:eastAsia="Times New Roman" w:cs="Times New Roman"/>
          <w:szCs w:val="24"/>
        </w:rPr>
        <w:t>bookings</w:t>
      </w:r>
      <w:proofErr w:type="spellEnd"/>
      <w:r w:rsidRPr="00B4794E">
        <w:rPr>
          <w:rFonts w:eastAsia="Times New Roman" w:cs="Times New Roman"/>
          <w:szCs w:val="24"/>
        </w:rPr>
        <w:t xml:space="preserve">. No obstante, la intervención no puede limitarse a la implementación técnica de un </w:t>
      </w:r>
      <w:proofErr w:type="spellStart"/>
      <w:r w:rsidRPr="00B4794E">
        <w:rPr>
          <w:rFonts w:eastAsia="Times New Roman" w:cs="Times New Roman"/>
          <w:szCs w:val="24"/>
        </w:rPr>
        <w:t>Learning</w:t>
      </w:r>
      <w:proofErr w:type="spellEnd"/>
      <w:r w:rsidRPr="00B4794E">
        <w:rPr>
          <w:rFonts w:eastAsia="Times New Roman" w:cs="Times New Roman"/>
          <w:szCs w:val="24"/>
        </w:rPr>
        <w:t xml:space="preserve"> Management </w:t>
      </w:r>
      <w:proofErr w:type="spellStart"/>
      <w:r w:rsidRPr="00B4794E">
        <w:rPr>
          <w:rFonts w:eastAsia="Times New Roman" w:cs="Times New Roman"/>
          <w:szCs w:val="24"/>
        </w:rPr>
        <w:t>System</w:t>
      </w:r>
      <w:proofErr w:type="spellEnd"/>
      <w:r w:rsidRPr="00B4794E">
        <w:rPr>
          <w:rFonts w:eastAsia="Times New Roman" w:cs="Times New Roman"/>
          <w:szCs w:val="24"/>
        </w:rPr>
        <w:t xml:space="preserve"> (LMS), dado que los modelos de transferencia (Baldwin &amp; Ford, 1988; </w:t>
      </w:r>
      <w:proofErr w:type="spellStart"/>
      <w:r w:rsidRPr="00B4794E">
        <w:rPr>
          <w:rFonts w:eastAsia="Times New Roman" w:cs="Times New Roman"/>
          <w:szCs w:val="24"/>
        </w:rPr>
        <w:t>Holton</w:t>
      </w:r>
      <w:proofErr w:type="spellEnd"/>
      <w:r w:rsidRPr="00B4794E">
        <w:rPr>
          <w:rFonts w:eastAsia="Times New Roman" w:cs="Times New Roman"/>
          <w:szCs w:val="24"/>
        </w:rPr>
        <w:t>, 2005) fueron elaborados para contextos presenciales síncronos y no contemplan las mediaciones tecnológicas digitales ni la asincronía temporal de las operaciones transnacionales.</w:t>
      </w:r>
    </w:p>
    <w:p w14:paraId="65D0C12A" w14:textId="6581A10A" w:rsidR="00523AE3" w:rsidRDefault="00B4794E" w:rsidP="00243175">
      <w:pPr>
        <w:spacing w:after="0"/>
        <w:rPr>
          <w:rFonts w:eastAsia="Times New Roman" w:cs="Times New Roman"/>
          <w:szCs w:val="24"/>
        </w:rPr>
      </w:pPr>
      <w:r w:rsidRPr="00B4794E">
        <w:rPr>
          <w:rFonts w:eastAsia="Times New Roman" w:cs="Times New Roman"/>
          <w:szCs w:val="24"/>
        </w:rPr>
        <w:t xml:space="preserve">Por tanto, la automatización no puede asumirse como un fin en sí mismo, sino como un andamiaje tecnológico cuyo valor depende de su integración con principios de transferencia activa, diseño instruccional basado en evidencia y soporte gerencial continuo. </w:t>
      </w:r>
    </w:p>
    <w:p w14:paraId="3C4DE04F" w14:textId="07406E3D" w:rsidR="005D5A4D" w:rsidRPr="00905DB0" w:rsidRDefault="005D5A4D" w:rsidP="006051B1">
      <w:pPr>
        <w:pStyle w:val="Ttulo3"/>
      </w:pPr>
      <w:r w:rsidRPr="00905DB0">
        <w:t>1.</w:t>
      </w:r>
      <w:r w:rsidR="00172E6E">
        <w:t>2</w:t>
      </w:r>
      <w:r w:rsidRPr="00905DB0">
        <w:t>. Pregunta de Investigación</w:t>
      </w:r>
    </w:p>
    <w:p w14:paraId="12A31556" w14:textId="77777777" w:rsidR="005D5A4D" w:rsidRPr="00905DB0" w:rsidRDefault="005D5A4D" w:rsidP="00243175">
      <w:pPr>
        <w:spacing w:after="0"/>
        <w:rPr>
          <w:rFonts w:eastAsia="Times New Roman" w:cs="Times New Roman"/>
          <w:szCs w:val="24"/>
        </w:rPr>
      </w:pPr>
      <w:r w:rsidRPr="00905DB0">
        <w:rPr>
          <w:rFonts w:eastAsia="Times New Roman" w:cs="Times New Roman"/>
          <w:szCs w:val="24"/>
        </w:rPr>
        <w:t>Considerando la disfunción estructural identificada, el estudio se orienta por la siguiente pregunta general:</w:t>
      </w:r>
    </w:p>
    <w:p w14:paraId="15764788" w14:textId="77777777" w:rsidR="000C7E64" w:rsidRPr="00905DB0" w:rsidRDefault="00334C9B" w:rsidP="00243175">
      <w:pPr>
        <w:spacing w:after="0"/>
        <w:rPr>
          <w:rFonts w:eastAsia="Times New Roman" w:cs="Times New Roman"/>
          <w:szCs w:val="24"/>
        </w:rPr>
      </w:pPr>
      <w:r w:rsidRPr="00905DB0">
        <w:rPr>
          <w:rFonts w:eastAsia="Times New Roman" w:cs="Times New Roman"/>
          <w:szCs w:val="24"/>
        </w:rPr>
        <w:t xml:space="preserve">¿De qué manera la mediación tecnológica de la formación (a través de LMS) configura la transferencia del aprendizaje en contextos de alta incertidumbre normativa, y qué tensiones se generan entre la estandarización de la formación automatizada y las necesidades reales de aprendizaje en el área de documentación de Car </w:t>
      </w:r>
      <w:proofErr w:type="spellStart"/>
      <w:r w:rsidRPr="00905DB0">
        <w:rPr>
          <w:rFonts w:eastAsia="Times New Roman" w:cs="Times New Roman"/>
          <w:szCs w:val="24"/>
        </w:rPr>
        <w:t>Freight</w:t>
      </w:r>
      <w:proofErr w:type="spellEnd"/>
      <w:r w:rsidRPr="00905DB0">
        <w:rPr>
          <w:rFonts w:eastAsia="Times New Roman" w:cs="Times New Roman"/>
          <w:szCs w:val="24"/>
        </w:rPr>
        <w:t>?</w:t>
      </w:r>
    </w:p>
    <w:p w14:paraId="75A2E43A" w14:textId="77777777" w:rsidR="005D5A4D" w:rsidRPr="00905DB0" w:rsidRDefault="005D5A4D" w:rsidP="00243175">
      <w:pPr>
        <w:pStyle w:val="Ttulo3"/>
      </w:pPr>
      <w:r w:rsidRPr="00905DB0">
        <w:t>1.</w:t>
      </w:r>
      <w:r w:rsidR="00764D0E">
        <w:t>3</w:t>
      </w:r>
      <w:r w:rsidRPr="00905DB0">
        <w:t>. Objetivos de la Investigación</w:t>
      </w:r>
    </w:p>
    <w:p w14:paraId="2489C398" w14:textId="77777777" w:rsidR="00BB28CF" w:rsidRDefault="00172E6E" w:rsidP="00243175">
      <w:pPr>
        <w:pStyle w:val="Ttulo3"/>
      </w:pPr>
      <w:r w:rsidRPr="00764D0E">
        <w:lastRenderedPageBreak/>
        <w:t>1.</w:t>
      </w:r>
      <w:r w:rsidR="00764D0E" w:rsidRPr="00764D0E">
        <w:t>3</w:t>
      </w:r>
      <w:r w:rsidRPr="00764D0E">
        <w:t>.1.</w:t>
      </w:r>
      <w:r w:rsidRPr="00172E6E">
        <w:t xml:space="preserve"> O</w:t>
      </w:r>
      <w:r w:rsidR="00334C9B" w:rsidRPr="00172E6E">
        <w:t>bjetivo general</w:t>
      </w:r>
      <w:r>
        <w:t>.</w:t>
      </w:r>
      <w:r w:rsidR="00EC0B5F">
        <w:t xml:space="preserve"> </w:t>
      </w:r>
    </w:p>
    <w:p w14:paraId="3A8C1DB4" w14:textId="38B558EE" w:rsidR="00676B99" w:rsidRDefault="006D736C" w:rsidP="00243175">
      <w:pPr>
        <w:spacing w:after="0"/>
        <w:rPr>
          <w:rFonts w:eastAsia="Times New Roman" w:cs="Times New Roman"/>
          <w:szCs w:val="24"/>
        </w:rPr>
      </w:pPr>
      <w:r w:rsidRPr="006D736C">
        <w:rPr>
          <w:rFonts w:eastAsia="Times New Roman" w:cs="Times New Roman"/>
          <w:szCs w:val="24"/>
        </w:rPr>
        <w:t xml:space="preserve">Analizar cómo la mediación tecnológica de la formación configura la transferencia del aprendizaje en el área de Documentación de Car </w:t>
      </w:r>
      <w:proofErr w:type="spellStart"/>
      <w:r w:rsidRPr="006D736C">
        <w:rPr>
          <w:rFonts w:eastAsia="Times New Roman" w:cs="Times New Roman"/>
          <w:szCs w:val="24"/>
        </w:rPr>
        <w:t>Freight</w:t>
      </w:r>
      <w:proofErr w:type="spellEnd"/>
      <w:r w:rsidRPr="006D736C">
        <w:rPr>
          <w:rFonts w:eastAsia="Times New Roman" w:cs="Times New Roman"/>
          <w:szCs w:val="24"/>
        </w:rPr>
        <w:t xml:space="preserve"> </w:t>
      </w:r>
      <w:proofErr w:type="spellStart"/>
      <w:r w:rsidRPr="006D736C">
        <w:rPr>
          <w:rFonts w:eastAsia="Times New Roman" w:cs="Times New Roman"/>
          <w:szCs w:val="24"/>
        </w:rPr>
        <w:t>Shipping</w:t>
      </w:r>
      <w:proofErr w:type="spellEnd"/>
      <w:r w:rsidRPr="006D736C">
        <w:rPr>
          <w:rFonts w:eastAsia="Times New Roman" w:cs="Times New Roman"/>
          <w:szCs w:val="24"/>
        </w:rPr>
        <w:t xml:space="preserve"> Company, identificando las tensiones entre la lógica de estandarización de los </w:t>
      </w:r>
      <w:proofErr w:type="spellStart"/>
      <w:r w:rsidRPr="006D736C">
        <w:rPr>
          <w:rFonts w:eastAsia="Times New Roman" w:cs="Times New Roman"/>
          <w:szCs w:val="24"/>
        </w:rPr>
        <w:t>Learning</w:t>
      </w:r>
      <w:proofErr w:type="spellEnd"/>
      <w:r w:rsidRPr="006D736C">
        <w:rPr>
          <w:rFonts w:eastAsia="Times New Roman" w:cs="Times New Roman"/>
          <w:szCs w:val="24"/>
        </w:rPr>
        <w:t xml:space="preserve"> Management </w:t>
      </w:r>
      <w:proofErr w:type="spellStart"/>
      <w:r w:rsidRPr="006D736C">
        <w:rPr>
          <w:rFonts w:eastAsia="Times New Roman" w:cs="Times New Roman"/>
          <w:szCs w:val="24"/>
        </w:rPr>
        <w:t>Systems</w:t>
      </w:r>
      <w:proofErr w:type="spellEnd"/>
      <w:r w:rsidRPr="006D736C">
        <w:rPr>
          <w:rFonts w:eastAsia="Times New Roman" w:cs="Times New Roman"/>
          <w:szCs w:val="24"/>
        </w:rPr>
        <w:t xml:space="preserve"> </w:t>
      </w:r>
      <w:r w:rsidR="00676B99" w:rsidRPr="00676B99">
        <w:rPr>
          <w:rFonts w:eastAsia="Times New Roman" w:cs="Times New Roman"/>
          <w:szCs w:val="24"/>
        </w:rPr>
        <w:t>y las necesidades situadas de aprendizaje en un contexto de alta volatilidad normativa, con el propósito de formular lineamientos de intervención formativa contextualizados y conceptualmente sustentados, susceptibles de ser operacionalizados en una fase aplicada posterior.</w:t>
      </w:r>
    </w:p>
    <w:p w14:paraId="61922CFA" w14:textId="1FFADA80" w:rsidR="005D5A4D" w:rsidRPr="00764D0E" w:rsidRDefault="00BB28CF" w:rsidP="00243175">
      <w:pPr>
        <w:pStyle w:val="Ttulo3"/>
      </w:pPr>
      <w:r>
        <w:t xml:space="preserve">1.3.2. </w:t>
      </w:r>
      <w:r w:rsidR="00172E6E" w:rsidRPr="00764D0E">
        <w:t>O</w:t>
      </w:r>
      <w:r w:rsidR="005D5A4D" w:rsidRPr="00764D0E">
        <w:t>bjetivos específicos</w:t>
      </w:r>
    </w:p>
    <w:p w14:paraId="3FD456C6" w14:textId="272CF40A" w:rsidR="005D5A4D" w:rsidRPr="00764D0E" w:rsidRDefault="006D736C" w:rsidP="00243175">
      <w:pPr>
        <w:pStyle w:val="Prrafodelista"/>
        <w:numPr>
          <w:ilvl w:val="0"/>
          <w:numId w:val="18"/>
        </w:numPr>
        <w:spacing w:after="0"/>
        <w:ind w:left="0" w:firstLine="720"/>
        <w:rPr>
          <w:rFonts w:eastAsia="Times New Roman" w:cs="Times New Roman"/>
          <w:szCs w:val="24"/>
        </w:rPr>
      </w:pPr>
      <w:r w:rsidRPr="006D736C">
        <w:rPr>
          <w:rFonts w:eastAsia="Times New Roman" w:cs="Times New Roman"/>
          <w:szCs w:val="24"/>
        </w:rPr>
        <w:t xml:space="preserve">Diagnosticar las condiciones actuales de transferencia del aprendizaje en el área de Documentación de Car </w:t>
      </w:r>
      <w:proofErr w:type="spellStart"/>
      <w:r w:rsidRPr="006D736C">
        <w:rPr>
          <w:rFonts w:eastAsia="Times New Roman" w:cs="Times New Roman"/>
          <w:szCs w:val="24"/>
        </w:rPr>
        <w:t>Freight</w:t>
      </w:r>
      <w:proofErr w:type="spellEnd"/>
      <w:r w:rsidRPr="006D736C">
        <w:rPr>
          <w:rFonts w:eastAsia="Times New Roman" w:cs="Times New Roman"/>
          <w:szCs w:val="24"/>
        </w:rPr>
        <w:t xml:space="preserve"> </w:t>
      </w:r>
      <w:proofErr w:type="spellStart"/>
      <w:r w:rsidRPr="006D736C">
        <w:rPr>
          <w:rFonts w:eastAsia="Times New Roman" w:cs="Times New Roman"/>
          <w:szCs w:val="24"/>
        </w:rPr>
        <w:t>Shipping</w:t>
      </w:r>
      <w:proofErr w:type="spellEnd"/>
      <w:r w:rsidRPr="006D736C">
        <w:rPr>
          <w:rFonts w:eastAsia="Times New Roman" w:cs="Times New Roman"/>
          <w:szCs w:val="24"/>
        </w:rPr>
        <w:t xml:space="preserve"> Company, caracterizando las barreras asociadas a la imposibilidad de sincronización experto-aprendiz durante la jornada laboral y a la volatilidad normativa del sector de transporte internacional de carga</w:t>
      </w:r>
      <w:r w:rsidR="005D5A4D" w:rsidRPr="00764D0E">
        <w:rPr>
          <w:rFonts w:eastAsia="Times New Roman" w:cs="Times New Roman"/>
          <w:szCs w:val="24"/>
        </w:rPr>
        <w:t>.</w:t>
      </w:r>
    </w:p>
    <w:p w14:paraId="5011CF9B" w14:textId="689F0FB7" w:rsidR="000C7E64" w:rsidRPr="00764D0E" w:rsidRDefault="001C41AD" w:rsidP="00243175">
      <w:pPr>
        <w:pStyle w:val="Prrafodelista"/>
        <w:numPr>
          <w:ilvl w:val="0"/>
          <w:numId w:val="18"/>
        </w:numPr>
        <w:spacing w:after="0"/>
        <w:ind w:left="0" w:firstLine="720"/>
        <w:rPr>
          <w:rFonts w:eastAsia="Times New Roman" w:cs="Times New Roman"/>
          <w:szCs w:val="24"/>
        </w:rPr>
      </w:pPr>
      <w:r w:rsidRPr="001C41AD">
        <w:rPr>
          <w:rFonts w:eastAsia="Times New Roman" w:cs="Times New Roman"/>
          <w:szCs w:val="24"/>
        </w:rPr>
        <w:t>Refinar y validar el Modelo de Transferencia Dinámica Contextualizada (DTM-CF)</w:t>
      </w:r>
      <w:r w:rsidR="00142B52">
        <w:rPr>
          <w:rFonts w:eastAsia="Times New Roman" w:cs="Times New Roman"/>
          <w:szCs w:val="24"/>
        </w:rPr>
        <w:t xml:space="preserve"> </w:t>
      </w:r>
      <w:r w:rsidRPr="001C41AD">
        <w:rPr>
          <w:rFonts w:eastAsia="Times New Roman" w:cs="Times New Roman"/>
          <w:szCs w:val="24"/>
        </w:rPr>
        <w:t xml:space="preserve">construido a partir de la síntesis teórica de Baldwin y Ford (1988), Blume et al. (2010) y </w:t>
      </w:r>
      <w:proofErr w:type="spellStart"/>
      <w:r w:rsidRPr="001C41AD">
        <w:rPr>
          <w:rFonts w:eastAsia="Times New Roman" w:cs="Times New Roman"/>
          <w:szCs w:val="24"/>
        </w:rPr>
        <w:t>Orlikowski</w:t>
      </w:r>
      <w:proofErr w:type="spellEnd"/>
      <w:r w:rsidRPr="001C41AD">
        <w:rPr>
          <w:rFonts w:eastAsia="Times New Roman" w:cs="Times New Roman"/>
          <w:szCs w:val="24"/>
        </w:rPr>
        <w:t xml:space="preserve"> (2007)</w:t>
      </w:r>
      <w:r w:rsidR="00142B52">
        <w:rPr>
          <w:rFonts w:eastAsia="Times New Roman" w:cs="Times New Roman"/>
          <w:szCs w:val="24"/>
        </w:rPr>
        <w:t xml:space="preserve"> </w:t>
      </w:r>
      <w:r w:rsidRPr="001C41AD">
        <w:rPr>
          <w:rFonts w:eastAsia="Times New Roman" w:cs="Times New Roman"/>
          <w:szCs w:val="24"/>
        </w:rPr>
        <w:t xml:space="preserve">mediante su aplicación al caso de Car </w:t>
      </w:r>
      <w:proofErr w:type="spellStart"/>
      <w:r w:rsidRPr="001C41AD">
        <w:rPr>
          <w:rFonts w:eastAsia="Times New Roman" w:cs="Times New Roman"/>
          <w:szCs w:val="24"/>
        </w:rPr>
        <w:t>Freight</w:t>
      </w:r>
      <w:proofErr w:type="spellEnd"/>
      <w:r w:rsidRPr="001C41AD">
        <w:rPr>
          <w:rFonts w:eastAsia="Times New Roman" w:cs="Times New Roman"/>
          <w:szCs w:val="24"/>
        </w:rPr>
        <w:t xml:space="preserve"> </w:t>
      </w:r>
      <w:proofErr w:type="spellStart"/>
      <w:r w:rsidRPr="001C41AD">
        <w:rPr>
          <w:rFonts w:eastAsia="Times New Roman" w:cs="Times New Roman"/>
          <w:szCs w:val="24"/>
        </w:rPr>
        <w:t>Shipping</w:t>
      </w:r>
      <w:proofErr w:type="spellEnd"/>
      <w:r w:rsidRPr="001C41AD">
        <w:rPr>
          <w:rFonts w:eastAsia="Times New Roman" w:cs="Times New Roman"/>
          <w:szCs w:val="24"/>
        </w:rPr>
        <w:t xml:space="preserve"> Company, identificando qué dimensiones del modelo son confirmadas, matizadas o extendidas por la evidencia empírica recogida.</w:t>
      </w:r>
    </w:p>
    <w:p w14:paraId="565659CE" w14:textId="739139CE" w:rsidR="000C7E64" w:rsidRPr="003503E5" w:rsidRDefault="00554FF6" w:rsidP="00243175">
      <w:pPr>
        <w:pStyle w:val="Prrafodelista"/>
        <w:numPr>
          <w:ilvl w:val="0"/>
          <w:numId w:val="18"/>
        </w:numPr>
        <w:spacing w:after="0"/>
        <w:ind w:left="0" w:firstLine="720"/>
        <w:rPr>
          <w:rFonts w:eastAsia="Times New Roman" w:cs="Times New Roman"/>
          <w:szCs w:val="24"/>
        </w:rPr>
      </w:pPr>
      <w:r w:rsidRPr="00554FF6">
        <w:rPr>
          <w:rFonts w:eastAsia="Times New Roman" w:cs="Times New Roman"/>
          <w:szCs w:val="24"/>
        </w:rPr>
        <w:t>Derivar lineamientos de intervención formativa contextualmente fundamentados en los hallazgos del estudio y en el DTM-CF, que orienten el diseño posterior de un sistema de formación automatizada que articule la estandarización tecnológica con mecanismos de validación humana y seguimiento escalonado, reconociendo que la operacionalización técnica de dichos lineamientos requiere una fase aplicada posterior de diseño instruccional, validación de expertos e implementación piloto</w:t>
      </w:r>
      <w:r w:rsidR="005D5A4D" w:rsidRPr="00172E6E">
        <w:rPr>
          <w:rFonts w:eastAsia="Times New Roman" w:cs="Times New Roman"/>
          <w:szCs w:val="24"/>
        </w:rPr>
        <w:t>.</w:t>
      </w:r>
    </w:p>
    <w:p w14:paraId="49C00E46" w14:textId="77777777" w:rsidR="005D5A4D" w:rsidRPr="00905DB0" w:rsidRDefault="005D5A4D" w:rsidP="00243175">
      <w:pPr>
        <w:pStyle w:val="Ttulo3"/>
      </w:pPr>
      <w:r w:rsidRPr="00905DB0">
        <w:t>1.</w:t>
      </w:r>
      <w:r w:rsidR="00764D0E">
        <w:t>4</w:t>
      </w:r>
      <w:r w:rsidRPr="00905DB0">
        <w:t>. Justificación</w:t>
      </w:r>
    </w:p>
    <w:p w14:paraId="0E1F0D44" w14:textId="77777777" w:rsidR="0009060A" w:rsidRPr="0009060A" w:rsidRDefault="0009060A" w:rsidP="00243175">
      <w:pPr>
        <w:spacing w:after="0"/>
        <w:rPr>
          <w:rFonts w:eastAsia="Times New Roman" w:cs="Times New Roman"/>
          <w:szCs w:val="24"/>
        </w:rPr>
      </w:pPr>
      <w:r w:rsidRPr="0009060A">
        <w:rPr>
          <w:rFonts w:eastAsia="Times New Roman" w:cs="Times New Roman"/>
          <w:szCs w:val="24"/>
        </w:rPr>
        <w:t>Desde una perspectiva teórica, este estudio problematizó la aplicación mecánica del modelo de transferencia de Baldwin y Ford (1988) en entornos digitales y geográficamente distribuidos. Mientras que buena parte de la literatura dominante asumió una correlación positiva entre disponibilidad tecnológica y adopción formativa (Salas et al., 2012), el presente trabajo introdujo la noción de falta de adaptación del sistema al contexto real de uso (</w:t>
      </w:r>
      <w:proofErr w:type="spellStart"/>
      <w:r w:rsidRPr="0009060A">
        <w:rPr>
          <w:rFonts w:eastAsia="Times New Roman" w:cs="Times New Roman"/>
          <w:szCs w:val="24"/>
        </w:rPr>
        <w:t>Orlikowski</w:t>
      </w:r>
      <w:proofErr w:type="spellEnd"/>
      <w:r w:rsidRPr="0009060A">
        <w:rPr>
          <w:rFonts w:eastAsia="Times New Roman" w:cs="Times New Roman"/>
          <w:szCs w:val="24"/>
        </w:rPr>
        <w:t xml:space="preserve">, 2007) para explicar cómo la configuración de la interfaz del </w:t>
      </w:r>
      <w:proofErr w:type="spellStart"/>
      <w:r w:rsidRPr="0009060A">
        <w:rPr>
          <w:rFonts w:eastAsia="Times New Roman" w:cs="Times New Roman"/>
          <w:szCs w:val="24"/>
        </w:rPr>
        <w:t>Learning</w:t>
      </w:r>
      <w:proofErr w:type="spellEnd"/>
      <w:r w:rsidRPr="0009060A">
        <w:rPr>
          <w:rFonts w:eastAsia="Times New Roman" w:cs="Times New Roman"/>
          <w:szCs w:val="24"/>
        </w:rPr>
        <w:t xml:space="preserve"> Management </w:t>
      </w:r>
      <w:proofErr w:type="spellStart"/>
      <w:r w:rsidRPr="0009060A">
        <w:rPr>
          <w:rFonts w:eastAsia="Times New Roman" w:cs="Times New Roman"/>
          <w:szCs w:val="24"/>
        </w:rPr>
        <w:t>System</w:t>
      </w:r>
      <w:proofErr w:type="spellEnd"/>
      <w:r w:rsidRPr="0009060A">
        <w:rPr>
          <w:rFonts w:eastAsia="Times New Roman" w:cs="Times New Roman"/>
          <w:szCs w:val="24"/>
        </w:rPr>
        <w:t xml:space="preserve"> (LMS) condicionó efectivamente las posibilidades de aprendizaje. En este sentido, la temporalidad del trabajo </w:t>
      </w:r>
      <w:r w:rsidRPr="0009060A">
        <w:rPr>
          <w:rFonts w:eastAsia="Times New Roman" w:cs="Times New Roman"/>
          <w:szCs w:val="24"/>
        </w:rPr>
        <w:lastRenderedPageBreak/>
        <w:t>asincrónico y la materialidad digital de la plataforma fueron consideradas variables activas en los procesos de transferencia del aprendizaje, y no meros soportes neutrales de los contenidos formativos.</w:t>
      </w:r>
    </w:p>
    <w:p w14:paraId="0EFE51D6" w14:textId="13E85358" w:rsidR="00F22A5D" w:rsidRPr="00905DB0" w:rsidRDefault="0009060A" w:rsidP="00243175">
      <w:pPr>
        <w:spacing w:after="0"/>
        <w:rPr>
          <w:rFonts w:eastAsia="Times New Roman" w:cs="Times New Roman"/>
          <w:szCs w:val="24"/>
        </w:rPr>
      </w:pPr>
      <w:r w:rsidRPr="0009060A">
        <w:rPr>
          <w:rFonts w:eastAsia="Times New Roman" w:cs="Times New Roman"/>
          <w:szCs w:val="24"/>
        </w:rPr>
        <w:t>Desde el ámbito práctico, la investigación aportó una modelización contextualizada</w:t>
      </w:r>
      <w:r w:rsidR="00743DA2">
        <w:rPr>
          <w:rFonts w:eastAsia="Times New Roman" w:cs="Times New Roman"/>
          <w:szCs w:val="24"/>
        </w:rPr>
        <w:t xml:space="preserve"> </w:t>
      </w:r>
      <w:r w:rsidRPr="0009060A">
        <w:rPr>
          <w:rFonts w:eastAsia="Times New Roman" w:cs="Times New Roman"/>
          <w:szCs w:val="24"/>
        </w:rPr>
        <w:t>denominada DTM‑CF</w:t>
      </w:r>
      <w:r w:rsidR="00743DA2">
        <w:rPr>
          <w:rFonts w:eastAsia="Times New Roman" w:cs="Times New Roman"/>
          <w:szCs w:val="24"/>
        </w:rPr>
        <w:t xml:space="preserve"> </w:t>
      </w:r>
      <w:r w:rsidRPr="0009060A">
        <w:rPr>
          <w:rFonts w:eastAsia="Times New Roman" w:cs="Times New Roman"/>
          <w:szCs w:val="24"/>
        </w:rPr>
        <w:t>que propuso un sistema híbrido de formación. En dicho modelo, la plataforma ZOHO LMS cumplió la función de gestionar la estandarización técnica de los contenidos y procedimientos documentales, mientras se conservó un umbral mínimo de andamiaje humano orientado a la resolución de casos complejos y a la construcción de sentido organizacional. Esta combinación buscó responder a las limitaciones observadas en los enfoques de automatización plena, integrando eficiencia operativa con apoyo experto situado en un entorno caracterizado por alta volatilidad normativa y asincronía laboral.</w:t>
      </w:r>
    </w:p>
    <w:p w14:paraId="4D96299A" w14:textId="77777777" w:rsidR="005D5A4D" w:rsidRPr="00905DB0" w:rsidRDefault="005D5A4D" w:rsidP="00243175">
      <w:pPr>
        <w:pStyle w:val="Ttulo3"/>
      </w:pPr>
      <w:r w:rsidRPr="00905DB0">
        <w:t>1.</w:t>
      </w:r>
      <w:r w:rsidR="00764D0E">
        <w:t>5</w:t>
      </w:r>
      <w:r w:rsidRPr="00905DB0">
        <w:t>. Delimitación del Estudio</w:t>
      </w:r>
    </w:p>
    <w:p w14:paraId="14C6CEE4" w14:textId="7C035826" w:rsidR="0001325A" w:rsidRPr="00905DB0" w:rsidRDefault="0009060A" w:rsidP="00243175">
      <w:pPr>
        <w:spacing w:after="0"/>
        <w:rPr>
          <w:rFonts w:eastAsia="Times New Roman" w:cs="Times New Roman"/>
          <w:szCs w:val="24"/>
        </w:rPr>
      </w:pPr>
      <w:r w:rsidRPr="0009060A">
        <w:rPr>
          <w:rFonts w:eastAsia="Times New Roman" w:cs="Times New Roman"/>
          <w:szCs w:val="24"/>
        </w:rPr>
        <w:t xml:space="preserve">La presente investigación se circunscribió al área de Documentación de Car </w:t>
      </w:r>
      <w:proofErr w:type="spellStart"/>
      <w:r w:rsidRPr="0009060A">
        <w:rPr>
          <w:rFonts w:eastAsia="Times New Roman" w:cs="Times New Roman"/>
          <w:szCs w:val="24"/>
        </w:rPr>
        <w:t>Freight</w:t>
      </w:r>
      <w:proofErr w:type="spellEnd"/>
      <w:r w:rsidRPr="0009060A">
        <w:rPr>
          <w:rFonts w:eastAsia="Times New Roman" w:cs="Times New Roman"/>
          <w:szCs w:val="24"/>
        </w:rPr>
        <w:t xml:space="preserve"> </w:t>
      </w:r>
      <w:proofErr w:type="spellStart"/>
      <w:r w:rsidRPr="0009060A">
        <w:rPr>
          <w:rFonts w:eastAsia="Times New Roman" w:cs="Times New Roman"/>
          <w:szCs w:val="24"/>
        </w:rPr>
        <w:t>Shipping</w:t>
      </w:r>
      <w:proofErr w:type="spellEnd"/>
      <w:r w:rsidRPr="0009060A">
        <w:rPr>
          <w:rFonts w:eastAsia="Times New Roman" w:cs="Times New Roman"/>
          <w:szCs w:val="24"/>
        </w:rPr>
        <w:t xml:space="preserve"> Company, con un enfoque específico en el proceso de formación del personal con una antigüedad inferior a doce meses. El periodo de análisis comprendió las operaciones desarrolladas entre enero y diciembre de 2024, con énfasis en los servicios de documentación </w:t>
      </w:r>
      <w:proofErr w:type="spellStart"/>
      <w:r w:rsidRPr="0009060A">
        <w:rPr>
          <w:rFonts w:eastAsia="Times New Roman" w:cs="Times New Roman"/>
          <w:szCs w:val="24"/>
        </w:rPr>
        <w:t>overseas</w:t>
      </w:r>
      <w:proofErr w:type="spellEnd"/>
      <w:r w:rsidRPr="0009060A">
        <w:rPr>
          <w:rFonts w:eastAsia="Times New Roman" w:cs="Times New Roman"/>
          <w:szCs w:val="24"/>
        </w:rPr>
        <w:t>. De manera deliberada, se excluyeron del alcance del estudio los procesos de formación técnica correspondientes a otras áreas de la organización, así como la formación del personal administrativo.</w:t>
      </w:r>
    </w:p>
    <w:p w14:paraId="29FBC16B" w14:textId="0C20D960" w:rsidR="00755A77" w:rsidRPr="003503E5" w:rsidRDefault="00BB28CF" w:rsidP="00243175">
      <w:pPr>
        <w:pStyle w:val="Ttulo2"/>
        <w:spacing w:before="0" w:after="0"/>
        <w:ind w:firstLine="0"/>
      </w:pPr>
      <w:r>
        <w:t xml:space="preserve">2. </w:t>
      </w:r>
      <w:r w:rsidR="00764D0E" w:rsidRPr="003503E5">
        <w:t>Referente teórico</w:t>
      </w:r>
    </w:p>
    <w:p w14:paraId="3A37EF60" w14:textId="77777777" w:rsidR="0006260A" w:rsidRPr="00764D0E" w:rsidRDefault="00764D0E" w:rsidP="00243175">
      <w:pPr>
        <w:pStyle w:val="Ttulo3"/>
      </w:pPr>
      <w:r>
        <w:t>2</w:t>
      </w:r>
      <w:r w:rsidR="000E6C58" w:rsidRPr="00764D0E">
        <w:t>.1</w:t>
      </w:r>
      <w:r w:rsidR="00755A77" w:rsidRPr="00764D0E">
        <w:t xml:space="preserve">. </w:t>
      </w:r>
      <w:r w:rsidR="00DD14ED" w:rsidRPr="00764D0E">
        <w:t>Teoría fundamental del estudio: La transferencia de la formación</w:t>
      </w:r>
    </w:p>
    <w:p w14:paraId="29A2AA7E" w14:textId="6EF24593" w:rsidR="0009060A" w:rsidRPr="0009060A" w:rsidRDefault="0009060A" w:rsidP="00243175">
      <w:pPr>
        <w:spacing w:after="0"/>
        <w:rPr>
          <w:rFonts w:eastAsia="Times New Roman" w:cs="Times New Roman"/>
          <w:szCs w:val="24"/>
        </w:rPr>
      </w:pPr>
      <w:r w:rsidRPr="0009060A">
        <w:rPr>
          <w:rFonts w:eastAsia="Times New Roman" w:cs="Times New Roman"/>
          <w:szCs w:val="24"/>
        </w:rPr>
        <w:t>La relación del presente estudio con el modelo de transferencia de Baldwin y Ford (1988) requirió una aclaración epistemológica preliminar. Este trabajo no adoptó dicho modelo como un marco teórico cerrado ni lo aplicó de manera deductiva, pero tampoco lo rechazó como inapropiado para el contexto analizado. En su lugar, el modelo fue utilizado como un punto de partida reconstructivo: se retomó su estructura tridimensional</w:t>
      </w:r>
      <w:r w:rsidR="00743DA2">
        <w:rPr>
          <w:rFonts w:eastAsia="Times New Roman" w:cs="Times New Roman"/>
          <w:szCs w:val="24"/>
        </w:rPr>
        <w:t xml:space="preserve"> </w:t>
      </w:r>
      <w:r w:rsidRPr="0009060A">
        <w:rPr>
          <w:rFonts w:eastAsia="Times New Roman" w:cs="Times New Roman"/>
          <w:szCs w:val="24"/>
        </w:rPr>
        <w:t>características del aprendiz, diseño del entrenamiento y condiciones del entorno</w:t>
      </w:r>
      <w:r w:rsidR="00743DA2">
        <w:rPr>
          <w:rFonts w:eastAsia="Times New Roman" w:cs="Times New Roman"/>
          <w:szCs w:val="24"/>
        </w:rPr>
        <w:t xml:space="preserve"> </w:t>
      </w:r>
      <w:r w:rsidRPr="0009060A">
        <w:rPr>
          <w:rFonts w:eastAsia="Times New Roman" w:cs="Times New Roman"/>
          <w:szCs w:val="24"/>
        </w:rPr>
        <w:t xml:space="preserve">como un andamiaje conceptual válido para la identificación de variables relevantes, al tiempo que se problematizó su supuesto implícito de sincronía temporal y </w:t>
      </w:r>
      <w:proofErr w:type="spellStart"/>
      <w:r w:rsidRPr="0009060A">
        <w:rPr>
          <w:rFonts w:eastAsia="Times New Roman" w:cs="Times New Roman"/>
          <w:szCs w:val="24"/>
        </w:rPr>
        <w:t>copresencia</w:t>
      </w:r>
      <w:proofErr w:type="spellEnd"/>
      <w:r w:rsidRPr="0009060A">
        <w:rPr>
          <w:rFonts w:eastAsia="Times New Roman" w:cs="Times New Roman"/>
          <w:szCs w:val="24"/>
        </w:rPr>
        <w:t xml:space="preserve"> espacial entre experto y aprendiz, condición que no se cumplió en entornos logísticos transnacionales con operaciones geográficamente distribuidas. Esta postura de extensión crítica, que partió de un modelo ampliamente reconocido para señalar sus límites </w:t>
      </w:r>
      <w:r w:rsidRPr="0009060A">
        <w:rPr>
          <w:rFonts w:eastAsia="Times New Roman" w:cs="Times New Roman"/>
          <w:szCs w:val="24"/>
        </w:rPr>
        <w:lastRenderedPageBreak/>
        <w:t xml:space="preserve">contextuales y proponer adaptaciones, resultó metodológicamente distinta tanto de la aplicación </w:t>
      </w:r>
      <w:r w:rsidRPr="00491A9A">
        <w:rPr>
          <w:rFonts w:eastAsia="Times New Roman" w:cs="Times New Roman"/>
          <w:szCs w:val="24"/>
        </w:rPr>
        <w:t>acrítica</w:t>
      </w:r>
      <w:r w:rsidRPr="0009060A">
        <w:rPr>
          <w:rFonts w:eastAsia="Times New Roman" w:cs="Times New Roman"/>
          <w:szCs w:val="24"/>
        </w:rPr>
        <w:t xml:space="preserve"> como del rechazo total del modelo. Su adopción permitió al estudio dialogar con una literatura consolidada y, simultáneamente, justificar la necesidad de un marco analítico ajustado al contexto empírico, desarrollado posteriormente en la Sección 2.4.</w:t>
      </w:r>
    </w:p>
    <w:p w14:paraId="607360D7" w14:textId="77777777" w:rsidR="0009060A" w:rsidRPr="0009060A" w:rsidRDefault="0009060A" w:rsidP="00243175">
      <w:pPr>
        <w:spacing w:after="0"/>
        <w:rPr>
          <w:rFonts w:eastAsia="Times New Roman" w:cs="Times New Roman"/>
          <w:szCs w:val="24"/>
        </w:rPr>
      </w:pPr>
      <w:r w:rsidRPr="0009060A">
        <w:rPr>
          <w:rFonts w:eastAsia="Times New Roman" w:cs="Times New Roman"/>
          <w:szCs w:val="24"/>
        </w:rPr>
        <w:t>La teoría de la transferencia de la formación analizó los factores que influyeron en la aplicación efectiva de los aprendizajes en el entorno laboral y en la mejora del desempeño. De acuerdo con Baldwin y Ford (1988), la transferencia dependió de tres grandes dimensiones: en primer lugar, las características del aprendiz, tales como la motivación, la autoeficacia, la capacidad cognitiva y el compromiso con el aprendizaje; en segundo lugar, el diseño del programa de formación, que incluyó la claridad de los objetivos, la relevancia del contenido, los métodos de instrucción y las oportunidades de práctica activa; y, en tercer lugar, el entorno laboral, particularmente el apoyo de supervisores y compañeros, así como la existencia de incentivos para la aplicación del conocimiento adquirido.</w:t>
      </w:r>
    </w:p>
    <w:p w14:paraId="4556F35E" w14:textId="77777777" w:rsidR="0009060A" w:rsidRPr="0009060A" w:rsidRDefault="0009060A" w:rsidP="00243175">
      <w:pPr>
        <w:spacing w:after="0"/>
        <w:rPr>
          <w:rFonts w:eastAsia="Times New Roman" w:cs="Times New Roman"/>
          <w:szCs w:val="24"/>
        </w:rPr>
      </w:pPr>
      <w:r w:rsidRPr="0009060A">
        <w:rPr>
          <w:rFonts w:eastAsia="Times New Roman" w:cs="Times New Roman"/>
          <w:szCs w:val="24"/>
        </w:rPr>
        <w:t xml:space="preserve">La interacción entre estas dimensiones permitió evidenciar que la motivación del empleado para aplicar en su trabajo los conocimientos adquiridos estuvo mediada por sus percepciones acerca del valor del contenido formativo y por las expectativas de éxito asociadas a su aplicación. Asimismo, el seguimiento posterior al proceso formativo y la provisión de retroalimentación constante se identificaron como variables esenciales para asegurar la transferencia efectiva. En una línea complementaria, </w:t>
      </w:r>
      <w:proofErr w:type="spellStart"/>
      <w:r w:rsidRPr="0009060A">
        <w:rPr>
          <w:rFonts w:eastAsia="Times New Roman" w:cs="Times New Roman"/>
          <w:szCs w:val="24"/>
        </w:rPr>
        <w:t>Holton</w:t>
      </w:r>
      <w:proofErr w:type="spellEnd"/>
      <w:r w:rsidRPr="0009060A">
        <w:rPr>
          <w:rFonts w:eastAsia="Times New Roman" w:cs="Times New Roman"/>
          <w:szCs w:val="24"/>
        </w:rPr>
        <w:t xml:space="preserve"> (2005) desarrolló el </w:t>
      </w:r>
      <w:proofErr w:type="spellStart"/>
      <w:r w:rsidRPr="0009060A">
        <w:rPr>
          <w:rFonts w:eastAsia="Times New Roman" w:cs="Times New Roman"/>
          <w:szCs w:val="24"/>
        </w:rPr>
        <w:t>Learning</w:t>
      </w:r>
      <w:proofErr w:type="spellEnd"/>
      <w:r w:rsidRPr="0009060A">
        <w:rPr>
          <w:rFonts w:eastAsia="Times New Roman" w:cs="Times New Roman"/>
          <w:szCs w:val="24"/>
        </w:rPr>
        <w:t xml:space="preserve"> Transfer </w:t>
      </w:r>
      <w:proofErr w:type="spellStart"/>
      <w:r w:rsidRPr="0009060A">
        <w:rPr>
          <w:rFonts w:eastAsia="Times New Roman" w:cs="Times New Roman"/>
          <w:szCs w:val="24"/>
        </w:rPr>
        <w:t>System</w:t>
      </w:r>
      <w:proofErr w:type="spellEnd"/>
      <w:r w:rsidRPr="0009060A">
        <w:rPr>
          <w:rFonts w:eastAsia="Times New Roman" w:cs="Times New Roman"/>
          <w:szCs w:val="24"/>
        </w:rPr>
        <w:t xml:space="preserve"> </w:t>
      </w:r>
      <w:proofErr w:type="spellStart"/>
      <w:r w:rsidRPr="0009060A">
        <w:rPr>
          <w:rFonts w:eastAsia="Times New Roman" w:cs="Times New Roman"/>
          <w:szCs w:val="24"/>
        </w:rPr>
        <w:t>Inventory</w:t>
      </w:r>
      <w:proofErr w:type="spellEnd"/>
      <w:r w:rsidRPr="0009060A">
        <w:rPr>
          <w:rFonts w:eastAsia="Times New Roman" w:cs="Times New Roman"/>
          <w:szCs w:val="24"/>
        </w:rPr>
        <w:t xml:space="preserve"> (LTSI), un modelo de evaluación orientado a identificar barreras y facilitadores de la transferencia, el cual permitió diagnosticar puntos críticos dentro del proceso de formación. Estos planteamientos reforzaron la comprensión de que la formación no concluyó con la finalización del evento formativo, sino que requirió mecanismos de sostenibilidad, seguimiento y refuerzo organizacional.</w:t>
      </w:r>
    </w:p>
    <w:p w14:paraId="648009CD" w14:textId="620C90FE" w:rsidR="0009060A" w:rsidRPr="0009060A" w:rsidRDefault="0009060A" w:rsidP="00243175">
      <w:pPr>
        <w:spacing w:after="0"/>
        <w:rPr>
          <w:rFonts w:eastAsia="Times New Roman" w:cs="Times New Roman"/>
          <w:szCs w:val="24"/>
        </w:rPr>
      </w:pPr>
      <w:r w:rsidRPr="0009060A">
        <w:rPr>
          <w:rFonts w:eastAsia="Times New Roman" w:cs="Times New Roman"/>
          <w:szCs w:val="24"/>
        </w:rPr>
        <w:t>Una extensión relevante del modelo de Baldwin y Ford (1988) que anticipó varias de las tensiones identificadas empíricamente en este estudio fue la propuesta de Broad y Newstrom (1992). Estos autores reencuadraron la transferencia del aprendizaje como un proceso que involucró tres momentos temporales</w:t>
      </w:r>
      <w:r w:rsidR="00743DA2">
        <w:rPr>
          <w:rFonts w:eastAsia="Times New Roman" w:cs="Times New Roman"/>
          <w:szCs w:val="24"/>
        </w:rPr>
        <w:t xml:space="preserve"> </w:t>
      </w:r>
      <w:r w:rsidRPr="0009060A">
        <w:rPr>
          <w:rFonts w:eastAsia="Times New Roman" w:cs="Times New Roman"/>
          <w:szCs w:val="24"/>
        </w:rPr>
        <w:t>antes, durante y después de la formación</w:t>
      </w:r>
      <w:r w:rsidR="00743DA2">
        <w:rPr>
          <w:rFonts w:eastAsia="Times New Roman" w:cs="Times New Roman"/>
          <w:szCs w:val="24"/>
        </w:rPr>
        <w:t xml:space="preserve"> </w:t>
      </w:r>
      <w:r w:rsidRPr="0009060A">
        <w:rPr>
          <w:rFonts w:eastAsia="Times New Roman" w:cs="Times New Roman"/>
          <w:szCs w:val="24"/>
        </w:rPr>
        <w:t xml:space="preserve">y tres actores organizacionales con responsabilidades diferenciadas: el supervisor, el par y el aprendiz. Esta perspectiva resultó especialmente pertinente para el contexto de Car </w:t>
      </w:r>
      <w:proofErr w:type="spellStart"/>
      <w:r w:rsidRPr="0009060A">
        <w:rPr>
          <w:rFonts w:eastAsia="Times New Roman" w:cs="Times New Roman"/>
          <w:szCs w:val="24"/>
        </w:rPr>
        <w:t>Freight</w:t>
      </w:r>
      <w:proofErr w:type="spellEnd"/>
      <w:r w:rsidRPr="0009060A">
        <w:rPr>
          <w:rFonts w:eastAsia="Times New Roman" w:cs="Times New Roman"/>
          <w:szCs w:val="24"/>
        </w:rPr>
        <w:t xml:space="preserve"> </w:t>
      </w:r>
      <w:proofErr w:type="spellStart"/>
      <w:r w:rsidRPr="0009060A">
        <w:rPr>
          <w:rFonts w:eastAsia="Times New Roman" w:cs="Times New Roman"/>
          <w:szCs w:val="24"/>
        </w:rPr>
        <w:t>Shipping</w:t>
      </w:r>
      <w:proofErr w:type="spellEnd"/>
      <w:r w:rsidRPr="0009060A">
        <w:rPr>
          <w:rFonts w:eastAsia="Times New Roman" w:cs="Times New Roman"/>
          <w:szCs w:val="24"/>
        </w:rPr>
        <w:t xml:space="preserve"> Company, en el que la fase posterior a la formación</w:t>
      </w:r>
      <w:r w:rsidR="00743DA2">
        <w:rPr>
          <w:rFonts w:eastAsia="Times New Roman" w:cs="Times New Roman"/>
          <w:szCs w:val="24"/>
        </w:rPr>
        <w:t xml:space="preserve"> </w:t>
      </w:r>
      <w:r w:rsidRPr="0009060A">
        <w:rPr>
          <w:rFonts w:eastAsia="Times New Roman" w:cs="Times New Roman"/>
          <w:szCs w:val="24"/>
        </w:rPr>
        <w:t>caracterizada por el seguimiento, la retroalimentación y el refuerzo organizacional</w:t>
      </w:r>
      <w:r w:rsidR="00743DA2">
        <w:rPr>
          <w:rFonts w:eastAsia="Times New Roman" w:cs="Times New Roman"/>
          <w:szCs w:val="24"/>
        </w:rPr>
        <w:t xml:space="preserve"> </w:t>
      </w:r>
      <w:r w:rsidRPr="0009060A">
        <w:rPr>
          <w:rFonts w:eastAsia="Times New Roman" w:cs="Times New Roman"/>
          <w:szCs w:val="24"/>
        </w:rPr>
        <w:t xml:space="preserve">emergió como el eslabón más débil del proceso. La ausencia de </w:t>
      </w:r>
      <w:r w:rsidRPr="0009060A">
        <w:rPr>
          <w:rFonts w:eastAsia="Times New Roman" w:cs="Times New Roman"/>
          <w:szCs w:val="24"/>
        </w:rPr>
        <w:lastRenderedPageBreak/>
        <w:t xml:space="preserve">mecanismos sistemáticos de validación </w:t>
      </w:r>
      <w:proofErr w:type="spellStart"/>
      <w:r w:rsidRPr="0009060A">
        <w:rPr>
          <w:rFonts w:eastAsia="Times New Roman" w:cs="Times New Roman"/>
          <w:szCs w:val="24"/>
        </w:rPr>
        <w:t>post‑formación</w:t>
      </w:r>
      <w:proofErr w:type="spellEnd"/>
      <w:r w:rsidRPr="0009060A">
        <w:rPr>
          <w:rFonts w:eastAsia="Times New Roman" w:cs="Times New Roman"/>
          <w:szCs w:val="24"/>
        </w:rPr>
        <w:t xml:space="preserve"> identificada por los participantes se correspondió con lo que Broad y Newstrom (1992) denominaron barreras de transferencia </w:t>
      </w:r>
      <w:proofErr w:type="spellStart"/>
      <w:r w:rsidRPr="0009060A">
        <w:rPr>
          <w:rFonts w:eastAsia="Times New Roman" w:cs="Times New Roman"/>
          <w:szCs w:val="24"/>
        </w:rPr>
        <w:t>post‑entrenamiento</w:t>
      </w:r>
      <w:proofErr w:type="spellEnd"/>
      <w:r w:rsidRPr="0009060A">
        <w:rPr>
          <w:rFonts w:eastAsia="Times New Roman" w:cs="Times New Roman"/>
          <w:szCs w:val="24"/>
        </w:rPr>
        <w:t>, entre las que destacaron la falta de oportunidades de práctica supervisada, la ausencia de refuerzo por parte del supervisor y el retorno inmediato a la presión operativa sin un periodo de consolidación del aprendizaje. Al articular estas barreras con la asincronía temporal propia del contexto transnacional analizado, el modelo DTM‑CF propuesto en la Sección 2.4 pudo ser interpretado como una extensión contextualizada de este marco hacia entornos digitalmente mediados.</w:t>
      </w:r>
    </w:p>
    <w:p w14:paraId="1F04F92E" w14:textId="6AD7B38C" w:rsidR="0009060A" w:rsidRPr="0009060A" w:rsidRDefault="0009060A" w:rsidP="00243175">
      <w:pPr>
        <w:spacing w:after="0"/>
        <w:rPr>
          <w:rFonts w:eastAsia="Times New Roman" w:cs="Times New Roman"/>
          <w:szCs w:val="24"/>
        </w:rPr>
      </w:pPr>
      <w:r w:rsidRPr="0009060A">
        <w:rPr>
          <w:rFonts w:eastAsia="Times New Roman" w:cs="Times New Roman"/>
          <w:szCs w:val="24"/>
        </w:rPr>
        <w:t xml:space="preserve">En estudios relacionados con procesos automatizados de formación, se evidenció que la teoría de la transferencia de la formación resultó especialmente pertinente para el diseño de estrategias orientadas a asegurar la aplicabilidad de lo aprendido en el puesto de trabajo. Saks y </w:t>
      </w:r>
      <w:proofErr w:type="spellStart"/>
      <w:r w:rsidRPr="0009060A">
        <w:rPr>
          <w:rFonts w:eastAsia="Times New Roman" w:cs="Times New Roman"/>
          <w:szCs w:val="24"/>
        </w:rPr>
        <w:t>Belcourt</w:t>
      </w:r>
      <w:proofErr w:type="spellEnd"/>
      <w:r w:rsidRPr="0009060A">
        <w:rPr>
          <w:rFonts w:eastAsia="Times New Roman" w:cs="Times New Roman"/>
          <w:szCs w:val="24"/>
        </w:rPr>
        <w:t xml:space="preserve"> (2006) encontraron que los programas de formación apoyados en tecnologías automatizadas</w:t>
      </w:r>
      <w:r w:rsidR="00743DA2">
        <w:rPr>
          <w:rFonts w:eastAsia="Times New Roman" w:cs="Times New Roman"/>
          <w:szCs w:val="24"/>
        </w:rPr>
        <w:t xml:space="preserve"> </w:t>
      </w:r>
      <w:r w:rsidRPr="0009060A">
        <w:rPr>
          <w:rFonts w:eastAsia="Times New Roman" w:cs="Times New Roman"/>
          <w:szCs w:val="24"/>
        </w:rPr>
        <w:t>como plataformas LMS, simuladores y módulos interactivos</w:t>
      </w:r>
      <w:r w:rsidR="00743DA2">
        <w:rPr>
          <w:rFonts w:eastAsia="Times New Roman" w:cs="Times New Roman"/>
          <w:szCs w:val="24"/>
        </w:rPr>
        <w:t xml:space="preserve"> </w:t>
      </w:r>
      <w:r w:rsidRPr="0009060A">
        <w:rPr>
          <w:rFonts w:eastAsia="Times New Roman" w:cs="Times New Roman"/>
          <w:szCs w:val="24"/>
        </w:rPr>
        <w:t>alcanzaron mayores niveles de efectividad cuando incorporaron mecanismos explícitos de refuerzo, seguimiento y monitoreo del desempeño. En este sentido, la automatización facilitó procesos formativos más personalizados y alineados con los estilos de aprendizaje, siempre que estuviera acompañada de estrategias de transferencia activa.</w:t>
      </w:r>
    </w:p>
    <w:p w14:paraId="1CD82F48" w14:textId="1A96C379" w:rsidR="0009060A" w:rsidRPr="0009060A" w:rsidRDefault="0009060A" w:rsidP="00243175">
      <w:pPr>
        <w:spacing w:after="0"/>
        <w:rPr>
          <w:rFonts w:eastAsia="Times New Roman" w:cs="Times New Roman"/>
          <w:szCs w:val="24"/>
        </w:rPr>
      </w:pPr>
      <w:r w:rsidRPr="00B377C6">
        <w:rPr>
          <w:rFonts w:eastAsia="Times New Roman" w:cs="Times New Roman"/>
          <w:szCs w:val="24"/>
        </w:rPr>
        <w:t>Adicionalmente</w:t>
      </w:r>
      <w:r w:rsidRPr="0009060A">
        <w:rPr>
          <w:rFonts w:eastAsia="Times New Roman" w:cs="Times New Roman"/>
          <w:szCs w:val="24"/>
        </w:rPr>
        <w:t xml:space="preserve">, la automatización permitió vincular los contenidos formativos de manera directa con las tareas propias del cargo, facilitando su consulta y aplicación en el momento de ejecución y favoreciendo una transferencia inmediata del aprendizaje al trabajo. La evidencia empírica sobre el papel del entorno organizacional como moderador de la efectividad formativa fue consistente en la literatura. </w:t>
      </w:r>
      <w:proofErr w:type="spellStart"/>
      <w:r w:rsidRPr="0009060A">
        <w:rPr>
          <w:rFonts w:eastAsia="Times New Roman" w:cs="Times New Roman"/>
          <w:szCs w:val="24"/>
        </w:rPr>
        <w:t>Tharenou</w:t>
      </w:r>
      <w:proofErr w:type="spellEnd"/>
      <w:r w:rsidRPr="0009060A">
        <w:rPr>
          <w:rFonts w:eastAsia="Times New Roman" w:cs="Times New Roman"/>
          <w:szCs w:val="24"/>
        </w:rPr>
        <w:t xml:space="preserve"> (2001) demostró que el apoyo del supervisor y la disponibilidad de oportunidades de práctica en el puesto de trabajo constituyeron los predictores más sólidos de la transferencia del aprendizaje, incluso con mayor poder explicativo que las características intrínsecas del programa formativo. De manera complementaria, </w:t>
      </w:r>
      <w:proofErr w:type="spellStart"/>
      <w:r w:rsidRPr="0009060A">
        <w:rPr>
          <w:rFonts w:eastAsia="Times New Roman" w:cs="Times New Roman"/>
          <w:szCs w:val="24"/>
        </w:rPr>
        <w:t>Colquitt</w:t>
      </w:r>
      <w:proofErr w:type="spellEnd"/>
      <w:r w:rsidRPr="0009060A">
        <w:rPr>
          <w:rFonts w:eastAsia="Times New Roman" w:cs="Times New Roman"/>
          <w:szCs w:val="24"/>
        </w:rPr>
        <w:t xml:space="preserve">, </w:t>
      </w:r>
      <w:proofErr w:type="spellStart"/>
      <w:r w:rsidRPr="0009060A">
        <w:rPr>
          <w:rFonts w:eastAsia="Times New Roman" w:cs="Times New Roman"/>
          <w:szCs w:val="24"/>
        </w:rPr>
        <w:t>LePine</w:t>
      </w:r>
      <w:proofErr w:type="spellEnd"/>
      <w:r w:rsidRPr="0009060A">
        <w:rPr>
          <w:rFonts w:eastAsia="Times New Roman" w:cs="Times New Roman"/>
          <w:szCs w:val="24"/>
        </w:rPr>
        <w:t xml:space="preserve"> y Noe (2000), en un metaanálisis de 105 estudios, confirmaron que el clima organizacional para la transferencia</w:t>
      </w:r>
      <w:r w:rsidR="00743DA2">
        <w:rPr>
          <w:rFonts w:eastAsia="Times New Roman" w:cs="Times New Roman"/>
          <w:szCs w:val="24"/>
        </w:rPr>
        <w:t xml:space="preserve"> </w:t>
      </w:r>
      <w:r w:rsidRPr="0009060A">
        <w:rPr>
          <w:rFonts w:eastAsia="Times New Roman" w:cs="Times New Roman"/>
          <w:szCs w:val="24"/>
        </w:rPr>
        <w:t>entendido como la percepción de apoyo organizacional y directivo para la aplicación de lo aprendido</w:t>
      </w:r>
      <w:r w:rsidR="00743DA2">
        <w:rPr>
          <w:rFonts w:eastAsia="Times New Roman" w:cs="Times New Roman"/>
          <w:szCs w:val="24"/>
        </w:rPr>
        <w:t xml:space="preserve"> </w:t>
      </w:r>
      <w:r w:rsidRPr="0009060A">
        <w:rPr>
          <w:rFonts w:eastAsia="Times New Roman" w:cs="Times New Roman"/>
          <w:szCs w:val="24"/>
        </w:rPr>
        <w:t>actuó como una variable mediadora crítica entre la motivación del aprendiz y los resultados de la formación.</w:t>
      </w:r>
    </w:p>
    <w:p w14:paraId="2D46C347" w14:textId="4003F021" w:rsidR="003D115A" w:rsidRDefault="0009060A" w:rsidP="009B0B86">
      <w:pPr>
        <w:spacing w:after="0"/>
        <w:rPr>
          <w:rFonts w:eastAsia="Times New Roman" w:cs="Times New Roman"/>
          <w:szCs w:val="24"/>
        </w:rPr>
      </w:pPr>
      <w:r w:rsidRPr="0009060A">
        <w:rPr>
          <w:rFonts w:eastAsia="Times New Roman" w:cs="Times New Roman"/>
          <w:szCs w:val="24"/>
        </w:rPr>
        <w:t xml:space="preserve">En consecuencia, la teoría de la transferencia de la formación se ajustó de manera consistente al objetivo del presente estudio, en la medida en que este buscó implementar un proceso </w:t>
      </w:r>
      <w:r w:rsidRPr="0009060A">
        <w:rPr>
          <w:rFonts w:eastAsia="Times New Roman" w:cs="Times New Roman"/>
          <w:szCs w:val="24"/>
        </w:rPr>
        <w:lastRenderedPageBreak/>
        <w:t xml:space="preserve">de formación automatizada orientado a mejorar el desempeño de los nuevos colaboradores del área de Documentación de Car </w:t>
      </w:r>
      <w:proofErr w:type="spellStart"/>
      <w:r w:rsidRPr="0009060A">
        <w:rPr>
          <w:rFonts w:eastAsia="Times New Roman" w:cs="Times New Roman"/>
          <w:szCs w:val="24"/>
        </w:rPr>
        <w:t>Freight</w:t>
      </w:r>
      <w:proofErr w:type="spellEnd"/>
      <w:r w:rsidRPr="0009060A">
        <w:rPr>
          <w:rFonts w:eastAsia="Times New Roman" w:cs="Times New Roman"/>
          <w:szCs w:val="24"/>
        </w:rPr>
        <w:t xml:space="preserve"> </w:t>
      </w:r>
      <w:proofErr w:type="spellStart"/>
      <w:r w:rsidRPr="0009060A">
        <w:rPr>
          <w:rFonts w:eastAsia="Times New Roman" w:cs="Times New Roman"/>
          <w:szCs w:val="24"/>
        </w:rPr>
        <w:t>Shipping</w:t>
      </w:r>
      <w:proofErr w:type="spellEnd"/>
      <w:r w:rsidRPr="0009060A">
        <w:rPr>
          <w:rFonts w:eastAsia="Times New Roman" w:cs="Times New Roman"/>
          <w:szCs w:val="24"/>
        </w:rPr>
        <w:t xml:space="preserve"> Company. Este enfoque teórico permitió comprender de forma integral los factores que determinaron que la formación alcanzara un impacto efectivo en el desempeño laboral. Al articular variables individuales, organizacionales y de diseño instruccional, la teoría proporcionó un marco sólido para guiar la creación de contenidos automatizados relevantes, su alineación con las tareas reales del cargo y la configuración de un entorno organizacional que reforzó el aprendizaje. De este modo, no solo se garantizó una formación técnicamente estructurada, sino también una aplicación práctica sostenible, aspecto clave para mejorar el desempeño desde el ingreso de los empleados y optimizar tiempos, recursos y calidad del servicio.</w:t>
      </w:r>
    </w:p>
    <w:p w14:paraId="6CF13F58" w14:textId="77777777" w:rsidR="00566035" w:rsidRPr="00B377C6" w:rsidRDefault="00566035" w:rsidP="009B0B86">
      <w:pPr>
        <w:spacing w:after="0"/>
        <w:ind w:firstLine="0"/>
        <w:rPr>
          <w:rFonts w:eastAsia="Times New Roman" w:cs="Times New Roman"/>
          <w:i/>
          <w:szCs w:val="24"/>
        </w:rPr>
      </w:pPr>
      <w:r w:rsidRPr="009B0B86">
        <w:rPr>
          <w:rFonts w:eastAsia="Times New Roman" w:cs="Times New Roman"/>
          <w:b/>
          <w:i/>
          <w:szCs w:val="24"/>
        </w:rPr>
        <w:t>Figura 1</w:t>
      </w:r>
      <w:r w:rsidRPr="00B377C6">
        <w:rPr>
          <w:rFonts w:eastAsia="Times New Roman" w:cs="Times New Roman"/>
          <w:i/>
          <w:szCs w:val="24"/>
        </w:rPr>
        <w:t xml:space="preserve"> Modelo de transferencia de la formación de Baldwin y Ford (1988)</w:t>
      </w:r>
    </w:p>
    <w:p w14:paraId="7E181018" w14:textId="77777777" w:rsidR="00566035" w:rsidRPr="00905DB0" w:rsidRDefault="00566035" w:rsidP="00243175">
      <w:pPr>
        <w:spacing w:after="0"/>
        <w:rPr>
          <w:rFonts w:eastAsia="Times New Roman" w:cs="Times New Roman"/>
          <w:szCs w:val="24"/>
        </w:rPr>
      </w:pPr>
      <w:r w:rsidRPr="00905DB0">
        <w:rPr>
          <w:rFonts w:eastAsia="Times New Roman" w:cs="Times New Roman"/>
          <w:szCs w:val="24"/>
        </w:rPr>
        <w:t xml:space="preserve"> </w:t>
      </w:r>
      <w:r w:rsidRPr="00905DB0">
        <w:rPr>
          <w:rFonts w:cs="Times New Roman"/>
          <w:noProof/>
          <w:szCs w:val="24"/>
        </w:rPr>
        <w:drawing>
          <wp:inline distT="0" distB="0" distL="0" distR="0" wp14:anchorId="08C08524" wp14:editId="5E9547A0">
            <wp:extent cx="4089400" cy="3916680"/>
            <wp:effectExtent l="0" t="0" r="6350" b="7620"/>
            <wp:docPr id="350054577" name="image3.png"/>
            <wp:cNvGraphicFramePr/>
            <a:graphic xmlns:a="http://schemas.openxmlformats.org/drawingml/2006/main">
              <a:graphicData uri="http://schemas.openxmlformats.org/drawingml/2006/picture">
                <pic:pic xmlns:pic="http://schemas.openxmlformats.org/drawingml/2006/picture">
                  <pic:nvPicPr>
                    <pic:cNvPr id="350054577" name="image3.png"/>
                    <pic:cNvPicPr/>
                  </pic:nvPicPr>
                  <pic:blipFill>
                    <a:blip r:embed="rId13"/>
                    <a:srcRect/>
                    <a:stretch>
                      <a:fillRect/>
                    </a:stretch>
                  </pic:blipFill>
                  <pic:spPr>
                    <a:xfrm>
                      <a:off x="0" y="0"/>
                      <a:ext cx="4089400" cy="3916680"/>
                    </a:xfrm>
                    <a:prstGeom prst="rect">
                      <a:avLst/>
                    </a:prstGeom>
                    <a:ln/>
                  </pic:spPr>
                </pic:pic>
              </a:graphicData>
            </a:graphic>
          </wp:inline>
        </w:drawing>
      </w:r>
    </w:p>
    <w:p w14:paraId="7C2E75F5" w14:textId="136AE109" w:rsidR="00566035" w:rsidRDefault="00566035" w:rsidP="00243175">
      <w:pPr>
        <w:spacing w:after="0"/>
        <w:rPr>
          <w:rFonts w:eastAsia="Times New Roman" w:cs="Times New Roman"/>
          <w:szCs w:val="24"/>
        </w:rPr>
      </w:pPr>
      <w:r w:rsidRPr="00905DB0">
        <w:rPr>
          <w:rFonts w:eastAsia="Times New Roman" w:cs="Times New Roman"/>
          <w:szCs w:val="24"/>
        </w:rPr>
        <w:t xml:space="preserve">Nota. </w:t>
      </w:r>
      <w:r w:rsidR="00B70FD4">
        <w:rPr>
          <w:rFonts w:eastAsia="Times New Roman" w:cs="Times New Roman"/>
          <w:szCs w:val="24"/>
        </w:rPr>
        <w:t>La figura</w:t>
      </w:r>
      <w:r w:rsidRPr="00905DB0">
        <w:rPr>
          <w:rFonts w:eastAsia="Times New Roman" w:cs="Times New Roman"/>
          <w:szCs w:val="24"/>
        </w:rPr>
        <w:t xml:space="preserve"> presenta las tres dimensiones fundamentales del modelo: características del aprendiz (motivación, autoeficacia), diseño del entrenamiento (objetivos, relevancia, práctica) y condiciones del entorno (soporte, oportunidades). La interacción de estas dimensiones determina los resultados de aprendizaje generalizados y mantenidos. </w:t>
      </w:r>
    </w:p>
    <w:p w14:paraId="571C0504" w14:textId="47D65051" w:rsidR="002C4193" w:rsidRPr="002C4193" w:rsidRDefault="002C4193" w:rsidP="00243175">
      <w:pPr>
        <w:spacing w:after="0"/>
        <w:rPr>
          <w:rFonts w:eastAsia="Times New Roman" w:cs="Times New Roman"/>
          <w:szCs w:val="24"/>
        </w:rPr>
      </w:pPr>
      <w:r w:rsidRPr="002C4193">
        <w:rPr>
          <w:rFonts w:eastAsia="Times New Roman" w:cs="Times New Roman"/>
          <w:szCs w:val="24"/>
        </w:rPr>
        <w:lastRenderedPageBreak/>
        <w:t xml:space="preserve">Una revisión de la literatura empírica sobre la transferencia del aprendizaje en organizaciones logísticas evidenció un campo en desarrollo, con vacíos específicos relevantes para el presente estudio. Los trabajos existentes examinaron los factores que afectaron la transferencia del aprendizaje en agencias logísticas, incluyendo variables organizacionales, individuales, educativas y </w:t>
      </w:r>
      <w:proofErr w:type="spellStart"/>
      <w:r w:rsidRPr="002C4193">
        <w:rPr>
          <w:rFonts w:eastAsia="Times New Roman" w:cs="Times New Roman"/>
          <w:szCs w:val="24"/>
        </w:rPr>
        <w:t>metaorganizacionales</w:t>
      </w:r>
      <w:proofErr w:type="spellEnd"/>
      <w:r w:rsidRPr="002C4193">
        <w:rPr>
          <w:rFonts w:eastAsia="Times New Roman" w:cs="Times New Roman"/>
          <w:szCs w:val="24"/>
        </w:rPr>
        <w:t xml:space="preserve">, y utilizaron predominantemente instrumentos cuantitativos como el </w:t>
      </w:r>
      <w:proofErr w:type="spellStart"/>
      <w:r w:rsidRPr="002C4193">
        <w:rPr>
          <w:rFonts w:eastAsia="Times New Roman" w:cs="Times New Roman"/>
          <w:szCs w:val="24"/>
        </w:rPr>
        <w:t>Learning</w:t>
      </w:r>
      <w:proofErr w:type="spellEnd"/>
      <w:r w:rsidRPr="002C4193">
        <w:rPr>
          <w:rFonts w:eastAsia="Times New Roman" w:cs="Times New Roman"/>
          <w:szCs w:val="24"/>
        </w:rPr>
        <w:t xml:space="preserve"> Transfer </w:t>
      </w:r>
      <w:proofErr w:type="spellStart"/>
      <w:r w:rsidRPr="002C4193">
        <w:rPr>
          <w:rFonts w:eastAsia="Times New Roman" w:cs="Times New Roman"/>
          <w:szCs w:val="24"/>
        </w:rPr>
        <w:t>System</w:t>
      </w:r>
      <w:proofErr w:type="spellEnd"/>
      <w:r w:rsidRPr="002C4193">
        <w:rPr>
          <w:rFonts w:eastAsia="Times New Roman" w:cs="Times New Roman"/>
          <w:szCs w:val="24"/>
        </w:rPr>
        <w:t xml:space="preserve"> </w:t>
      </w:r>
      <w:proofErr w:type="spellStart"/>
      <w:r w:rsidRPr="002C4193">
        <w:rPr>
          <w:rFonts w:eastAsia="Times New Roman" w:cs="Times New Roman"/>
          <w:szCs w:val="24"/>
        </w:rPr>
        <w:t>Inventory</w:t>
      </w:r>
      <w:proofErr w:type="spellEnd"/>
      <w:r w:rsidRPr="002C4193">
        <w:rPr>
          <w:rFonts w:eastAsia="Times New Roman" w:cs="Times New Roman"/>
          <w:szCs w:val="24"/>
        </w:rPr>
        <w:t xml:space="preserve"> (LTSI) de </w:t>
      </w:r>
      <w:proofErr w:type="spellStart"/>
      <w:r w:rsidRPr="002C4193">
        <w:rPr>
          <w:rFonts w:eastAsia="Times New Roman" w:cs="Times New Roman"/>
          <w:szCs w:val="24"/>
        </w:rPr>
        <w:t>Holton</w:t>
      </w:r>
      <w:proofErr w:type="spellEnd"/>
      <w:r w:rsidRPr="002C4193">
        <w:rPr>
          <w:rFonts w:eastAsia="Times New Roman" w:cs="Times New Roman"/>
          <w:szCs w:val="24"/>
        </w:rPr>
        <w:t xml:space="preserve"> et al. (2000)</w:t>
      </w:r>
      <w:r w:rsidR="00B377C6">
        <w:rPr>
          <w:rFonts w:eastAsia="Times New Roman" w:cs="Times New Roman"/>
          <w:szCs w:val="24"/>
        </w:rPr>
        <w:t xml:space="preserve">. </w:t>
      </w:r>
    </w:p>
    <w:p w14:paraId="68F95B98" w14:textId="0236A627" w:rsidR="002C4193" w:rsidRPr="002C4193" w:rsidRDefault="002C4193" w:rsidP="00243175">
      <w:pPr>
        <w:spacing w:after="0"/>
        <w:rPr>
          <w:rFonts w:eastAsia="Times New Roman" w:cs="Times New Roman"/>
          <w:szCs w:val="24"/>
        </w:rPr>
      </w:pPr>
      <w:r w:rsidRPr="002C4193">
        <w:rPr>
          <w:rFonts w:eastAsia="Times New Roman" w:cs="Times New Roman"/>
          <w:szCs w:val="24"/>
        </w:rPr>
        <w:t>No obstante, ninguno de estos trabajos examinó de manera específica la intersección entre automatización formativa y transferencia del aprendizaje en operadores</w:t>
      </w:r>
      <w:r w:rsidR="007E19C6">
        <w:rPr>
          <w:rFonts w:eastAsia="Times New Roman" w:cs="Times New Roman"/>
          <w:szCs w:val="24"/>
        </w:rPr>
        <w:t xml:space="preserve"> </w:t>
      </w:r>
      <w:proofErr w:type="spellStart"/>
      <w:r w:rsidR="007E19C6">
        <w:rPr>
          <w:rFonts w:eastAsia="Times New Roman" w:cs="Times New Roman"/>
          <w:szCs w:val="24"/>
        </w:rPr>
        <w:t>logisticos</w:t>
      </w:r>
      <w:proofErr w:type="spellEnd"/>
      <w:r w:rsidRPr="002C4193">
        <w:rPr>
          <w:rFonts w:eastAsia="Times New Roman" w:cs="Times New Roman"/>
          <w:szCs w:val="24"/>
        </w:rPr>
        <w:t xml:space="preserve"> de pequeño tamaño con operaciones distribuidas en múltiples jurisdicciones regulatorias. El estudio que se aproximó con mayor cercanía al contexto del presente trabajo</w:t>
      </w:r>
      <w:r w:rsidR="007E19C6">
        <w:rPr>
          <w:rFonts w:eastAsia="Times New Roman" w:cs="Times New Roman"/>
          <w:szCs w:val="24"/>
        </w:rPr>
        <w:t>,</w:t>
      </w:r>
      <w:r w:rsidR="00743DA2">
        <w:rPr>
          <w:rFonts w:eastAsia="Times New Roman" w:cs="Times New Roman"/>
          <w:szCs w:val="24"/>
        </w:rPr>
        <w:t xml:space="preserve"> </w:t>
      </w:r>
      <w:proofErr w:type="spellStart"/>
      <w:r w:rsidRPr="002C4193">
        <w:rPr>
          <w:rFonts w:eastAsia="Times New Roman" w:cs="Times New Roman"/>
          <w:szCs w:val="24"/>
        </w:rPr>
        <w:t>análi</w:t>
      </w:r>
      <w:r w:rsidR="007E19C6">
        <w:rPr>
          <w:rFonts w:eastAsia="Times New Roman" w:cs="Times New Roman"/>
          <w:szCs w:val="24"/>
        </w:rPr>
        <w:t>zó</w:t>
      </w:r>
      <w:proofErr w:type="spellEnd"/>
      <w:r w:rsidRPr="002C4193">
        <w:rPr>
          <w:rFonts w:eastAsia="Times New Roman" w:cs="Times New Roman"/>
          <w:szCs w:val="24"/>
        </w:rPr>
        <w:t xml:space="preserve"> factores asociados a retrasos en la documentación de importaciones en operadores </w:t>
      </w:r>
      <w:r w:rsidRPr="008F3547">
        <w:rPr>
          <w:rFonts w:eastAsia="Times New Roman" w:cs="Times New Roman"/>
          <w:szCs w:val="24"/>
        </w:rPr>
        <w:t xml:space="preserve">logísticos </w:t>
      </w:r>
      <w:r w:rsidR="008F3547" w:rsidRPr="008F3547">
        <w:rPr>
          <w:rFonts w:eastAsia="Times New Roman" w:cs="Times New Roman"/>
          <w:szCs w:val="24"/>
        </w:rPr>
        <w:t>(</w:t>
      </w:r>
      <w:proofErr w:type="spellStart"/>
      <w:r w:rsidR="008F3547" w:rsidRPr="008F3547">
        <w:rPr>
          <w:rFonts w:eastAsia="Times New Roman" w:cs="Times New Roman"/>
          <w:szCs w:val="24"/>
        </w:rPr>
        <w:t>Simarmata</w:t>
      </w:r>
      <w:proofErr w:type="spellEnd"/>
      <w:r w:rsidR="008F3547" w:rsidRPr="008F3547">
        <w:rPr>
          <w:rFonts w:eastAsia="Times New Roman" w:cs="Times New Roman"/>
          <w:szCs w:val="24"/>
        </w:rPr>
        <w:t xml:space="preserve"> &amp; </w:t>
      </w:r>
      <w:proofErr w:type="spellStart"/>
      <w:r w:rsidR="008F3547" w:rsidRPr="008F3547">
        <w:rPr>
          <w:rFonts w:eastAsia="Times New Roman" w:cs="Times New Roman"/>
          <w:szCs w:val="24"/>
        </w:rPr>
        <w:t>Simarmata</w:t>
      </w:r>
      <w:proofErr w:type="spellEnd"/>
      <w:r w:rsidR="008F3547" w:rsidRPr="008F3547">
        <w:rPr>
          <w:rFonts w:eastAsia="Times New Roman" w:cs="Times New Roman"/>
          <w:szCs w:val="24"/>
        </w:rPr>
        <w:t>, 2025)</w:t>
      </w:r>
      <w:r w:rsidR="00743DA2">
        <w:rPr>
          <w:rFonts w:eastAsia="Times New Roman" w:cs="Times New Roman"/>
          <w:szCs w:val="24"/>
        </w:rPr>
        <w:t xml:space="preserve"> </w:t>
      </w:r>
      <w:r w:rsidRPr="002C4193">
        <w:rPr>
          <w:rFonts w:eastAsia="Times New Roman" w:cs="Times New Roman"/>
          <w:szCs w:val="24"/>
        </w:rPr>
        <w:t>identificó la falta de estandarización de los procedimientos como una de las causas principales de los errores documentales, pero no analizó el papel del diseño formativo ni de la mediación tecnológica como variables explicativas o moderadoras del fenómeno.</w:t>
      </w:r>
    </w:p>
    <w:p w14:paraId="3917F34D" w14:textId="5251BA33" w:rsidR="00DE7D5D" w:rsidRPr="00905DB0" w:rsidRDefault="002C4193" w:rsidP="00243175">
      <w:pPr>
        <w:spacing w:after="0"/>
        <w:rPr>
          <w:rFonts w:eastAsia="Times New Roman" w:cs="Times New Roman"/>
          <w:szCs w:val="24"/>
        </w:rPr>
      </w:pPr>
      <w:r w:rsidRPr="002C4193">
        <w:rPr>
          <w:rFonts w:eastAsia="Times New Roman" w:cs="Times New Roman"/>
          <w:szCs w:val="24"/>
        </w:rPr>
        <w:t xml:space="preserve">Esta brecha </w:t>
      </w:r>
      <w:r w:rsidR="007E19C6" w:rsidRPr="002C4193">
        <w:rPr>
          <w:rFonts w:eastAsia="Times New Roman" w:cs="Times New Roman"/>
          <w:szCs w:val="24"/>
        </w:rPr>
        <w:t>espec</w:t>
      </w:r>
      <w:r w:rsidR="007E19C6">
        <w:rPr>
          <w:rFonts w:eastAsia="Times New Roman" w:cs="Times New Roman"/>
          <w:szCs w:val="24"/>
        </w:rPr>
        <w:t>i</w:t>
      </w:r>
      <w:r w:rsidR="007E19C6" w:rsidRPr="002C4193">
        <w:rPr>
          <w:rFonts w:eastAsia="Times New Roman" w:cs="Times New Roman"/>
          <w:szCs w:val="24"/>
        </w:rPr>
        <w:t>f</w:t>
      </w:r>
      <w:r w:rsidR="007E19C6">
        <w:rPr>
          <w:rFonts w:eastAsia="Times New Roman" w:cs="Times New Roman"/>
          <w:szCs w:val="24"/>
        </w:rPr>
        <w:t>i</w:t>
      </w:r>
      <w:r w:rsidR="007E19C6" w:rsidRPr="002C4193">
        <w:rPr>
          <w:rFonts w:eastAsia="Times New Roman" w:cs="Times New Roman"/>
          <w:szCs w:val="24"/>
        </w:rPr>
        <w:t>ca</w:t>
      </w:r>
      <w:r w:rsidR="00743DA2">
        <w:rPr>
          <w:rFonts w:eastAsia="Times New Roman" w:cs="Times New Roman"/>
          <w:szCs w:val="24"/>
        </w:rPr>
        <w:t xml:space="preserve"> </w:t>
      </w:r>
      <w:r w:rsidRPr="002C4193">
        <w:rPr>
          <w:rFonts w:eastAsia="Times New Roman" w:cs="Times New Roman"/>
          <w:szCs w:val="24"/>
        </w:rPr>
        <w:t xml:space="preserve">la ausencia de estudios que abordaran la mediación tecnológica de la formación en contextos caracterizados por alta volatilidad normativa </w:t>
      </w:r>
      <w:proofErr w:type="spellStart"/>
      <w:r w:rsidRPr="002C4193">
        <w:rPr>
          <w:rFonts w:eastAsia="Times New Roman" w:cs="Times New Roman"/>
          <w:szCs w:val="24"/>
        </w:rPr>
        <w:t>multijurisdiccional</w:t>
      </w:r>
      <w:proofErr w:type="spellEnd"/>
      <w:r w:rsidRPr="002C4193">
        <w:rPr>
          <w:rFonts w:eastAsia="Times New Roman" w:cs="Times New Roman"/>
          <w:szCs w:val="24"/>
        </w:rPr>
        <w:t xml:space="preserve"> en operadores </w:t>
      </w:r>
      <w:r w:rsidR="007E19C6">
        <w:rPr>
          <w:rFonts w:eastAsia="Times New Roman" w:cs="Times New Roman"/>
          <w:szCs w:val="24"/>
        </w:rPr>
        <w:t>logísticos</w:t>
      </w:r>
      <w:r w:rsidRPr="002C4193">
        <w:rPr>
          <w:rFonts w:eastAsia="Times New Roman" w:cs="Times New Roman"/>
          <w:szCs w:val="24"/>
        </w:rPr>
        <w:t xml:space="preserve"> de pequeño tamaño</w:t>
      </w:r>
      <w:r w:rsidR="00743DA2">
        <w:rPr>
          <w:rFonts w:eastAsia="Times New Roman" w:cs="Times New Roman"/>
          <w:szCs w:val="24"/>
        </w:rPr>
        <w:t xml:space="preserve"> </w:t>
      </w:r>
      <w:r w:rsidR="007E19C6">
        <w:rPr>
          <w:rFonts w:eastAsia="Times New Roman" w:cs="Times New Roman"/>
          <w:szCs w:val="24"/>
        </w:rPr>
        <w:t xml:space="preserve">y </w:t>
      </w:r>
      <w:r w:rsidRPr="002C4193">
        <w:rPr>
          <w:rFonts w:eastAsia="Times New Roman" w:cs="Times New Roman"/>
          <w:szCs w:val="24"/>
        </w:rPr>
        <w:t>constituyó el espacio empírico que el presente estudio buscó explorar. Dicho vacío no fue formulado como una afirmación, sino como una ausencia empíricamente constatable a partir de la literatura revisada, lo que reforzó la pertinencia teórica y contextual de la investigación.</w:t>
      </w:r>
    </w:p>
    <w:p w14:paraId="1D7020FB" w14:textId="77777777" w:rsidR="00B43649" w:rsidRPr="00764D0E" w:rsidRDefault="00B43649" w:rsidP="00243175">
      <w:pPr>
        <w:pStyle w:val="Ttulo3"/>
      </w:pPr>
      <w:r w:rsidRPr="00764D0E">
        <w:t>2.2. La Formación Organizacional y el Desarrollo de Competencias</w:t>
      </w:r>
    </w:p>
    <w:p w14:paraId="7A022BB1" w14:textId="77777777" w:rsidR="002C4193" w:rsidRPr="002C4193" w:rsidRDefault="002C4193" w:rsidP="00243175">
      <w:pPr>
        <w:spacing w:after="0"/>
        <w:rPr>
          <w:rFonts w:cs="Times New Roman"/>
          <w:szCs w:val="24"/>
        </w:rPr>
      </w:pPr>
      <w:r w:rsidRPr="002C4193">
        <w:rPr>
          <w:rFonts w:cs="Times New Roman"/>
          <w:szCs w:val="24"/>
        </w:rPr>
        <w:t>La formación en entornos laborales constituyó una práctica estratégica mediante la cual las organizaciones desarrollaron competencias diferenciadoras (</w:t>
      </w:r>
      <w:proofErr w:type="spellStart"/>
      <w:r w:rsidRPr="002C4193">
        <w:rPr>
          <w:rFonts w:cs="Times New Roman"/>
          <w:szCs w:val="24"/>
        </w:rPr>
        <w:t>Kozlowski</w:t>
      </w:r>
      <w:proofErr w:type="spellEnd"/>
      <w:r w:rsidRPr="002C4193">
        <w:rPr>
          <w:rFonts w:cs="Times New Roman"/>
          <w:szCs w:val="24"/>
        </w:rPr>
        <w:t xml:space="preserve"> &amp; Salas, 2010). Más allá de su función instrumental, fue concebida como una inversión en capital humano que incidió directamente en la construcción de ventajas competitivas sostenibles, especialmente cuando se orientó al desarrollo de capacidades difíciles de imitar por otras organizaciones (Noe, 2021).</w:t>
      </w:r>
    </w:p>
    <w:p w14:paraId="3BB97541" w14:textId="40532C79" w:rsidR="00764D0E" w:rsidRDefault="002C4193" w:rsidP="00243175">
      <w:pPr>
        <w:spacing w:after="0"/>
        <w:rPr>
          <w:rFonts w:cs="Times New Roman"/>
          <w:szCs w:val="24"/>
        </w:rPr>
      </w:pPr>
      <w:r w:rsidRPr="002C4193">
        <w:rPr>
          <w:rFonts w:cs="Times New Roman"/>
          <w:szCs w:val="24"/>
        </w:rPr>
        <w:t xml:space="preserve">En esta línea, </w:t>
      </w:r>
      <w:proofErr w:type="spellStart"/>
      <w:r w:rsidRPr="002C4193">
        <w:rPr>
          <w:rFonts w:cs="Times New Roman"/>
          <w:szCs w:val="24"/>
        </w:rPr>
        <w:t>Schuler</w:t>
      </w:r>
      <w:proofErr w:type="spellEnd"/>
      <w:r w:rsidRPr="002C4193">
        <w:rPr>
          <w:rFonts w:cs="Times New Roman"/>
          <w:szCs w:val="24"/>
        </w:rPr>
        <w:t xml:space="preserve"> y Jackson (2014) señalaron que la formación alcanzó mayor efectividad cuando se integró de manera sistémica con otras prácticas de gestión de recursos humanos, fortaleciendo así el compromiso organizacional. De forma complementaria, la literatura evidenció que el apoyo del liderazgo actuó como una variable mediadora crítica entre el diseño instruccional y los resultados organizacionales derivados de la formación, en la medida en que </w:t>
      </w:r>
      <w:r w:rsidRPr="002C4193">
        <w:rPr>
          <w:rFonts w:cs="Times New Roman"/>
          <w:szCs w:val="24"/>
        </w:rPr>
        <w:lastRenderedPageBreak/>
        <w:t>condicionó tanto la legitimación del proceso formativo como las oportunidades reales de aplicación del aprendizaje en el puesto de trabajo (Saks, 2002).</w:t>
      </w:r>
      <w:r w:rsidR="00B43649" w:rsidRPr="00905DB0">
        <w:rPr>
          <w:rFonts w:cs="Times New Roman"/>
          <w:szCs w:val="24"/>
        </w:rPr>
        <w:t xml:space="preserve"> </w:t>
      </w:r>
    </w:p>
    <w:p w14:paraId="54D407AB" w14:textId="6B13B0A5" w:rsidR="00B43649" w:rsidRPr="00764D0E" w:rsidRDefault="00B43649" w:rsidP="00243175">
      <w:pPr>
        <w:pStyle w:val="Ttulo3"/>
      </w:pPr>
      <w:r w:rsidRPr="00764D0E">
        <w:t xml:space="preserve">2.3. </w:t>
      </w:r>
      <w:r w:rsidR="008A2CDE" w:rsidRPr="008A2CDE">
        <w:t>Transformación digital y tensiones de la automatización en la formación</w:t>
      </w:r>
    </w:p>
    <w:p w14:paraId="653708C8" w14:textId="626DF5ED" w:rsidR="00B43649" w:rsidRPr="00764D0E" w:rsidRDefault="00B43649" w:rsidP="00243175">
      <w:pPr>
        <w:pStyle w:val="Ttulo3"/>
      </w:pPr>
      <w:r w:rsidRPr="00764D0E">
        <w:t xml:space="preserve">2.3.1. </w:t>
      </w:r>
      <w:r w:rsidR="00A91855" w:rsidRPr="00A91855">
        <w:t xml:space="preserve">De la incorporación tecnológica a la relación </w:t>
      </w:r>
      <w:r w:rsidR="00A91855">
        <w:t>aprendiz</w:t>
      </w:r>
      <w:r w:rsidR="00A91855" w:rsidRPr="00A91855">
        <w:t xml:space="preserve"> y tecnología</w:t>
      </w:r>
    </w:p>
    <w:p w14:paraId="437581BE" w14:textId="77777777" w:rsidR="002C4193" w:rsidRPr="002C4193" w:rsidRDefault="002C4193" w:rsidP="00243175">
      <w:pPr>
        <w:spacing w:after="0"/>
        <w:rPr>
          <w:rFonts w:cs="Times New Roman"/>
          <w:szCs w:val="24"/>
        </w:rPr>
      </w:pPr>
      <w:r w:rsidRPr="002C4193">
        <w:rPr>
          <w:rFonts w:cs="Times New Roman"/>
          <w:szCs w:val="24"/>
        </w:rPr>
        <w:t xml:space="preserve">La digitalización reconfiguró de manera sustantiva la gestión del conocimiento organizacional. Las plataformas automatizadas permitieron simular escenarios operativos y ofrecer retroalimentación inmediata, elementos que la literatura asoció teóricamente con una mayor efectividad formativa (Salas et al., 2012). No obstante, desde una perspectiva </w:t>
      </w:r>
      <w:proofErr w:type="spellStart"/>
      <w:r w:rsidRPr="002C4193">
        <w:rPr>
          <w:rFonts w:cs="Times New Roman"/>
          <w:szCs w:val="24"/>
        </w:rPr>
        <w:t>sociomaterial</w:t>
      </w:r>
      <w:proofErr w:type="spellEnd"/>
      <w:r w:rsidRPr="002C4193">
        <w:rPr>
          <w:rFonts w:cs="Times New Roman"/>
          <w:szCs w:val="24"/>
        </w:rPr>
        <w:t xml:space="preserve">, la tecnología no operó como un artefacto neutral, sino que se constituyó a través de la práctica; por tanto, los efectos de un </w:t>
      </w:r>
      <w:proofErr w:type="spellStart"/>
      <w:r w:rsidRPr="002C4193">
        <w:rPr>
          <w:rFonts w:cs="Times New Roman"/>
          <w:szCs w:val="24"/>
        </w:rPr>
        <w:t>Learning</w:t>
      </w:r>
      <w:proofErr w:type="spellEnd"/>
      <w:r w:rsidRPr="002C4193">
        <w:rPr>
          <w:rFonts w:cs="Times New Roman"/>
          <w:szCs w:val="24"/>
        </w:rPr>
        <w:t xml:space="preserve"> Management </w:t>
      </w:r>
      <w:proofErr w:type="spellStart"/>
      <w:r w:rsidRPr="002C4193">
        <w:rPr>
          <w:rFonts w:cs="Times New Roman"/>
          <w:szCs w:val="24"/>
        </w:rPr>
        <w:t>System</w:t>
      </w:r>
      <w:proofErr w:type="spellEnd"/>
      <w:r w:rsidRPr="002C4193">
        <w:rPr>
          <w:rFonts w:cs="Times New Roman"/>
          <w:szCs w:val="24"/>
        </w:rPr>
        <w:t xml:space="preserve"> (LMS) emergieron de la interacción contingente entre los usuarios, los artefactos tecnológicos y los contextos organizacionales en los que estos se insertaron (</w:t>
      </w:r>
      <w:proofErr w:type="spellStart"/>
      <w:r w:rsidRPr="002C4193">
        <w:rPr>
          <w:rFonts w:cs="Times New Roman"/>
          <w:szCs w:val="24"/>
        </w:rPr>
        <w:t>Orlikowski</w:t>
      </w:r>
      <w:proofErr w:type="spellEnd"/>
      <w:r w:rsidRPr="002C4193">
        <w:rPr>
          <w:rFonts w:cs="Times New Roman"/>
          <w:szCs w:val="24"/>
        </w:rPr>
        <w:t>, 2007).</w:t>
      </w:r>
    </w:p>
    <w:p w14:paraId="0DFF3C4E" w14:textId="0AF84FC6" w:rsidR="002C4193" w:rsidRPr="002C4193" w:rsidRDefault="00F93098" w:rsidP="00243175">
      <w:pPr>
        <w:spacing w:after="0"/>
        <w:rPr>
          <w:rFonts w:cs="Times New Roman"/>
          <w:szCs w:val="24"/>
        </w:rPr>
      </w:pPr>
      <w:r>
        <w:rPr>
          <w:rFonts w:cs="Times New Roman"/>
          <w:szCs w:val="24"/>
        </w:rPr>
        <w:t>La b</w:t>
      </w:r>
      <w:r w:rsidR="00A91855" w:rsidRPr="00A91855">
        <w:rPr>
          <w:rFonts w:cs="Times New Roman"/>
          <w:szCs w:val="24"/>
        </w:rPr>
        <w:t xml:space="preserve">ase conceptual de la perspectiva </w:t>
      </w:r>
      <w:proofErr w:type="spellStart"/>
      <w:r w:rsidR="00A91855" w:rsidRPr="00A91855">
        <w:rPr>
          <w:rFonts w:cs="Times New Roman"/>
          <w:szCs w:val="24"/>
        </w:rPr>
        <w:t>sociomaterial</w:t>
      </w:r>
      <w:proofErr w:type="spellEnd"/>
      <w:r w:rsidR="00A91855" w:rsidRPr="00A91855">
        <w:rPr>
          <w:rFonts w:cs="Times New Roman"/>
          <w:szCs w:val="24"/>
        </w:rPr>
        <w:t xml:space="preserve"> adoptada</w:t>
      </w:r>
      <w:r w:rsidR="002C4193" w:rsidRPr="002C4193">
        <w:rPr>
          <w:rFonts w:cs="Times New Roman"/>
          <w:szCs w:val="24"/>
        </w:rPr>
        <w:t xml:space="preserve"> en este estudio pudo rastrearse hasta la Teoría de la Actividad desarrollada por </w:t>
      </w:r>
      <w:proofErr w:type="spellStart"/>
      <w:r w:rsidR="002C4193" w:rsidRPr="002C4193">
        <w:rPr>
          <w:rFonts w:cs="Times New Roman"/>
          <w:szCs w:val="24"/>
        </w:rPr>
        <w:t>Engeström</w:t>
      </w:r>
      <w:proofErr w:type="spellEnd"/>
      <w:r w:rsidR="002C4193" w:rsidRPr="002C4193">
        <w:rPr>
          <w:rFonts w:cs="Times New Roman"/>
          <w:szCs w:val="24"/>
        </w:rPr>
        <w:t xml:space="preserve"> (1987, 2001). Desde este enfoque, toda práctica de trabajo fue analizada como un sistema de actividad compuesto por seis elementos interrelacionados: el sujeto (el aprendiz), el objeto (la tarea a aprender), los instrumentos mediadores (el LMS, los manuales, el CRM), la comunidad (el equipo de documentación), las reglas (las normas internas de la empresa y la regulación aduanera) y la división del trabajo (la distribución del conocimiento experto y la disponibilidad temporal de quienes lo detentan). Las contradicciones entre estos elementos</w:t>
      </w:r>
      <w:r w:rsidR="00743DA2">
        <w:rPr>
          <w:rFonts w:cs="Times New Roman"/>
          <w:szCs w:val="24"/>
        </w:rPr>
        <w:t xml:space="preserve"> </w:t>
      </w:r>
      <w:r w:rsidR="002C4193" w:rsidRPr="002C4193">
        <w:rPr>
          <w:rFonts w:cs="Times New Roman"/>
          <w:szCs w:val="24"/>
        </w:rPr>
        <w:t>denominadas tensiones sistémicas</w:t>
      </w:r>
      <w:r w:rsidR="00743DA2">
        <w:rPr>
          <w:rFonts w:cs="Times New Roman"/>
          <w:szCs w:val="24"/>
        </w:rPr>
        <w:t xml:space="preserve"> </w:t>
      </w:r>
      <w:r w:rsidR="002C4193" w:rsidRPr="002C4193">
        <w:rPr>
          <w:rFonts w:cs="Times New Roman"/>
          <w:szCs w:val="24"/>
        </w:rPr>
        <w:t>constituyeron el motor del aprendizaje organizacional y, cuando no fueron resueltas, se manifestaron como disfunciones operativas (</w:t>
      </w:r>
      <w:proofErr w:type="spellStart"/>
      <w:r w:rsidR="002C4193" w:rsidRPr="002C4193">
        <w:rPr>
          <w:rFonts w:cs="Times New Roman"/>
          <w:szCs w:val="24"/>
        </w:rPr>
        <w:t>Engeström</w:t>
      </w:r>
      <w:proofErr w:type="spellEnd"/>
      <w:r w:rsidR="002C4193" w:rsidRPr="002C4193">
        <w:rPr>
          <w:rFonts w:cs="Times New Roman"/>
          <w:szCs w:val="24"/>
        </w:rPr>
        <w:t>, 2001).</w:t>
      </w:r>
    </w:p>
    <w:p w14:paraId="13B92D7E" w14:textId="53543CEC" w:rsidR="002C4193" w:rsidRPr="002C4193" w:rsidRDefault="002C4193" w:rsidP="00243175">
      <w:pPr>
        <w:spacing w:after="0"/>
        <w:rPr>
          <w:rFonts w:cs="Times New Roman"/>
          <w:szCs w:val="24"/>
        </w:rPr>
      </w:pPr>
      <w:r w:rsidRPr="002C4193">
        <w:rPr>
          <w:rFonts w:cs="Times New Roman"/>
          <w:szCs w:val="24"/>
        </w:rPr>
        <w:t xml:space="preserve">En el caso de Car </w:t>
      </w:r>
      <w:proofErr w:type="spellStart"/>
      <w:r w:rsidRPr="002C4193">
        <w:rPr>
          <w:rFonts w:cs="Times New Roman"/>
          <w:szCs w:val="24"/>
        </w:rPr>
        <w:t>Freight</w:t>
      </w:r>
      <w:proofErr w:type="spellEnd"/>
      <w:r w:rsidRPr="002C4193">
        <w:rPr>
          <w:rFonts w:cs="Times New Roman"/>
          <w:szCs w:val="24"/>
        </w:rPr>
        <w:t xml:space="preserve"> </w:t>
      </w:r>
      <w:proofErr w:type="spellStart"/>
      <w:r w:rsidRPr="002C4193">
        <w:rPr>
          <w:rFonts w:cs="Times New Roman"/>
          <w:szCs w:val="24"/>
        </w:rPr>
        <w:t>Shipping</w:t>
      </w:r>
      <w:proofErr w:type="spellEnd"/>
      <w:r w:rsidRPr="002C4193">
        <w:rPr>
          <w:rFonts w:cs="Times New Roman"/>
          <w:szCs w:val="24"/>
        </w:rPr>
        <w:t xml:space="preserve"> Company, la tensión entre el instrumento mediador disponible</w:t>
      </w:r>
      <w:r w:rsidR="00743DA2">
        <w:rPr>
          <w:rFonts w:cs="Times New Roman"/>
          <w:szCs w:val="24"/>
        </w:rPr>
        <w:t xml:space="preserve"> </w:t>
      </w:r>
      <w:r w:rsidRPr="002C4193">
        <w:rPr>
          <w:rFonts w:cs="Times New Roman"/>
          <w:szCs w:val="24"/>
        </w:rPr>
        <w:t>principalmente presentaciones estáticas en formato PDF</w:t>
      </w:r>
      <w:r w:rsidR="00743DA2">
        <w:rPr>
          <w:rFonts w:cs="Times New Roman"/>
          <w:szCs w:val="24"/>
        </w:rPr>
        <w:t xml:space="preserve"> </w:t>
      </w:r>
      <w:r w:rsidRPr="002C4193">
        <w:rPr>
          <w:rFonts w:cs="Times New Roman"/>
          <w:szCs w:val="24"/>
        </w:rPr>
        <w:t>y el objeto real del aprendizaje</w:t>
      </w:r>
      <w:r w:rsidR="00743DA2">
        <w:rPr>
          <w:rFonts w:cs="Times New Roman"/>
          <w:szCs w:val="24"/>
        </w:rPr>
        <w:t xml:space="preserve"> </w:t>
      </w:r>
      <w:r w:rsidRPr="002C4193">
        <w:rPr>
          <w:rFonts w:cs="Times New Roman"/>
          <w:szCs w:val="24"/>
        </w:rPr>
        <w:t>la resolución de casos de alta complejidad regulatoria en tiempo real</w:t>
      </w:r>
      <w:r w:rsidR="00743DA2">
        <w:rPr>
          <w:rFonts w:cs="Times New Roman"/>
          <w:szCs w:val="24"/>
        </w:rPr>
        <w:t xml:space="preserve"> </w:t>
      </w:r>
      <w:r w:rsidRPr="002C4193">
        <w:rPr>
          <w:rFonts w:cs="Times New Roman"/>
          <w:szCs w:val="24"/>
        </w:rPr>
        <w:t xml:space="preserve">configuró una contradicción sistémica en el sentido propuesto por </w:t>
      </w:r>
      <w:proofErr w:type="spellStart"/>
      <w:r w:rsidRPr="002C4193">
        <w:rPr>
          <w:rFonts w:cs="Times New Roman"/>
          <w:szCs w:val="24"/>
        </w:rPr>
        <w:t>Engeström</w:t>
      </w:r>
      <w:proofErr w:type="spellEnd"/>
      <w:r w:rsidRPr="002C4193">
        <w:rPr>
          <w:rFonts w:cs="Times New Roman"/>
          <w:szCs w:val="24"/>
        </w:rPr>
        <w:t xml:space="preserve">. El artefacto formativo no se encontró alineado con las demandas de la tarea, lo que generó una fricción </w:t>
      </w:r>
      <w:proofErr w:type="spellStart"/>
      <w:r w:rsidRPr="002C4193">
        <w:rPr>
          <w:rFonts w:cs="Times New Roman"/>
          <w:szCs w:val="24"/>
        </w:rPr>
        <w:t>sociomaterial</w:t>
      </w:r>
      <w:proofErr w:type="spellEnd"/>
      <w:r w:rsidRPr="002C4193">
        <w:rPr>
          <w:rFonts w:cs="Times New Roman"/>
          <w:szCs w:val="24"/>
        </w:rPr>
        <w:t xml:space="preserve"> observable en la práctica cotidiana. Esta fricción fue precisamente la que el modelo DTM‑CF buscó abordar, mediante la reconfiguración del instrumento mediador hacia un sistema de soporte al desempeño integrado al flujo de trabajo, más que hacia un repositorio pasivo de contenidos.</w:t>
      </w:r>
    </w:p>
    <w:p w14:paraId="4212F43E" w14:textId="57693F85" w:rsidR="002C4193" w:rsidRPr="002C4193" w:rsidRDefault="002C4193" w:rsidP="00243175">
      <w:pPr>
        <w:spacing w:after="0"/>
        <w:rPr>
          <w:rFonts w:cs="Times New Roman"/>
          <w:szCs w:val="24"/>
        </w:rPr>
      </w:pPr>
      <w:r w:rsidRPr="002C4193">
        <w:rPr>
          <w:rFonts w:cs="Times New Roman"/>
          <w:szCs w:val="24"/>
        </w:rPr>
        <w:lastRenderedPageBreak/>
        <w:t xml:space="preserve">No obstante, la literatura sobre la implementación de tecnologías de gestión del aprendizaje en organizaciones pequeñas y medianas advirtió de manera consistente sobre la existencia de una brecha entre la adopción formal de los LMS y su uso efectivo. Entre los factores de fracaso más frecuentemente documentados se identificaron: (1) la ausencia de una estrategia de implementación previa a la selección de la plataforma; (2) la subestimación de los procesos de gestión del cambio y de la necesidad de </w:t>
      </w:r>
      <w:proofErr w:type="spellStart"/>
      <w:r w:rsidRPr="002C4193">
        <w:rPr>
          <w:rFonts w:cs="Times New Roman"/>
          <w:szCs w:val="24"/>
        </w:rPr>
        <w:t>buy</w:t>
      </w:r>
      <w:proofErr w:type="spellEnd"/>
      <w:r w:rsidRPr="002C4193">
        <w:rPr>
          <w:rFonts w:cs="Times New Roman"/>
          <w:szCs w:val="24"/>
        </w:rPr>
        <w:t>‑</w:t>
      </w:r>
      <w:proofErr w:type="gramStart"/>
      <w:r w:rsidRPr="002C4193">
        <w:rPr>
          <w:rFonts w:cs="Times New Roman"/>
          <w:szCs w:val="24"/>
        </w:rPr>
        <w:t>in directivo</w:t>
      </w:r>
      <w:proofErr w:type="gramEnd"/>
      <w:r w:rsidRPr="002C4193">
        <w:rPr>
          <w:rFonts w:cs="Times New Roman"/>
          <w:szCs w:val="24"/>
        </w:rPr>
        <w:t>; (3) la falta de soporte técnico especializado interno; y (4) el diseño de contenidos transferido desde formatos presenciales sin adaptación instruccional al entorno digital</w:t>
      </w:r>
      <w:r w:rsidR="00BE7757">
        <w:rPr>
          <w:rFonts w:cs="Times New Roman"/>
          <w:szCs w:val="24"/>
        </w:rPr>
        <w:t xml:space="preserve"> según </w:t>
      </w:r>
      <w:proofErr w:type="spellStart"/>
      <w:r w:rsidRPr="00BE7757">
        <w:rPr>
          <w:rFonts w:cs="Times New Roman"/>
          <w:szCs w:val="24"/>
        </w:rPr>
        <w:t>Eubrics</w:t>
      </w:r>
      <w:proofErr w:type="spellEnd"/>
      <w:r w:rsidRPr="00BE7757">
        <w:rPr>
          <w:rFonts w:cs="Times New Roman"/>
          <w:szCs w:val="24"/>
        </w:rPr>
        <w:t xml:space="preserve">, </w:t>
      </w:r>
      <w:r w:rsidR="00BE7757" w:rsidRPr="00BE7757">
        <w:rPr>
          <w:rFonts w:cs="Times New Roman"/>
          <w:szCs w:val="24"/>
        </w:rPr>
        <w:t>(</w:t>
      </w:r>
      <w:r w:rsidRPr="00BE7757">
        <w:rPr>
          <w:rFonts w:cs="Times New Roman"/>
          <w:szCs w:val="24"/>
        </w:rPr>
        <w:t>2026).</w:t>
      </w:r>
      <w:r w:rsidRPr="002C4193">
        <w:rPr>
          <w:rFonts w:cs="Times New Roman"/>
          <w:szCs w:val="24"/>
        </w:rPr>
        <w:t xml:space="preserve"> En organizaciones con menos de cincuenta empleados, como Car </w:t>
      </w:r>
      <w:proofErr w:type="spellStart"/>
      <w:r w:rsidRPr="002C4193">
        <w:rPr>
          <w:rFonts w:cs="Times New Roman"/>
          <w:szCs w:val="24"/>
        </w:rPr>
        <w:t>Freight</w:t>
      </w:r>
      <w:proofErr w:type="spellEnd"/>
      <w:r w:rsidRPr="002C4193">
        <w:rPr>
          <w:rFonts w:cs="Times New Roman"/>
          <w:szCs w:val="24"/>
        </w:rPr>
        <w:t xml:space="preserve"> </w:t>
      </w:r>
      <w:proofErr w:type="spellStart"/>
      <w:r w:rsidRPr="002C4193">
        <w:rPr>
          <w:rFonts w:cs="Times New Roman"/>
          <w:szCs w:val="24"/>
        </w:rPr>
        <w:t>Shipping</w:t>
      </w:r>
      <w:proofErr w:type="spellEnd"/>
      <w:r w:rsidRPr="002C4193">
        <w:rPr>
          <w:rFonts w:cs="Times New Roman"/>
          <w:szCs w:val="24"/>
        </w:rPr>
        <w:t xml:space="preserve"> Company, estos riesgos se vieron amplificados por la limitada disponibilidad de personal dedicado a la administración del sistema y por la ausencia de una masa crítica de usuarios que favoreciera la consolidación de una cultura de uso sostenida </w:t>
      </w:r>
      <w:proofErr w:type="spellStart"/>
      <w:r w:rsidRPr="00BE7757">
        <w:rPr>
          <w:rFonts w:cs="Times New Roman"/>
          <w:szCs w:val="24"/>
        </w:rPr>
        <w:t>Eubrics</w:t>
      </w:r>
      <w:proofErr w:type="spellEnd"/>
      <w:r w:rsidRPr="00BE7757">
        <w:rPr>
          <w:rFonts w:cs="Times New Roman"/>
          <w:szCs w:val="24"/>
        </w:rPr>
        <w:t xml:space="preserve">, </w:t>
      </w:r>
      <w:r w:rsidR="00BE7757">
        <w:rPr>
          <w:rFonts w:cs="Times New Roman"/>
          <w:szCs w:val="24"/>
        </w:rPr>
        <w:t>(</w:t>
      </w:r>
      <w:r w:rsidRPr="00BE7757">
        <w:rPr>
          <w:rFonts w:cs="Times New Roman"/>
          <w:szCs w:val="24"/>
        </w:rPr>
        <w:t>2026).</w:t>
      </w:r>
    </w:p>
    <w:p w14:paraId="22EA0429" w14:textId="108E23D2" w:rsidR="00586335" w:rsidRPr="00586335" w:rsidRDefault="00F93098" w:rsidP="00243175">
      <w:pPr>
        <w:spacing w:after="0"/>
        <w:rPr>
          <w:rFonts w:cs="Times New Roman"/>
          <w:szCs w:val="24"/>
        </w:rPr>
      </w:pPr>
      <w:r w:rsidRPr="00F93098">
        <w:rPr>
          <w:rFonts w:cs="Times New Roman"/>
          <w:szCs w:val="24"/>
        </w:rPr>
        <w:t>Este conjunto de evidencia no puso en cuestión la viabilidad de la propuesta de este estudio; sin embargo, evidenció que la implementación de ZOHO LMS requirió condiciones organizacionales específicas que exceden la dimensión estrictamente tecnológica.</w:t>
      </w:r>
      <w:r>
        <w:rPr>
          <w:rFonts w:cs="Times New Roman"/>
          <w:szCs w:val="24"/>
        </w:rPr>
        <w:t xml:space="preserve"> </w:t>
      </w:r>
      <w:r w:rsidR="002C4193" w:rsidRPr="002C4193">
        <w:rPr>
          <w:rFonts w:cs="Times New Roman"/>
          <w:szCs w:val="24"/>
        </w:rPr>
        <w:t>Tales condiciones</w:t>
      </w:r>
      <w:r w:rsidR="00743DA2">
        <w:rPr>
          <w:rFonts w:cs="Times New Roman"/>
          <w:szCs w:val="24"/>
        </w:rPr>
        <w:t xml:space="preserve"> </w:t>
      </w:r>
      <w:r w:rsidR="002C4193" w:rsidRPr="002C4193">
        <w:rPr>
          <w:rFonts w:cs="Times New Roman"/>
          <w:szCs w:val="24"/>
        </w:rPr>
        <w:t>relacionadas con el diseño instruccional, el apoyo gerencial y la integración del sistema al flujo de trabajo</w:t>
      </w:r>
      <w:r w:rsidR="00743DA2">
        <w:rPr>
          <w:rFonts w:cs="Times New Roman"/>
          <w:szCs w:val="24"/>
        </w:rPr>
        <w:t xml:space="preserve"> </w:t>
      </w:r>
      <w:r w:rsidR="002C4193" w:rsidRPr="002C4193">
        <w:rPr>
          <w:rFonts w:cs="Times New Roman"/>
          <w:szCs w:val="24"/>
        </w:rPr>
        <w:t xml:space="preserve">fueron abordadas de manera explícita en la propuesta de intervención desarrollada en </w:t>
      </w:r>
      <w:r>
        <w:rPr>
          <w:rFonts w:cs="Times New Roman"/>
          <w:szCs w:val="24"/>
        </w:rPr>
        <w:t>el capítulo 5</w:t>
      </w:r>
      <w:r w:rsidR="002C4193" w:rsidRPr="002C4193">
        <w:rPr>
          <w:rFonts w:cs="Times New Roman"/>
          <w:szCs w:val="24"/>
        </w:rPr>
        <w:t>.</w:t>
      </w:r>
    </w:p>
    <w:p w14:paraId="66422872" w14:textId="77777777" w:rsidR="00B43649" w:rsidRPr="00764D0E" w:rsidRDefault="00B43649" w:rsidP="00243175">
      <w:pPr>
        <w:pStyle w:val="Ttulo3"/>
      </w:pPr>
      <w:r w:rsidRPr="00764D0E">
        <w:t xml:space="preserve">2.3.2. El contexto </w:t>
      </w:r>
      <w:proofErr w:type="spellStart"/>
      <w:r w:rsidRPr="00764D0E">
        <w:t>post-pandemia</w:t>
      </w:r>
      <w:proofErr w:type="spellEnd"/>
      <w:r w:rsidRPr="00764D0E">
        <w:t xml:space="preserve"> y la fatiga digital</w:t>
      </w:r>
    </w:p>
    <w:p w14:paraId="501C4ADD" w14:textId="77777777" w:rsidR="002C4193" w:rsidRPr="002C4193" w:rsidRDefault="002C4193" w:rsidP="00243175">
      <w:pPr>
        <w:spacing w:after="0"/>
        <w:rPr>
          <w:rFonts w:cs="Times New Roman"/>
          <w:szCs w:val="24"/>
        </w:rPr>
      </w:pPr>
      <w:r w:rsidRPr="002C4193">
        <w:rPr>
          <w:rFonts w:cs="Times New Roman"/>
          <w:szCs w:val="24"/>
        </w:rPr>
        <w:t>El periodo comprendido entre 2020 y 2022 evidenció la emergencia de una tensión adicional en los procesos de formación organizacional, asociada a la denominada fatiga digital del aprendizaje (Soto-Acosta, 2020). Como consecuencia de la implementación forzada y acelerada de herramientas virtuales durante la pandemia, los empleados manifestaron una resistencia creciente hacia la incorporación de nuevas plataformas tecnológicas, las cuales fueron percibidas con frecuencia más como mecanismos de control y vigilancia que como recursos orientados al desarrollo profesional.</w:t>
      </w:r>
    </w:p>
    <w:p w14:paraId="13167EC0" w14:textId="0B44E6C3" w:rsidR="00B43649" w:rsidRPr="00905DB0" w:rsidRDefault="002C4193" w:rsidP="00243175">
      <w:pPr>
        <w:spacing w:after="0"/>
        <w:rPr>
          <w:rFonts w:cs="Times New Roman"/>
          <w:szCs w:val="24"/>
        </w:rPr>
      </w:pPr>
      <w:r w:rsidRPr="002C4193">
        <w:rPr>
          <w:rFonts w:cs="Times New Roman"/>
          <w:szCs w:val="24"/>
        </w:rPr>
        <w:t xml:space="preserve">En este escenario, la literatura señaló que la efectividad de un </w:t>
      </w:r>
      <w:proofErr w:type="spellStart"/>
      <w:r w:rsidRPr="002C4193">
        <w:rPr>
          <w:rFonts w:cs="Times New Roman"/>
          <w:szCs w:val="24"/>
        </w:rPr>
        <w:t>Learning</w:t>
      </w:r>
      <w:proofErr w:type="spellEnd"/>
      <w:r w:rsidRPr="002C4193">
        <w:rPr>
          <w:rFonts w:cs="Times New Roman"/>
          <w:szCs w:val="24"/>
        </w:rPr>
        <w:t xml:space="preserve"> Management </w:t>
      </w:r>
      <w:proofErr w:type="spellStart"/>
      <w:r w:rsidRPr="002C4193">
        <w:rPr>
          <w:rFonts w:cs="Times New Roman"/>
          <w:szCs w:val="24"/>
        </w:rPr>
        <w:t>System</w:t>
      </w:r>
      <w:proofErr w:type="spellEnd"/>
      <w:r w:rsidRPr="002C4193">
        <w:rPr>
          <w:rFonts w:cs="Times New Roman"/>
          <w:szCs w:val="24"/>
        </w:rPr>
        <w:t xml:space="preserve"> (LMS) dependió en gran medida de su capacidad de integrarse de forma orgánica al flujo cotidiano de trabajo</w:t>
      </w:r>
      <w:r w:rsidR="00202F95">
        <w:rPr>
          <w:rFonts w:cs="Times New Roman"/>
          <w:szCs w:val="24"/>
        </w:rPr>
        <w:t xml:space="preserve">, </w:t>
      </w:r>
      <w:r w:rsidRPr="002C4193">
        <w:rPr>
          <w:rFonts w:cs="Times New Roman"/>
          <w:szCs w:val="24"/>
        </w:rPr>
        <w:t>así como de la narrativa organizacional mediante la cual fue presentado a los usuarios. En particular, los sistemas que fueron legitimados como herramientas de apoyo al desempeño y al desarrollo de competencias mostraron mayores niveles de adopción y uso efectivo que aquellos concebidos</w:t>
      </w:r>
      <w:r w:rsidR="00743DA2">
        <w:rPr>
          <w:rFonts w:cs="Times New Roman"/>
          <w:szCs w:val="24"/>
        </w:rPr>
        <w:t xml:space="preserve"> </w:t>
      </w:r>
      <w:r w:rsidRPr="002C4193">
        <w:rPr>
          <w:rFonts w:cs="Times New Roman"/>
          <w:szCs w:val="24"/>
        </w:rPr>
        <w:t>o percibidos</w:t>
      </w:r>
      <w:r w:rsidR="00743DA2">
        <w:rPr>
          <w:rFonts w:cs="Times New Roman"/>
          <w:szCs w:val="24"/>
        </w:rPr>
        <w:t xml:space="preserve"> </w:t>
      </w:r>
      <w:r w:rsidRPr="002C4193">
        <w:rPr>
          <w:rFonts w:cs="Times New Roman"/>
          <w:szCs w:val="24"/>
        </w:rPr>
        <w:t xml:space="preserve">como dispositivos de supervisión o control administrativo </w:t>
      </w:r>
      <w:r w:rsidRPr="002C4193">
        <w:rPr>
          <w:rFonts w:cs="Times New Roman"/>
          <w:szCs w:val="24"/>
        </w:rPr>
        <w:lastRenderedPageBreak/>
        <w:t>(</w:t>
      </w:r>
      <w:proofErr w:type="spellStart"/>
      <w:r w:rsidRPr="002C4193">
        <w:rPr>
          <w:rFonts w:cs="Times New Roman"/>
          <w:szCs w:val="24"/>
        </w:rPr>
        <w:t>Cohn</w:t>
      </w:r>
      <w:proofErr w:type="spellEnd"/>
      <w:r w:rsidRPr="002C4193">
        <w:rPr>
          <w:rFonts w:cs="Times New Roman"/>
          <w:szCs w:val="24"/>
        </w:rPr>
        <w:t xml:space="preserve"> &amp; </w:t>
      </w:r>
      <w:proofErr w:type="spellStart"/>
      <w:r w:rsidRPr="002C4193">
        <w:rPr>
          <w:rFonts w:cs="Times New Roman"/>
          <w:szCs w:val="24"/>
        </w:rPr>
        <w:t>Hibbert</w:t>
      </w:r>
      <w:proofErr w:type="spellEnd"/>
      <w:r w:rsidRPr="002C4193">
        <w:rPr>
          <w:rFonts w:cs="Times New Roman"/>
          <w:szCs w:val="24"/>
        </w:rPr>
        <w:t xml:space="preserve">, 2021). Esta tensión simbólica y práctica entre desarrollo y control constituyó un elemento clave para comprender las resistencias observadas en los procesos de automatización formativa en contextos </w:t>
      </w:r>
      <w:proofErr w:type="spellStart"/>
      <w:r w:rsidRPr="002C4193">
        <w:rPr>
          <w:rFonts w:cs="Times New Roman"/>
          <w:szCs w:val="24"/>
        </w:rPr>
        <w:t>pos</w:t>
      </w:r>
      <w:r w:rsidR="00202F95">
        <w:rPr>
          <w:rFonts w:cs="Times New Roman"/>
          <w:szCs w:val="24"/>
        </w:rPr>
        <w:t>t-</w:t>
      </w:r>
      <w:r w:rsidRPr="002C4193">
        <w:rPr>
          <w:rFonts w:cs="Times New Roman"/>
          <w:szCs w:val="24"/>
        </w:rPr>
        <w:t>pandemia</w:t>
      </w:r>
      <w:proofErr w:type="spellEnd"/>
      <w:r w:rsidRPr="002C4193">
        <w:rPr>
          <w:rFonts w:cs="Times New Roman"/>
          <w:szCs w:val="24"/>
        </w:rPr>
        <w:t>.</w:t>
      </w:r>
    </w:p>
    <w:p w14:paraId="61093D5A" w14:textId="77777777" w:rsidR="00B43649" w:rsidRDefault="00B43649" w:rsidP="00243175">
      <w:pPr>
        <w:pStyle w:val="Ttulo3"/>
      </w:pPr>
      <w:r w:rsidRPr="00905DB0">
        <w:t xml:space="preserve">2.4. </w:t>
      </w:r>
      <w:r w:rsidRPr="00BB28CF">
        <w:t>Marco</w:t>
      </w:r>
      <w:r w:rsidRPr="00905DB0">
        <w:t xml:space="preserve"> Analítico de la Investigación: El Modelo de Transferencia Dinámica Contextualizada (DTM-CF)</w:t>
      </w:r>
    </w:p>
    <w:p w14:paraId="02B050A7" w14:textId="6D557FEF" w:rsidR="002C4193" w:rsidRPr="002C4193" w:rsidRDefault="002C4193" w:rsidP="00243175">
      <w:pPr>
        <w:spacing w:after="0"/>
        <w:rPr>
          <w:rFonts w:cs="Times New Roman"/>
          <w:szCs w:val="24"/>
        </w:rPr>
      </w:pPr>
      <w:r w:rsidRPr="002C4193">
        <w:rPr>
          <w:rFonts w:cs="Times New Roman"/>
          <w:szCs w:val="24"/>
        </w:rPr>
        <w:t xml:space="preserve">Antes de presentar el marco analítico construido para el presente estudio, fue necesario precisar que el término Dynamic Transfer </w:t>
      </w:r>
      <w:proofErr w:type="spellStart"/>
      <w:r w:rsidRPr="002C4193">
        <w:rPr>
          <w:rFonts w:cs="Times New Roman"/>
          <w:szCs w:val="24"/>
        </w:rPr>
        <w:t>Model</w:t>
      </w:r>
      <w:proofErr w:type="spellEnd"/>
      <w:r w:rsidRPr="002C4193">
        <w:rPr>
          <w:rFonts w:cs="Times New Roman"/>
          <w:szCs w:val="24"/>
        </w:rPr>
        <w:t xml:space="preserve"> (DTM) había sido utilizado previamente en la literatura sobre transferencia del aprendizaje organizacional. En particular, Blume et al. (2010) desarrollaron un modelo dinámico de transferencia que incorporó la dimensión temporal y los ciclos de retroalimentación como variables activas del proceso, publicado en el </w:t>
      </w:r>
      <w:proofErr w:type="spellStart"/>
      <w:r w:rsidRPr="002C4193">
        <w:rPr>
          <w:rFonts w:cs="Times New Roman"/>
          <w:szCs w:val="24"/>
        </w:rPr>
        <w:t>Journal</w:t>
      </w:r>
      <w:proofErr w:type="spellEnd"/>
      <w:r w:rsidRPr="002C4193">
        <w:rPr>
          <w:rFonts w:cs="Times New Roman"/>
          <w:szCs w:val="24"/>
        </w:rPr>
        <w:t xml:space="preserve"> </w:t>
      </w:r>
      <w:proofErr w:type="spellStart"/>
      <w:r w:rsidRPr="002C4193">
        <w:rPr>
          <w:rFonts w:cs="Times New Roman"/>
          <w:szCs w:val="24"/>
        </w:rPr>
        <w:t>of</w:t>
      </w:r>
      <w:proofErr w:type="spellEnd"/>
      <w:r w:rsidRPr="002C4193">
        <w:rPr>
          <w:rFonts w:cs="Times New Roman"/>
          <w:szCs w:val="24"/>
        </w:rPr>
        <w:t xml:space="preserve"> </w:t>
      </w:r>
      <w:proofErr w:type="spellStart"/>
      <w:r w:rsidRPr="002C4193">
        <w:rPr>
          <w:rFonts w:cs="Times New Roman"/>
          <w:szCs w:val="24"/>
        </w:rPr>
        <w:t>Vocational</w:t>
      </w:r>
      <w:proofErr w:type="spellEnd"/>
      <w:r w:rsidRPr="002C4193">
        <w:rPr>
          <w:rFonts w:cs="Times New Roman"/>
          <w:szCs w:val="24"/>
        </w:rPr>
        <w:t xml:space="preserve"> </w:t>
      </w:r>
      <w:proofErr w:type="spellStart"/>
      <w:r w:rsidRPr="002C4193">
        <w:rPr>
          <w:rFonts w:cs="Times New Roman"/>
          <w:szCs w:val="24"/>
        </w:rPr>
        <w:t>Behavior</w:t>
      </w:r>
      <w:proofErr w:type="spellEnd"/>
      <w:r w:rsidRPr="002C4193">
        <w:rPr>
          <w:rFonts w:cs="Times New Roman"/>
          <w:szCs w:val="24"/>
        </w:rPr>
        <w:t xml:space="preserve">. El marco analítico denominado Modelo de Transferencia Dinámica Contextualizada para Car </w:t>
      </w:r>
      <w:proofErr w:type="spellStart"/>
      <w:r w:rsidRPr="002C4193">
        <w:rPr>
          <w:rFonts w:cs="Times New Roman"/>
          <w:szCs w:val="24"/>
        </w:rPr>
        <w:t>Freight</w:t>
      </w:r>
      <w:proofErr w:type="spellEnd"/>
      <w:r w:rsidRPr="002C4193">
        <w:rPr>
          <w:rFonts w:cs="Times New Roman"/>
          <w:szCs w:val="24"/>
        </w:rPr>
        <w:t xml:space="preserve"> (DTM‑CF) no pretendió reemplazar ni competir con dicho antecedente; por el contrario, lo utilizó como uno de sus insumos conceptuales constitutivos, junto con el modelo de Baldwin y Ford (1988) y la perspectiva </w:t>
      </w:r>
      <w:proofErr w:type="spellStart"/>
      <w:r w:rsidRPr="002C4193">
        <w:rPr>
          <w:rFonts w:cs="Times New Roman"/>
          <w:szCs w:val="24"/>
        </w:rPr>
        <w:t>sociomaterial</w:t>
      </w:r>
      <w:proofErr w:type="spellEnd"/>
      <w:r w:rsidRPr="002C4193">
        <w:rPr>
          <w:rFonts w:cs="Times New Roman"/>
          <w:szCs w:val="24"/>
        </w:rPr>
        <w:t xml:space="preserve"> de </w:t>
      </w:r>
      <w:proofErr w:type="spellStart"/>
      <w:r w:rsidRPr="002C4193">
        <w:rPr>
          <w:rFonts w:cs="Times New Roman"/>
          <w:szCs w:val="24"/>
        </w:rPr>
        <w:t>Orlikowski</w:t>
      </w:r>
      <w:proofErr w:type="spellEnd"/>
      <w:r w:rsidRPr="002C4193">
        <w:rPr>
          <w:rFonts w:cs="Times New Roman"/>
          <w:szCs w:val="24"/>
        </w:rPr>
        <w:t xml:space="preserve"> (2007), para construir un esquema específicamente adaptado a las condiciones de un operador logístico transnacional con operaciones distribuidas en múltiples zonas horarias y regulatorias.</w:t>
      </w:r>
    </w:p>
    <w:p w14:paraId="4112C188" w14:textId="5EC70CDB" w:rsidR="002C4193" w:rsidRPr="002C4193" w:rsidRDefault="002C4193" w:rsidP="00243175">
      <w:pPr>
        <w:spacing w:after="0"/>
        <w:rPr>
          <w:rFonts w:cs="Times New Roman"/>
          <w:szCs w:val="24"/>
        </w:rPr>
      </w:pPr>
      <w:r w:rsidRPr="002C4193">
        <w:rPr>
          <w:rFonts w:cs="Times New Roman"/>
          <w:szCs w:val="24"/>
        </w:rPr>
        <w:t xml:space="preserve">La diferencia sustantiva entre el DTM propuesto por Blume et al. (2010) y el DTM‑CF radicó en la incorporación de tres dimensiones adicionales no contempladas por el primero. En primer lugar, el DTM‑CF integró la noción de fricción </w:t>
      </w:r>
      <w:proofErr w:type="spellStart"/>
      <w:r w:rsidRPr="002C4193">
        <w:rPr>
          <w:rFonts w:cs="Times New Roman"/>
          <w:szCs w:val="24"/>
        </w:rPr>
        <w:t>sociomaterial</w:t>
      </w:r>
      <w:proofErr w:type="spellEnd"/>
      <w:r w:rsidRPr="002C4193">
        <w:rPr>
          <w:rFonts w:cs="Times New Roman"/>
          <w:szCs w:val="24"/>
        </w:rPr>
        <w:t xml:space="preserve"> derivada de la interfaz del LMS, entendida como configuradora activa de las posibilidades de aprendizaje. En segundo lugar, incorporó el concepto de decaimiento de la intención de transferencia como un fenómeno específico asociado a la asincronía tecnológica. En tercer lugar, incluyó la volatilidad normativa </w:t>
      </w:r>
      <w:proofErr w:type="spellStart"/>
      <w:r w:rsidRPr="002C4193">
        <w:rPr>
          <w:rFonts w:cs="Times New Roman"/>
          <w:szCs w:val="24"/>
        </w:rPr>
        <w:t>multijurisdiccional</w:t>
      </w:r>
      <w:proofErr w:type="spellEnd"/>
      <w:r w:rsidRPr="002C4193">
        <w:rPr>
          <w:rFonts w:cs="Times New Roman"/>
          <w:szCs w:val="24"/>
        </w:rPr>
        <w:t xml:space="preserve"> como una variable activa dentro del ciclo de transferencia del aprendizaje. En consecuencia, el DTM‑CF fue delimitado explícitamente como un esquema contextual, sin pretensión de formalización teórica universal.</w:t>
      </w:r>
    </w:p>
    <w:p w14:paraId="079744FD" w14:textId="1EC56928" w:rsidR="002C4193" w:rsidRPr="002C4193" w:rsidRDefault="002C4193" w:rsidP="00243175">
      <w:pPr>
        <w:spacing w:after="0"/>
        <w:rPr>
          <w:rFonts w:cs="Times New Roman"/>
          <w:szCs w:val="24"/>
        </w:rPr>
      </w:pPr>
      <w:r w:rsidRPr="002C4193">
        <w:rPr>
          <w:rFonts w:cs="Times New Roman"/>
          <w:szCs w:val="24"/>
        </w:rPr>
        <w:t xml:space="preserve">La construcción del </w:t>
      </w:r>
      <w:r w:rsidRPr="00BE7757">
        <w:rPr>
          <w:rFonts w:cs="Times New Roman"/>
          <w:szCs w:val="24"/>
        </w:rPr>
        <w:t>DTM‑CF</w:t>
      </w:r>
      <w:r w:rsidRPr="002C4193">
        <w:rPr>
          <w:rFonts w:cs="Times New Roman"/>
          <w:szCs w:val="24"/>
        </w:rPr>
        <w:t xml:space="preserve"> con anterioridad al trabajo de campo no constituyó un problema de coherencia metodológica, sino una decisión de diseño que requirió ser explicitada. En el marco de la investigación cualitativa de orientación deductivo‑interpretativa, el marco conceptual previo cumplió la función de lente analítico orientador: estructuró la sensibilidad del investigador hacia determinados fenómenos sin predeterminar los hallazgos empíricos </w:t>
      </w:r>
      <w:r w:rsidRPr="008A69FA">
        <w:rPr>
          <w:rFonts w:cs="Times New Roman"/>
          <w:szCs w:val="24"/>
        </w:rPr>
        <w:t>(</w:t>
      </w:r>
      <w:proofErr w:type="spellStart"/>
      <w:r w:rsidRPr="008A69FA">
        <w:rPr>
          <w:rFonts w:cs="Times New Roman"/>
          <w:szCs w:val="24"/>
        </w:rPr>
        <w:t>Fereday</w:t>
      </w:r>
      <w:proofErr w:type="spellEnd"/>
      <w:r w:rsidRPr="008A69FA">
        <w:rPr>
          <w:rFonts w:cs="Times New Roman"/>
          <w:szCs w:val="24"/>
        </w:rPr>
        <w:t xml:space="preserve"> &amp; Muir‑Cochrane, 2006).</w:t>
      </w:r>
      <w:r w:rsidRPr="002C4193">
        <w:rPr>
          <w:rFonts w:cs="Times New Roman"/>
          <w:szCs w:val="24"/>
        </w:rPr>
        <w:t xml:space="preserve"> Este uso del DTM‑CF resultó metodológicamente distinto tanto de la </w:t>
      </w:r>
      <w:r w:rsidRPr="002C4193">
        <w:rPr>
          <w:rFonts w:cs="Times New Roman"/>
          <w:szCs w:val="24"/>
        </w:rPr>
        <w:lastRenderedPageBreak/>
        <w:t>aplicación deductiva confirmatoria</w:t>
      </w:r>
      <w:r w:rsidR="00743DA2">
        <w:rPr>
          <w:rFonts w:cs="Times New Roman"/>
          <w:szCs w:val="24"/>
        </w:rPr>
        <w:t xml:space="preserve"> </w:t>
      </w:r>
      <w:r w:rsidRPr="002C4193">
        <w:rPr>
          <w:rFonts w:cs="Times New Roman"/>
          <w:szCs w:val="24"/>
        </w:rPr>
        <w:t>en la que los datos se utilizan para verificar o falsear proposiciones teóricas</w:t>
      </w:r>
      <w:r w:rsidR="00743DA2">
        <w:rPr>
          <w:rFonts w:cs="Times New Roman"/>
          <w:szCs w:val="24"/>
        </w:rPr>
        <w:t xml:space="preserve"> </w:t>
      </w:r>
      <w:r w:rsidRPr="002C4193">
        <w:rPr>
          <w:rFonts w:cs="Times New Roman"/>
          <w:szCs w:val="24"/>
        </w:rPr>
        <w:t xml:space="preserve">como del análisis inductivo puro, en el que las categorías emergen exclusivamente de los datos sin marco previo. Su función fue intermedia: orientar la atención analítica hacia las dimensiones de temporalidad, fricción </w:t>
      </w:r>
      <w:proofErr w:type="spellStart"/>
      <w:r w:rsidRPr="002C4193">
        <w:rPr>
          <w:rFonts w:cs="Times New Roman"/>
          <w:szCs w:val="24"/>
        </w:rPr>
        <w:t>sociomaterial</w:t>
      </w:r>
      <w:proofErr w:type="spellEnd"/>
      <w:r w:rsidRPr="002C4193">
        <w:rPr>
          <w:rFonts w:cs="Times New Roman"/>
          <w:szCs w:val="24"/>
        </w:rPr>
        <w:t xml:space="preserve"> y decaimiento de la transferencia, manteniéndose abierto a la emergencia de categorías no anticipadas. El hallazgo del </w:t>
      </w:r>
      <w:r w:rsidR="00956690" w:rsidRPr="00956690">
        <w:rPr>
          <w:rFonts w:cs="Times New Roman"/>
          <w:szCs w:val="24"/>
        </w:rPr>
        <w:t>desfase en el andamiaje</w:t>
      </w:r>
      <w:r w:rsidRPr="002C4193">
        <w:rPr>
          <w:rFonts w:cs="Times New Roman"/>
          <w:szCs w:val="24"/>
        </w:rPr>
        <w:t>, por ejemplo, emergió de manera inductiva a partir de los relatos de los participantes y no formó parte del DTM‑CF inicial</w:t>
      </w:r>
      <w:r w:rsidR="00956690">
        <w:rPr>
          <w:rFonts w:cs="Times New Roman"/>
          <w:szCs w:val="24"/>
        </w:rPr>
        <w:t>.</w:t>
      </w:r>
    </w:p>
    <w:p w14:paraId="513E4DCA" w14:textId="50C28475" w:rsidR="002C4193" w:rsidRPr="002C4193" w:rsidRDefault="002C4193" w:rsidP="00243175">
      <w:pPr>
        <w:spacing w:after="0"/>
        <w:rPr>
          <w:rFonts w:cs="Times New Roman"/>
          <w:szCs w:val="24"/>
        </w:rPr>
      </w:pPr>
      <w:r w:rsidRPr="002C4193">
        <w:rPr>
          <w:rFonts w:cs="Times New Roman"/>
          <w:szCs w:val="24"/>
        </w:rPr>
        <w:t xml:space="preserve">El concepto de </w:t>
      </w:r>
      <w:r w:rsidR="00956690" w:rsidRPr="00956690">
        <w:rPr>
          <w:rFonts w:cs="Times New Roman"/>
          <w:szCs w:val="24"/>
        </w:rPr>
        <w:t>desfase en el andamiaje</w:t>
      </w:r>
      <w:r w:rsidRPr="002C4193">
        <w:rPr>
          <w:rFonts w:cs="Times New Roman"/>
          <w:szCs w:val="24"/>
        </w:rPr>
        <w:t xml:space="preserve">, utilizado en este estudio para describir el soporte experto requerido durante los primeros intentos de aplicación del aprendizaje, tuvo sus raíces en la tradición </w:t>
      </w:r>
      <w:proofErr w:type="spellStart"/>
      <w:r w:rsidRPr="002C4193">
        <w:rPr>
          <w:rFonts w:cs="Times New Roman"/>
          <w:szCs w:val="24"/>
        </w:rPr>
        <w:t>socioconstructivista</w:t>
      </w:r>
      <w:proofErr w:type="spellEnd"/>
      <w:r w:rsidRPr="002C4193">
        <w:rPr>
          <w:rFonts w:cs="Times New Roman"/>
          <w:szCs w:val="24"/>
        </w:rPr>
        <w:t xml:space="preserve"> inaugurada por </w:t>
      </w:r>
      <w:r w:rsidRPr="008A69FA">
        <w:rPr>
          <w:rFonts w:cs="Times New Roman"/>
          <w:szCs w:val="24"/>
        </w:rPr>
        <w:t>Lev Vygotsky</w:t>
      </w:r>
      <w:r w:rsidRPr="002C4193">
        <w:rPr>
          <w:rFonts w:cs="Times New Roman"/>
          <w:szCs w:val="24"/>
        </w:rPr>
        <w:t xml:space="preserve"> (1978). Vygotsky planteó que el aprendizaje ocurrió predominantemente en la </w:t>
      </w:r>
      <w:bookmarkStart w:id="20" w:name="_Hlk229491291"/>
      <w:r w:rsidRPr="002C4193">
        <w:rPr>
          <w:rFonts w:cs="Times New Roman"/>
          <w:szCs w:val="24"/>
        </w:rPr>
        <w:t>Zona de Desarrollo Próximo</w:t>
      </w:r>
      <w:bookmarkEnd w:id="20"/>
      <w:r w:rsidRPr="002C4193">
        <w:rPr>
          <w:rFonts w:cs="Times New Roman"/>
          <w:szCs w:val="24"/>
        </w:rPr>
        <w:t xml:space="preserve"> (ZDP), entendida como el espacio entre lo que el aprendiz podía realizar de manera autónoma y lo que podía lograr con la orientación de un par más competente o de un experto. Posteriormente, </w:t>
      </w:r>
      <w:r w:rsidRPr="002A5190">
        <w:rPr>
          <w:rFonts w:cs="Times New Roman"/>
          <w:szCs w:val="24"/>
        </w:rPr>
        <w:t>Wood, Bruner y Ross (1976)</w:t>
      </w:r>
      <w:r w:rsidRPr="002C4193">
        <w:rPr>
          <w:rFonts w:cs="Times New Roman"/>
          <w:szCs w:val="24"/>
        </w:rPr>
        <w:t xml:space="preserve"> formalizaron el concepto de </w:t>
      </w:r>
      <w:proofErr w:type="spellStart"/>
      <w:r w:rsidRPr="002C4193">
        <w:rPr>
          <w:rFonts w:cs="Times New Roman"/>
          <w:szCs w:val="24"/>
        </w:rPr>
        <w:t>scaffolding</w:t>
      </w:r>
      <w:proofErr w:type="spellEnd"/>
      <w:r w:rsidRPr="002C4193">
        <w:rPr>
          <w:rFonts w:cs="Times New Roman"/>
          <w:szCs w:val="24"/>
        </w:rPr>
        <w:t xml:space="preserve"> </w:t>
      </w:r>
      <w:r w:rsidR="00956690">
        <w:rPr>
          <w:rFonts w:cs="Times New Roman"/>
          <w:szCs w:val="24"/>
        </w:rPr>
        <w:t>(</w:t>
      </w:r>
      <w:r w:rsidR="00956690" w:rsidRPr="00956690">
        <w:rPr>
          <w:rFonts w:cs="Times New Roman"/>
          <w:szCs w:val="24"/>
        </w:rPr>
        <w:t>desfase en el andamiaje</w:t>
      </w:r>
      <w:r w:rsidR="00956690">
        <w:rPr>
          <w:rFonts w:cs="Times New Roman"/>
          <w:szCs w:val="24"/>
        </w:rPr>
        <w:t>)</w:t>
      </w:r>
      <w:r w:rsidR="00956690" w:rsidRPr="00956690">
        <w:rPr>
          <w:rFonts w:cs="Times New Roman"/>
          <w:szCs w:val="24"/>
        </w:rPr>
        <w:t xml:space="preserve"> </w:t>
      </w:r>
      <w:r w:rsidRPr="002C4193">
        <w:rPr>
          <w:rFonts w:cs="Times New Roman"/>
          <w:szCs w:val="24"/>
        </w:rPr>
        <w:t>como la operacionalización pedagógica de la ZDP</w:t>
      </w:r>
      <w:r w:rsidR="00956690">
        <w:rPr>
          <w:rFonts w:cs="Times New Roman"/>
          <w:szCs w:val="24"/>
        </w:rPr>
        <w:t xml:space="preserve"> (</w:t>
      </w:r>
      <w:r w:rsidR="00956690" w:rsidRPr="00956690">
        <w:rPr>
          <w:rFonts w:cs="Times New Roman"/>
          <w:szCs w:val="24"/>
        </w:rPr>
        <w:t>Zona de Desarrollo Próximo</w:t>
      </w:r>
      <w:r w:rsidR="00956690">
        <w:rPr>
          <w:rFonts w:cs="Times New Roman"/>
          <w:szCs w:val="24"/>
        </w:rPr>
        <w:t>)</w:t>
      </w:r>
      <w:r w:rsidRPr="002C4193">
        <w:rPr>
          <w:rFonts w:cs="Times New Roman"/>
          <w:szCs w:val="24"/>
        </w:rPr>
        <w:t>, describiéndolo como un conjunto de estructuras de apoyo temporales y ajustadas al nivel del aprendiz, las cuales se retiraron progresivamente a medida que este adquirió mayor autonomía.</w:t>
      </w:r>
    </w:p>
    <w:p w14:paraId="5E3B1AD8" w14:textId="6F0F558D" w:rsidR="002C4193" w:rsidRPr="002C4193" w:rsidRDefault="002C4193" w:rsidP="00243175">
      <w:pPr>
        <w:spacing w:after="0"/>
        <w:rPr>
          <w:rFonts w:cs="Times New Roman"/>
          <w:szCs w:val="24"/>
        </w:rPr>
      </w:pPr>
      <w:r w:rsidRPr="002C4193">
        <w:rPr>
          <w:rFonts w:cs="Times New Roman"/>
          <w:szCs w:val="24"/>
        </w:rPr>
        <w:t xml:space="preserve">En el contexto digital de Car </w:t>
      </w:r>
      <w:proofErr w:type="spellStart"/>
      <w:r w:rsidRPr="002C4193">
        <w:rPr>
          <w:rFonts w:cs="Times New Roman"/>
          <w:szCs w:val="24"/>
        </w:rPr>
        <w:t>Freight</w:t>
      </w:r>
      <w:proofErr w:type="spellEnd"/>
      <w:r w:rsidRPr="002C4193">
        <w:rPr>
          <w:rFonts w:cs="Times New Roman"/>
          <w:szCs w:val="24"/>
        </w:rPr>
        <w:t xml:space="preserve"> </w:t>
      </w:r>
      <w:proofErr w:type="spellStart"/>
      <w:r w:rsidRPr="002C4193">
        <w:rPr>
          <w:rFonts w:cs="Times New Roman"/>
          <w:szCs w:val="24"/>
        </w:rPr>
        <w:t>Shipping</w:t>
      </w:r>
      <w:proofErr w:type="spellEnd"/>
      <w:r w:rsidRPr="002C4193">
        <w:rPr>
          <w:rFonts w:cs="Times New Roman"/>
          <w:szCs w:val="24"/>
        </w:rPr>
        <w:t xml:space="preserve"> Company, la condición estructural que el presente estudio denominó </w:t>
      </w:r>
      <w:proofErr w:type="spellStart"/>
      <w:r w:rsidRPr="002C4193">
        <w:rPr>
          <w:rFonts w:cs="Times New Roman"/>
          <w:szCs w:val="24"/>
        </w:rPr>
        <w:t>scaffolding</w:t>
      </w:r>
      <w:proofErr w:type="spellEnd"/>
      <w:r w:rsidRPr="002C4193">
        <w:rPr>
          <w:rFonts w:cs="Times New Roman"/>
          <w:szCs w:val="24"/>
        </w:rPr>
        <w:t xml:space="preserve"> </w:t>
      </w:r>
      <w:proofErr w:type="spellStart"/>
      <w:r w:rsidRPr="002C4193">
        <w:rPr>
          <w:rFonts w:cs="Times New Roman"/>
          <w:szCs w:val="24"/>
        </w:rPr>
        <w:t>lag</w:t>
      </w:r>
      <w:proofErr w:type="spellEnd"/>
      <w:r w:rsidR="00743DA2">
        <w:rPr>
          <w:rFonts w:cs="Times New Roman"/>
          <w:szCs w:val="24"/>
        </w:rPr>
        <w:t xml:space="preserve"> </w:t>
      </w:r>
      <w:r w:rsidRPr="002C4193">
        <w:rPr>
          <w:rFonts w:cs="Times New Roman"/>
          <w:szCs w:val="24"/>
        </w:rPr>
        <w:t>la brecha temporal entre el momento en que el aprendiz experimentó una duda y aquel en que recibió orientación experta</w:t>
      </w:r>
      <w:r w:rsidR="00743DA2">
        <w:rPr>
          <w:rFonts w:cs="Times New Roman"/>
          <w:szCs w:val="24"/>
        </w:rPr>
        <w:t xml:space="preserve"> </w:t>
      </w:r>
      <w:r w:rsidRPr="002C4193">
        <w:rPr>
          <w:rFonts w:cs="Times New Roman"/>
          <w:szCs w:val="24"/>
        </w:rPr>
        <w:t>pudo interpretarse teóricamente como una ruptura del ciclo de la ZDP</w:t>
      </w:r>
      <w:r w:rsidR="00956690">
        <w:rPr>
          <w:rFonts w:cs="Times New Roman"/>
          <w:szCs w:val="24"/>
        </w:rPr>
        <w:t xml:space="preserve"> (</w:t>
      </w:r>
      <w:r w:rsidR="00956690" w:rsidRPr="00956690">
        <w:rPr>
          <w:rFonts w:cs="Times New Roman"/>
          <w:szCs w:val="24"/>
        </w:rPr>
        <w:t>Zona de Desarrollo Próximo</w:t>
      </w:r>
      <w:r w:rsidR="00956690">
        <w:rPr>
          <w:rFonts w:cs="Times New Roman"/>
          <w:szCs w:val="24"/>
        </w:rPr>
        <w:t>)</w:t>
      </w:r>
      <w:r w:rsidRPr="002C4193">
        <w:rPr>
          <w:rFonts w:cs="Times New Roman"/>
          <w:szCs w:val="24"/>
        </w:rPr>
        <w:t xml:space="preserve">. Dicha ruptura reflejó la imposibilidad de la </w:t>
      </w:r>
      <w:proofErr w:type="spellStart"/>
      <w:r w:rsidRPr="002C4193">
        <w:rPr>
          <w:rFonts w:cs="Times New Roman"/>
          <w:szCs w:val="24"/>
        </w:rPr>
        <w:t>co‑construcción</w:t>
      </w:r>
      <w:proofErr w:type="spellEnd"/>
      <w:r w:rsidRPr="002C4193">
        <w:rPr>
          <w:rFonts w:cs="Times New Roman"/>
          <w:szCs w:val="24"/>
        </w:rPr>
        <w:t xml:space="preserve"> sincrónica del conocimiento que Vygotsky identificó como condición central del aprendizaje mediado. Esta limitación no fue comprendida como un problema meramente tecnológico, sino como un problema de orden epistemológico: la automatización formativa no pudo replicar la función del experto humano en la ZDP a menos que el sistema fuese diseñado explícitamente para ofrecer retroalimentación contextualizada, adaptativa y oportuna. Precisamente estas características fueron incorporadas en el DTM‑CF mediante la combinación de mentoría escalonada y sistemas de soporte al desempeño (Performance </w:t>
      </w:r>
      <w:proofErr w:type="spellStart"/>
      <w:r w:rsidRPr="002C4193">
        <w:rPr>
          <w:rFonts w:cs="Times New Roman"/>
          <w:szCs w:val="24"/>
        </w:rPr>
        <w:t>Support</w:t>
      </w:r>
      <w:proofErr w:type="spellEnd"/>
      <w:r w:rsidRPr="002C4193">
        <w:rPr>
          <w:rFonts w:cs="Times New Roman"/>
          <w:szCs w:val="24"/>
        </w:rPr>
        <w:t xml:space="preserve"> </w:t>
      </w:r>
      <w:proofErr w:type="spellStart"/>
      <w:r w:rsidRPr="002C4193">
        <w:rPr>
          <w:rFonts w:cs="Times New Roman"/>
          <w:szCs w:val="24"/>
        </w:rPr>
        <w:t>Systems</w:t>
      </w:r>
      <w:proofErr w:type="spellEnd"/>
      <w:r w:rsidRPr="002C4193">
        <w:rPr>
          <w:rFonts w:cs="Times New Roman"/>
          <w:szCs w:val="24"/>
        </w:rPr>
        <w:t>) integrados al flujo de trabajo.</w:t>
      </w:r>
    </w:p>
    <w:p w14:paraId="1C81AFDB" w14:textId="689CDD15" w:rsidR="002C4193" w:rsidRPr="002C4193" w:rsidRDefault="002C4193" w:rsidP="00243175">
      <w:pPr>
        <w:spacing w:after="0"/>
        <w:rPr>
          <w:rFonts w:cs="Times New Roman"/>
          <w:szCs w:val="24"/>
        </w:rPr>
      </w:pPr>
      <w:r w:rsidRPr="002C4193">
        <w:rPr>
          <w:rFonts w:cs="Times New Roman"/>
          <w:szCs w:val="24"/>
        </w:rPr>
        <w:t xml:space="preserve">Dado que los modelos clásicos de transferencia fueron elaborados para contextos presenciales y sincrónicos, el presente estudio requirió un marco analítico de carácter adaptativo. </w:t>
      </w:r>
      <w:r w:rsidRPr="002C4193">
        <w:rPr>
          <w:rFonts w:cs="Times New Roman"/>
          <w:szCs w:val="24"/>
        </w:rPr>
        <w:lastRenderedPageBreak/>
        <w:t xml:space="preserve">En este sentido, se construyó el Modelo de Transferencia Dinámica Contextualizada para Car </w:t>
      </w:r>
      <w:proofErr w:type="spellStart"/>
      <w:r w:rsidRPr="002C4193">
        <w:rPr>
          <w:rFonts w:cs="Times New Roman"/>
          <w:szCs w:val="24"/>
        </w:rPr>
        <w:t>Freight</w:t>
      </w:r>
      <w:proofErr w:type="spellEnd"/>
      <w:r w:rsidRPr="002C4193">
        <w:rPr>
          <w:rFonts w:cs="Times New Roman"/>
          <w:szCs w:val="24"/>
        </w:rPr>
        <w:t xml:space="preserve"> (DTM‑CF), operacionalizado como un esquema heurístico</w:t>
      </w:r>
      <w:r w:rsidR="00743DA2">
        <w:rPr>
          <w:rFonts w:cs="Times New Roman"/>
          <w:szCs w:val="24"/>
        </w:rPr>
        <w:t xml:space="preserve"> </w:t>
      </w:r>
      <w:r w:rsidRPr="002C4193">
        <w:rPr>
          <w:rFonts w:cs="Times New Roman"/>
          <w:szCs w:val="24"/>
        </w:rPr>
        <w:t>y no como una teoría formal deductiva</w:t>
      </w:r>
      <w:r w:rsidR="00743DA2">
        <w:rPr>
          <w:rFonts w:cs="Times New Roman"/>
          <w:szCs w:val="24"/>
        </w:rPr>
        <w:t xml:space="preserve"> </w:t>
      </w:r>
      <w:r w:rsidRPr="002C4193">
        <w:rPr>
          <w:rFonts w:cs="Times New Roman"/>
          <w:szCs w:val="24"/>
        </w:rPr>
        <w:t xml:space="preserve">que sintetizó: (a) la estructura tridimensional de Baldwin y Ford (1988); (b) la perspectiva cíclica del mantenimiento de la transferencia propuesta por Blume et al. (2010); y (c) la crítica </w:t>
      </w:r>
      <w:proofErr w:type="spellStart"/>
      <w:r w:rsidRPr="002C4193">
        <w:rPr>
          <w:rFonts w:cs="Times New Roman"/>
          <w:szCs w:val="24"/>
        </w:rPr>
        <w:t>sociomaterial</w:t>
      </w:r>
      <w:proofErr w:type="spellEnd"/>
      <w:r w:rsidRPr="002C4193">
        <w:rPr>
          <w:rFonts w:cs="Times New Roman"/>
          <w:szCs w:val="24"/>
        </w:rPr>
        <w:t xml:space="preserve"> a la automatización desarrollada por </w:t>
      </w:r>
      <w:proofErr w:type="spellStart"/>
      <w:r w:rsidRPr="002C4193">
        <w:rPr>
          <w:rFonts w:cs="Times New Roman"/>
          <w:szCs w:val="24"/>
        </w:rPr>
        <w:t>Orlikowski</w:t>
      </w:r>
      <w:proofErr w:type="spellEnd"/>
      <w:r w:rsidRPr="002C4193">
        <w:rPr>
          <w:rFonts w:cs="Times New Roman"/>
          <w:szCs w:val="24"/>
        </w:rPr>
        <w:t xml:space="preserve"> (2007) y </w:t>
      </w:r>
      <w:proofErr w:type="spellStart"/>
      <w:r w:rsidRPr="002C4193">
        <w:rPr>
          <w:rFonts w:cs="Times New Roman"/>
          <w:szCs w:val="24"/>
        </w:rPr>
        <w:t>Jarrahi</w:t>
      </w:r>
      <w:proofErr w:type="spellEnd"/>
      <w:r w:rsidRPr="002C4193">
        <w:rPr>
          <w:rFonts w:cs="Times New Roman"/>
          <w:szCs w:val="24"/>
        </w:rPr>
        <w:t xml:space="preserve"> (2018).</w:t>
      </w:r>
    </w:p>
    <w:p w14:paraId="364420CD" w14:textId="1B040997" w:rsidR="002C4193" w:rsidRPr="002C4193" w:rsidRDefault="002C4193" w:rsidP="00243175">
      <w:pPr>
        <w:spacing w:after="0"/>
        <w:rPr>
          <w:rFonts w:cs="Times New Roman"/>
          <w:szCs w:val="24"/>
        </w:rPr>
      </w:pPr>
      <w:r w:rsidRPr="002C4193">
        <w:rPr>
          <w:rFonts w:cs="Times New Roman"/>
          <w:szCs w:val="24"/>
        </w:rPr>
        <w:t>El DTM‑CF se distinguió del modelo original en tres aspectos centrales. En primer lugar, incorporó la dimensión temporal como variable activa, reconociendo ciclos de retroalimentación dilatados</w:t>
      </w:r>
      <w:r w:rsidR="00743DA2">
        <w:rPr>
          <w:rFonts w:cs="Times New Roman"/>
          <w:szCs w:val="24"/>
        </w:rPr>
        <w:t xml:space="preserve"> </w:t>
      </w:r>
      <w:r w:rsidRPr="002C4193">
        <w:rPr>
          <w:rFonts w:cs="Times New Roman"/>
          <w:szCs w:val="24"/>
        </w:rPr>
        <w:t>entre 24 y 48 horas</w:t>
      </w:r>
      <w:r w:rsidR="00743DA2">
        <w:rPr>
          <w:rFonts w:cs="Times New Roman"/>
          <w:szCs w:val="24"/>
        </w:rPr>
        <w:t xml:space="preserve"> </w:t>
      </w:r>
      <w:r w:rsidRPr="002C4193">
        <w:rPr>
          <w:rFonts w:cs="Times New Roman"/>
          <w:szCs w:val="24"/>
        </w:rPr>
        <w:t xml:space="preserve">propios de operaciones distribuidas en zonas. En segundo lugar, integró la noción de fricción </w:t>
      </w:r>
      <w:proofErr w:type="spellStart"/>
      <w:r w:rsidRPr="002C4193">
        <w:rPr>
          <w:rFonts w:cs="Times New Roman"/>
          <w:szCs w:val="24"/>
        </w:rPr>
        <w:t>sociomaterial</w:t>
      </w:r>
      <w:proofErr w:type="spellEnd"/>
      <w:r w:rsidRPr="002C4193">
        <w:rPr>
          <w:rFonts w:cs="Times New Roman"/>
          <w:szCs w:val="24"/>
        </w:rPr>
        <w:t xml:space="preserve"> para explicar cómo la interfaz del LMS configuró, habilitó o restringió las posibilidades de aprendizaje. En tercer lugar, incorporó el concepto de decaimiento de la intención de transferencia, observado cuando la automatización sustituyó la validación humana sin ofrecer mecanismos equivalentes de reconocimiento situado.</w:t>
      </w:r>
    </w:p>
    <w:p w14:paraId="6EAB33CF" w14:textId="7F1B7CCA" w:rsidR="002C4193" w:rsidRPr="002C4193" w:rsidRDefault="002C4193" w:rsidP="00243175">
      <w:pPr>
        <w:spacing w:after="0"/>
        <w:rPr>
          <w:rFonts w:cs="Times New Roman"/>
          <w:szCs w:val="24"/>
        </w:rPr>
      </w:pPr>
      <w:r w:rsidRPr="002C4193">
        <w:rPr>
          <w:rFonts w:cs="Times New Roman"/>
          <w:szCs w:val="24"/>
        </w:rPr>
        <w:t>El modelo se estructuró en tres fases interdependientes, concebidas como ciclos dinámicos. La primera fase correspondió a la intención de transferir, la cual, en contextos automatizados, se vio afectada por la usabilidad percibida del sistema (Nielsen, 1994) y por la claridad con que el LMS señalizó la relevancia del aprendizaje para tareas críticas. La segunda fase estuvo constituida por los intentos iniciales de aplicación, caracterizados por procesos de experimentación controlada; en ausencia de andamiaje humano inmediato, dichos intentos requirieron recursos de apoyo integrados y simulaciones de alta fidelidad orientadas a reducir el error. La tercera fase correspondió a la integración de la retroalimentación, la cual articuló mecanismos de retroalimentación algorítmica</w:t>
      </w:r>
      <w:r w:rsidR="00743DA2">
        <w:rPr>
          <w:rFonts w:cs="Times New Roman"/>
          <w:szCs w:val="24"/>
        </w:rPr>
        <w:t xml:space="preserve"> </w:t>
      </w:r>
      <w:r w:rsidRPr="002C4193">
        <w:rPr>
          <w:rFonts w:cs="Times New Roman"/>
          <w:szCs w:val="24"/>
        </w:rPr>
        <w:t>como métricas de desempeño</w:t>
      </w:r>
      <w:r w:rsidR="00743DA2">
        <w:rPr>
          <w:rFonts w:cs="Times New Roman"/>
          <w:szCs w:val="24"/>
        </w:rPr>
        <w:t xml:space="preserve"> </w:t>
      </w:r>
      <w:r w:rsidRPr="002C4193">
        <w:rPr>
          <w:rFonts w:cs="Times New Roman"/>
          <w:szCs w:val="24"/>
        </w:rPr>
        <w:t>con retroalimentación social mediada tecnológicamente mediante esquemas de mentoría asincrónica. La ruptura de este ciclo fue identificada como el punto de inflexión que condujo al decaimiento de la transferencia y al retorno a prácticas empíricas no estandarizadas.</w:t>
      </w:r>
    </w:p>
    <w:p w14:paraId="287798CE" w14:textId="77777777" w:rsidR="009B0B86" w:rsidRDefault="009B0B86" w:rsidP="00243175">
      <w:pPr>
        <w:spacing w:after="0"/>
        <w:rPr>
          <w:rFonts w:cs="Times New Roman"/>
          <w:b/>
          <w:szCs w:val="24"/>
        </w:rPr>
      </w:pPr>
    </w:p>
    <w:p w14:paraId="7093AD39" w14:textId="77777777" w:rsidR="009B0B86" w:rsidRDefault="009B0B86" w:rsidP="00243175">
      <w:pPr>
        <w:spacing w:after="0"/>
        <w:rPr>
          <w:rFonts w:cs="Times New Roman"/>
          <w:b/>
          <w:szCs w:val="24"/>
        </w:rPr>
      </w:pPr>
    </w:p>
    <w:p w14:paraId="21AC3915" w14:textId="77777777" w:rsidR="009B0B86" w:rsidRDefault="009B0B86" w:rsidP="00243175">
      <w:pPr>
        <w:spacing w:after="0"/>
        <w:rPr>
          <w:rFonts w:cs="Times New Roman"/>
          <w:b/>
          <w:szCs w:val="24"/>
        </w:rPr>
      </w:pPr>
    </w:p>
    <w:p w14:paraId="6C80B7FD" w14:textId="77777777" w:rsidR="009B0B86" w:rsidRDefault="009B0B86" w:rsidP="00243175">
      <w:pPr>
        <w:spacing w:after="0"/>
        <w:rPr>
          <w:rFonts w:cs="Times New Roman"/>
          <w:b/>
          <w:szCs w:val="24"/>
        </w:rPr>
      </w:pPr>
    </w:p>
    <w:p w14:paraId="4A04377A" w14:textId="77777777" w:rsidR="009B0B86" w:rsidRDefault="009B0B86" w:rsidP="00243175">
      <w:pPr>
        <w:spacing w:after="0"/>
        <w:rPr>
          <w:rFonts w:cs="Times New Roman"/>
          <w:b/>
          <w:szCs w:val="24"/>
        </w:rPr>
      </w:pPr>
    </w:p>
    <w:p w14:paraId="3CAD6016" w14:textId="211F54C8" w:rsidR="00B43649" w:rsidRPr="009B0B86" w:rsidRDefault="00B43649" w:rsidP="00243175">
      <w:pPr>
        <w:spacing w:after="0"/>
        <w:rPr>
          <w:rFonts w:cs="Times New Roman"/>
          <w:i/>
          <w:szCs w:val="24"/>
        </w:rPr>
      </w:pPr>
      <w:r w:rsidRPr="009B0B86">
        <w:rPr>
          <w:rFonts w:cs="Times New Roman"/>
          <w:b/>
          <w:szCs w:val="24"/>
        </w:rPr>
        <w:t>La Figura 3</w:t>
      </w:r>
      <w:r w:rsidRPr="00905DB0">
        <w:rPr>
          <w:rFonts w:cs="Times New Roman"/>
          <w:szCs w:val="24"/>
        </w:rPr>
        <w:t xml:space="preserve"> </w:t>
      </w:r>
      <w:r w:rsidR="009B0B86">
        <w:rPr>
          <w:rFonts w:cs="Times New Roman"/>
          <w:i/>
          <w:szCs w:val="24"/>
        </w:rPr>
        <w:t>P</w:t>
      </w:r>
      <w:r w:rsidRPr="009B0B86">
        <w:rPr>
          <w:rFonts w:cs="Times New Roman"/>
          <w:i/>
          <w:szCs w:val="24"/>
        </w:rPr>
        <w:t>resenta el modelo dinámico de transferencia que fundamenta el análisis de este estudio.</w:t>
      </w:r>
    </w:p>
    <w:p w14:paraId="624C06F4" w14:textId="34FA2AD5" w:rsidR="00B43649" w:rsidRPr="00277AB0" w:rsidRDefault="003038A4" w:rsidP="00243175">
      <w:pPr>
        <w:spacing w:after="0"/>
        <w:rPr>
          <w:rFonts w:cs="Times New Roman"/>
          <w:szCs w:val="24"/>
        </w:rPr>
      </w:pPr>
      <w:r w:rsidRPr="00B70FD4">
        <w:rPr>
          <w:rFonts w:cs="Times New Roman"/>
          <w:i/>
          <w:noProof/>
          <w:szCs w:val="24"/>
        </w:rPr>
        <w:lastRenderedPageBreak/>
        <w:drawing>
          <wp:anchor distT="0" distB="0" distL="114300" distR="114300" simplePos="0" relativeHeight="251658240" behindDoc="1" locked="0" layoutInCell="1" allowOverlap="1" wp14:anchorId="2888DF2E" wp14:editId="2D390693">
            <wp:simplePos x="0" y="0"/>
            <wp:positionH relativeFrom="margin">
              <wp:posOffset>6350</wp:posOffset>
            </wp:positionH>
            <wp:positionV relativeFrom="paragraph">
              <wp:posOffset>174161</wp:posOffset>
            </wp:positionV>
            <wp:extent cx="5965190" cy="3096260"/>
            <wp:effectExtent l="0" t="0" r="0" b="8890"/>
            <wp:wrapTight wrapText="bothSides">
              <wp:wrapPolygon edited="0">
                <wp:start x="0" y="0"/>
                <wp:lineTo x="0" y="21529"/>
                <wp:lineTo x="21522" y="21529"/>
                <wp:lineTo x="21522" y="0"/>
                <wp:lineTo x="0" y="0"/>
              </wp:wrapPolygon>
            </wp:wrapTight>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038840417"/>
                    <pic:cNvPicPr>
                      <a:picLocks noChangeAspect="1" noChangeArrowheads="1"/>
                    </pic:cNvPicPr>
                  </pic:nvPicPr>
                  <pic:blipFill>
                    <a:blip r:embed="rId14">
                      <a:extLst>
                        <a:ext uri="{28A0092B-C50C-407E-A947-70E740481C1C}">
                          <a14:useLocalDpi xmlns:a14="http://schemas.microsoft.com/office/drawing/2010/main" val="0"/>
                        </a:ext>
                      </a:extLst>
                    </a:blip>
                    <a:srcRect l="25999" t="30357" r="7486" b="16586"/>
                    <a:stretch>
                      <a:fillRect/>
                    </a:stretch>
                  </pic:blipFill>
                  <pic:spPr bwMode="auto">
                    <a:xfrm>
                      <a:off x="0" y="0"/>
                      <a:ext cx="5965190" cy="3096260"/>
                    </a:xfrm>
                    <a:prstGeom prst="rect">
                      <a:avLst/>
                    </a:prstGeom>
                    <a:noFill/>
                    <a:ln>
                      <a:noFill/>
                    </a:ln>
                  </pic:spPr>
                </pic:pic>
              </a:graphicData>
            </a:graphic>
            <wp14:sizeRelH relativeFrom="page">
              <wp14:pctWidth>0</wp14:pctWidth>
            </wp14:sizeRelH>
            <wp14:sizeRelV relativeFrom="page">
              <wp14:pctHeight>0</wp14:pctHeight>
            </wp14:sizeRelV>
          </wp:anchor>
        </w:drawing>
      </w:r>
      <w:r w:rsidR="00B43649" w:rsidRPr="00B70FD4">
        <w:rPr>
          <w:rFonts w:cs="Times New Roman"/>
          <w:b/>
          <w:bCs/>
          <w:i/>
          <w:szCs w:val="24"/>
        </w:rPr>
        <w:t xml:space="preserve">Figura </w:t>
      </w:r>
      <w:r w:rsidR="00B70FD4">
        <w:rPr>
          <w:rFonts w:cs="Times New Roman"/>
          <w:b/>
          <w:bCs/>
          <w:i/>
          <w:szCs w:val="24"/>
        </w:rPr>
        <w:t>2</w:t>
      </w:r>
      <w:r w:rsidR="00B70FD4" w:rsidRPr="00B70FD4">
        <w:rPr>
          <w:rFonts w:cs="Times New Roman"/>
          <w:b/>
          <w:bCs/>
          <w:i/>
          <w:szCs w:val="24"/>
        </w:rPr>
        <w:t>.</w:t>
      </w:r>
      <w:r w:rsidR="00B43649" w:rsidRPr="00905DB0">
        <w:rPr>
          <w:rFonts w:cs="Times New Roman"/>
          <w:szCs w:val="24"/>
        </w:rPr>
        <w:t xml:space="preserve"> </w:t>
      </w:r>
      <w:r w:rsidR="00B43649" w:rsidRPr="00905DB0">
        <w:rPr>
          <w:rFonts w:cs="Times New Roman"/>
          <w:i/>
          <w:iCs/>
          <w:szCs w:val="24"/>
        </w:rPr>
        <w:t>Modelo Dinámico de Transferencia (DTM)</w:t>
      </w:r>
    </w:p>
    <w:p w14:paraId="19B3AC1D" w14:textId="11D618B4" w:rsidR="00B43649" w:rsidRPr="00905DB0" w:rsidRDefault="00B43649" w:rsidP="00243175">
      <w:pPr>
        <w:spacing w:after="0"/>
        <w:rPr>
          <w:rFonts w:cs="Times New Roman"/>
          <w:szCs w:val="24"/>
        </w:rPr>
      </w:pPr>
      <w:r w:rsidRPr="00905DB0">
        <w:rPr>
          <w:rFonts w:cs="Times New Roman"/>
          <w:i/>
          <w:iCs/>
          <w:szCs w:val="24"/>
        </w:rPr>
        <w:t>Nota.</w:t>
      </w:r>
      <w:r w:rsidRPr="00905DB0">
        <w:rPr>
          <w:rFonts w:cs="Times New Roman"/>
          <w:szCs w:val="24"/>
        </w:rPr>
        <w:t xml:space="preserve"> </w:t>
      </w:r>
      <w:r w:rsidR="00243175">
        <w:rPr>
          <w:rFonts w:cs="Times New Roman"/>
          <w:szCs w:val="24"/>
        </w:rPr>
        <w:t>La figura</w:t>
      </w:r>
      <w:r w:rsidRPr="00905DB0">
        <w:rPr>
          <w:rFonts w:cs="Times New Roman"/>
          <w:szCs w:val="24"/>
        </w:rPr>
        <w:t xml:space="preserve"> ilustra el ciclo iterativo propuesto: la intención de transferir conduce a intentos iniciales de aplicación, los cuales generan retroalimentación que puede provenir de supervisores, pares o analíticas del LMS. La repetición de este ciclo consolida competencias, mientras que su ruptura (por fricción tecnológica o ausencia de refuerzo) produce decaimiento de la transferencia.</w:t>
      </w:r>
    </w:p>
    <w:p w14:paraId="7916B9F5" w14:textId="5D7E5B59" w:rsidR="002A5190" w:rsidRDefault="00B43649" w:rsidP="00243175">
      <w:pPr>
        <w:spacing w:after="0"/>
        <w:rPr>
          <w:rFonts w:cs="Times New Roman"/>
          <w:szCs w:val="24"/>
        </w:rPr>
      </w:pPr>
      <w:r w:rsidRPr="00905DB0">
        <w:rPr>
          <w:rFonts w:cs="Times New Roman"/>
          <w:szCs w:val="24"/>
        </w:rPr>
        <w:t>En síntesis, el DTM-CF se utiliza para interpretar cómo la mediación tecnológica reconfigura las condiciones tradicionales de transferencia, permitiendo identificar qué variables requieren reconceptualización cuando la formación abandona la sincronía temporal y espacial presencial. Su estatus como marco construido queda delimitado al contexto específico de estudio, sin pretensión de generalización universal.</w:t>
      </w:r>
    </w:p>
    <w:p w14:paraId="0FA0EB89" w14:textId="77777777" w:rsidR="00730801" w:rsidRPr="00730801" w:rsidRDefault="00730801" w:rsidP="00243175">
      <w:pPr>
        <w:pStyle w:val="Ttulo3"/>
      </w:pPr>
      <w:r w:rsidRPr="00730801">
        <w:t>2.5. El Aprendizaje en el Lugar de Trabajo y la Tecnología como Mediador: Fundamentos Complementarios</w:t>
      </w:r>
    </w:p>
    <w:p w14:paraId="0C112841" w14:textId="598E328E" w:rsidR="00A54170" w:rsidRPr="00A54170" w:rsidRDefault="00A54170" w:rsidP="00243175">
      <w:pPr>
        <w:spacing w:after="0"/>
        <w:rPr>
          <w:rFonts w:cs="Times New Roman"/>
          <w:szCs w:val="24"/>
        </w:rPr>
      </w:pPr>
      <w:r w:rsidRPr="00A54170">
        <w:rPr>
          <w:rFonts w:cs="Times New Roman"/>
          <w:szCs w:val="24"/>
        </w:rPr>
        <w:t xml:space="preserve">La comprensión de la transferencia del aprendizaje en entornos organizacionales requirió reconocer que el aprendizaje en el trabajo no ocurrió exclusivamente a través de episodios formativos discretos, sino que se desarrolló de manera continua, integrada en la práctica cotidiana y </w:t>
      </w:r>
      <w:proofErr w:type="spellStart"/>
      <w:r w:rsidRPr="00A54170">
        <w:rPr>
          <w:rFonts w:cs="Times New Roman"/>
          <w:szCs w:val="24"/>
        </w:rPr>
        <w:t>co‑construida</w:t>
      </w:r>
      <w:proofErr w:type="spellEnd"/>
      <w:r w:rsidRPr="00A54170">
        <w:rPr>
          <w:rFonts w:cs="Times New Roman"/>
          <w:szCs w:val="24"/>
        </w:rPr>
        <w:t xml:space="preserve"> mediante la interacción con artefactos, pares y rutinas organizacionales (</w:t>
      </w:r>
      <w:proofErr w:type="spellStart"/>
      <w:r w:rsidRPr="00A54170">
        <w:rPr>
          <w:rFonts w:cs="Times New Roman"/>
          <w:szCs w:val="24"/>
        </w:rPr>
        <w:t>Billett</w:t>
      </w:r>
      <w:proofErr w:type="spellEnd"/>
      <w:r w:rsidRPr="00A54170">
        <w:rPr>
          <w:rFonts w:cs="Times New Roman"/>
          <w:szCs w:val="24"/>
        </w:rPr>
        <w:t>, 2004</w:t>
      </w:r>
      <w:r w:rsidR="006D0099">
        <w:rPr>
          <w:rFonts w:cs="Times New Roman"/>
          <w:szCs w:val="24"/>
        </w:rPr>
        <w:t>)</w:t>
      </w:r>
      <w:r w:rsidR="007260BE">
        <w:rPr>
          <w:rFonts w:cs="Times New Roman"/>
          <w:szCs w:val="24"/>
        </w:rPr>
        <w:t>. L</w:t>
      </w:r>
      <w:r w:rsidRPr="00A54170">
        <w:rPr>
          <w:rFonts w:cs="Times New Roman"/>
          <w:szCs w:val="24"/>
        </w:rPr>
        <w:t xml:space="preserve">os empleados aprendieron mientras trabajaron, y no únicamente cuando participaron en </w:t>
      </w:r>
      <w:r w:rsidRPr="00A54170">
        <w:rPr>
          <w:rFonts w:cs="Times New Roman"/>
          <w:szCs w:val="24"/>
        </w:rPr>
        <w:lastRenderedPageBreak/>
        <w:t>instancias de formación estructurada. Esta noción resultó especialmente relevante en contextos de alta volatilidad normativa, como el de la logística internacional, donde el conocimiento tácito sobre procedimientos actualizados circuló principalmente a través de interacciones informales, correcciones situadas y consultas entre pares, más que mediante manuales formales o módulos estandarizados en plataformas LMS (</w:t>
      </w:r>
      <w:proofErr w:type="spellStart"/>
      <w:r w:rsidRPr="00A54170">
        <w:rPr>
          <w:rFonts w:cs="Times New Roman"/>
          <w:szCs w:val="24"/>
        </w:rPr>
        <w:t>Eraut</w:t>
      </w:r>
      <w:proofErr w:type="spellEnd"/>
      <w:r w:rsidRPr="00A54170">
        <w:rPr>
          <w:rFonts w:cs="Times New Roman"/>
          <w:szCs w:val="24"/>
        </w:rPr>
        <w:t>, 2004).</w:t>
      </w:r>
    </w:p>
    <w:p w14:paraId="09420C20" w14:textId="333AFB69" w:rsidR="00A54170" w:rsidRPr="00A54170" w:rsidRDefault="00A54170" w:rsidP="00243175">
      <w:pPr>
        <w:spacing w:after="0"/>
        <w:rPr>
          <w:rFonts w:cs="Times New Roman"/>
          <w:szCs w:val="24"/>
        </w:rPr>
      </w:pPr>
      <w:r w:rsidRPr="00A54170">
        <w:rPr>
          <w:rFonts w:cs="Times New Roman"/>
          <w:szCs w:val="24"/>
        </w:rPr>
        <w:t>De forma complementaria, la perspectiva del</w:t>
      </w:r>
      <w:r w:rsidR="007260BE">
        <w:rPr>
          <w:rFonts w:cs="Times New Roman"/>
          <w:szCs w:val="24"/>
        </w:rPr>
        <w:t xml:space="preserve"> a</w:t>
      </w:r>
      <w:r w:rsidR="007260BE" w:rsidRPr="007260BE">
        <w:rPr>
          <w:rFonts w:cs="Times New Roman"/>
          <w:szCs w:val="24"/>
        </w:rPr>
        <w:t>prendizaje mediado por tecnología</w:t>
      </w:r>
      <w:r w:rsidRPr="00A54170">
        <w:rPr>
          <w:rFonts w:cs="Times New Roman"/>
          <w:szCs w:val="24"/>
        </w:rPr>
        <w:t xml:space="preserve"> </w:t>
      </w:r>
      <w:proofErr w:type="spellStart"/>
      <w:r w:rsidRPr="00A54170">
        <w:rPr>
          <w:rFonts w:cs="Times New Roman"/>
          <w:szCs w:val="24"/>
        </w:rPr>
        <w:t>Technology‑Enhanced</w:t>
      </w:r>
      <w:proofErr w:type="spellEnd"/>
      <w:r w:rsidRPr="00A54170">
        <w:rPr>
          <w:rFonts w:cs="Times New Roman"/>
          <w:szCs w:val="24"/>
        </w:rPr>
        <w:t xml:space="preserve"> </w:t>
      </w:r>
      <w:proofErr w:type="spellStart"/>
      <w:r w:rsidRPr="00A54170">
        <w:rPr>
          <w:rFonts w:cs="Times New Roman"/>
          <w:szCs w:val="24"/>
        </w:rPr>
        <w:t>Learning</w:t>
      </w:r>
      <w:proofErr w:type="spellEnd"/>
      <w:r w:rsidRPr="00A54170">
        <w:rPr>
          <w:rFonts w:cs="Times New Roman"/>
          <w:szCs w:val="24"/>
        </w:rPr>
        <w:t xml:space="preserve"> (TEL)</w:t>
      </w:r>
      <w:r w:rsidR="00743DA2">
        <w:rPr>
          <w:rFonts w:cs="Times New Roman"/>
          <w:szCs w:val="24"/>
        </w:rPr>
        <w:t xml:space="preserve"> </w:t>
      </w:r>
      <w:r w:rsidRPr="00A54170">
        <w:rPr>
          <w:rFonts w:cs="Times New Roman"/>
          <w:szCs w:val="24"/>
        </w:rPr>
        <w:t xml:space="preserve">campo que examinó cómo las tecnologías digitales reconfiguraron las condiciones del aprendizaje en contextos formales e informales (Littlejohn &amp; </w:t>
      </w:r>
      <w:proofErr w:type="spellStart"/>
      <w:r w:rsidRPr="00A54170">
        <w:rPr>
          <w:rFonts w:cs="Times New Roman"/>
          <w:szCs w:val="24"/>
        </w:rPr>
        <w:t>Margaryan</w:t>
      </w:r>
      <w:proofErr w:type="spellEnd"/>
      <w:r w:rsidRPr="00A54170">
        <w:rPr>
          <w:rFonts w:cs="Times New Roman"/>
          <w:szCs w:val="24"/>
        </w:rPr>
        <w:t>, 2014)</w:t>
      </w:r>
      <w:r w:rsidR="00743DA2">
        <w:rPr>
          <w:rFonts w:cs="Times New Roman"/>
          <w:szCs w:val="24"/>
        </w:rPr>
        <w:t xml:space="preserve"> </w:t>
      </w:r>
      <w:r w:rsidRPr="00A54170">
        <w:rPr>
          <w:rFonts w:cs="Times New Roman"/>
          <w:szCs w:val="24"/>
        </w:rPr>
        <w:t>señaló que la efectividad de un sistema tecnológico de formación no dependió de sus características técnicas intrínsecas, sino de su grado de integración en el ecosistema de prácticas de aprendizaje preexistentes en la organización. En este sentido, un LMS que compitió con las rutas informales de aprendizaje</w:t>
      </w:r>
      <w:r w:rsidR="00743DA2">
        <w:rPr>
          <w:rFonts w:cs="Times New Roman"/>
          <w:szCs w:val="24"/>
        </w:rPr>
        <w:t xml:space="preserve"> </w:t>
      </w:r>
      <w:r w:rsidRPr="00A54170">
        <w:rPr>
          <w:rFonts w:cs="Times New Roman"/>
          <w:szCs w:val="24"/>
        </w:rPr>
        <w:t>como las consultas directas al experto o el uso de canales de mensajería instantánea</w:t>
      </w:r>
      <w:r w:rsidR="00743DA2">
        <w:rPr>
          <w:rFonts w:cs="Times New Roman"/>
          <w:szCs w:val="24"/>
        </w:rPr>
        <w:t xml:space="preserve"> </w:t>
      </w:r>
      <w:r w:rsidRPr="00A54170">
        <w:rPr>
          <w:rFonts w:cs="Times New Roman"/>
          <w:szCs w:val="24"/>
        </w:rPr>
        <w:t>tendió a ser percibido como una carga adicional antes que como un soporte al desempeño (</w:t>
      </w:r>
      <w:proofErr w:type="spellStart"/>
      <w:r w:rsidRPr="00A54170">
        <w:rPr>
          <w:rFonts w:cs="Times New Roman"/>
          <w:szCs w:val="24"/>
        </w:rPr>
        <w:t>Jarrahi</w:t>
      </w:r>
      <w:proofErr w:type="spellEnd"/>
      <w:r w:rsidRPr="00A54170">
        <w:rPr>
          <w:rFonts w:cs="Times New Roman"/>
          <w:szCs w:val="24"/>
        </w:rPr>
        <w:t xml:space="preserve">, 2018). Esta tensión fue precisamente la que el análisis del caso de Car </w:t>
      </w:r>
      <w:proofErr w:type="spellStart"/>
      <w:r w:rsidRPr="00A54170">
        <w:rPr>
          <w:rFonts w:cs="Times New Roman"/>
          <w:szCs w:val="24"/>
        </w:rPr>
        <w:t>Freight</w:t>
      </w:r>
      <w:proofErr w:type="spellEnd"/>
      <w:r w:rsidRPr="00A54170">
        <w:rPr>
          <w:rFonts w:cs="Times New Roman"/>
          <w:szCs w:val="24"/>
        </w:rPr>
        <w:t xml:space="preserve"> </w:t>
      </w:r>
      <w:proofErr w:type="spellStart"/>
      <w:r w:rsidRPr="00A54170">
        <w:rPr>
          <w:rFonts w:cs="Times New Roman"/>
          <w:szCs w:val="24"/>
        </w:rPr>
        <w:t>Shipping</w:t>
      </w:r>
      <w:proofErr w:type="spellEnd"/>
      <w:r w:rsidRPr="00A54170">
        <w:rPr>
          <w:rFonts w:cs="Times New Roman"/>
          <w:szCs w:val="24"/>
        </w:rPr>
        <w:t xml:space="preserve"> Company puso en evidencia al identificar resistencias hacia nuevas plataformas tecnológicas durante el periodo pos</w:t>
      </w:r>
      <w:r w:rsidR="00F22C8C">
        <w:rPr>
          <w:rFonts w:cs="Times New Roman"/>
          <w:szCs w:val="24"/>
        </w:rPr>
        <w:t>t</w:t>
      </w:r>
      <w:r w:rsidRPr="00A54170">
        <w:rPr>
          <w:rFonts w:cs="Times New Roman"/>
          <w:szCs w:val="24"/>
        </w:rPr>
        <w:t>pandemia.</w:t>
      </w:r>
    </w:p>
    <w:p w14:paraId="45D7D82E" w14:textId="670912B4" w:rsidR="00A54170" w:rsidRPr="00A54170" w:rsidRDefault="00A54170" w:rsidP="00243175">
      <w:pPr>
        <w:spacing w:after="0"/>
        <w:rPr>
          <w:rFonts w:cs="Times New Roman"/>
          <w:szCs w:val="24"/>
        </w:rPr>
      </w:pPr>
      <w:r w:rsidRPr="00A54170">
        <w:rPr>
          <w:rFonts w:cs="Times New Roman"/>
          <w:szCs w:val="24"/>
        </w:rPr>
        <w:t xml:space="preserve">Un tercer fundamento teórico de especial relevancia para el diseño instruccional propuesto en este estudio fue la Teoría de la Carga Cognitiva (Cognitive Load </w:t>
      </w:r>
      <w:proofErr w:type="spellStart"/>
      <w:r w:rsidRPr="00A54170">
        <w:rPr>
          <w:rFonts w:cs="Times New Roman"/>
          <w:szCs w:val="24"/>
        </w:rPr>
        <w:t>Theory</w:t>
      </w:r>
      <w:proofErr w:type="spellEnd"/>
      <w:r w:rsidRPr="00A54170">
        <w:rPr>
          <w:rFonts w:cs="Times New Roman"/>
          <w:szCs w:val="24"/>
        </w:rPr>
        <w:t xml:space="preserve">, CLT), desarrollada originalmente por John </w:t>
      </w:r>
      <w:proofErr w:type="spellStart"/>
      <w:r w:rsidRPr="00A54170">
        <w:rPr>
          <w:rFonts w:cs="Times New Roman"/>
          <w:szCs w:val="24"/>
        </w:rPr>
        <w:t>Sweller</w:t>
      </w:r>
      <w:proofErr w:type="spellEnd"/>
      <w:r w:rsidRPr="00A54170">
        <w:rPr>
          <w:rFonts w:cs="Times New Roman"/>
          <w:szCs w:val="24"/>
        </w:rPr>
        <w:t xml:space="preserve"> a finales de la década de 1980 y refinada de forma sistemática hasta sus formulaciones más </w:t>
      </w:r>
      <w:r w:rsidRPr="002A5190">
        <w:rPr>
          <w:rFonts w:cs="Times New Roman"/>
          <w:szCs w:val="24"/>
        </w:rPr>
        <w:t>recientes (</w:t>
      </w:r>
      <w:proofErr w:type="spellStart"/>
      <w:r w:rsidRPr="002A5190">
        <w:rPr>
          <w:rFonts w:cs="Times New Roman"/>
          <w:szCs w:val="24"/>
        </w:rPr>
        <w:t>Sweller</w:t>
      </w:r>
      <w:proofErr w:type="spellEnd"/>
      <w:r w:rsidRPr="002A5190">
        <w:rPr>
          <w:rFonts w:cs="Times New Roman"/>
          <w:szCs w:val="24"/>
        </w:rPr>
        <w:t>, 2020, 2023). La</w:t>
      </w:r>
      <w:r w:rsidRPr="00A54170">
        <w:rPr>
          <w:rFonts w:cs="Times New Roman"/>
          <w:szCs w:val="24"/>
        </w:rPr>
        <w:t xml:space="preserve"> CLT postuló que la memoria de trabajo humana tuvo una capacidad limitada para procesar información de manera simultánea y que el aprendizaje efectivo dependió del diseño instruccional orientado a minimizar la carga cognitiva extrínseca</w:t>
      </w:r>
      <w:r w:rsidR="00743DA2">
        <w:rPr>
          <w:rFonts w:cs="Times New Roman"/>
          <w:szCs w:val="24"/>
        </w:rPr>
        <w:t xml:space="preserve"> </w:t>
      </w:r>
      <w:r w:rsidRPr="00A54170">
        <w:rPr>
          <w:rFonts w:cs="Times New Roman"/>
          <w:szCs w:val="24"/>
        </w:rPr>
        <w:t>esto es, el esfuerzo generado por un diseño deficiente o irrelevante</w:t>
      </w:r>
      <w:r w:rsidR="00743DA2">
        <w:rPr>
          <w:rFonts w:cs="Times New Roman"/>
          <w:szCs w:val="24"/>
        </w:rPr>
        <w:t xml:space="preserve"> </w:t>
      </w:r>
      <w:r w:rsidRPr="00A54170">
        <w:rPr>
          <w:rFonts w:cs="Times New Roman"/>
          <w:szCs w:val="24"/>
        </w:rPr>
        <w:t xml:space="preserve">y a maximizar el esfuerzo cognitivo dedicado a la construcción de esquemas de conocimiento </w:t>
      </w:r>
      <w:r w:rsidRPr="002A5190">
        <w:rPr>
          <w:rFonts w:cs="Times New Roman"/>
          <w:szCs w:val="24"/>
        </w:rPr>
        <w:t>transferibles (</w:t>
      </w:r>
      <w:proofErr w:type="spellStart"/>
      <w:r w:rsidRPr="002A5190">
        <w:rPr>
          <w:rFonts w:cs="Times New Roman"/>
          <w:szCs w:val="24"/>
        </w:rPr>
        <w:t>Sweller</w:t>
      </w:r>
      <w:proofErr w:type="spellEnd"/>
      <w:r w:rsidRPr="002A5190">
        <w:rPr>
          <w:rFonts w:cs="Times New Roman"/>
          <w:szCs w:val="24"/>
        </w:rPr>
        <w:t xml:space="preserve">, Van </w:t>
      </w:r>
      <w:proofErr w:type="spellStart"/>
      <w:r w:rsidRPr="002A5190">
        <w:rPr>
          <w:rFonts w:cs="Times New Roman"/>
          <w:szCs w:val="24"/>
        </w:rPr>
        <w:t>Merriënboer</w:t>
      </w:r>
      <w:proofErr w:type="spellEnd"/>
      <w:r w:rsidRPr="002A5190">
        <w:rPr>
          <w:rFonts w:cs="Times New Roman"/>
          <w:szCs w:val="24"/>
        </w:rPr>
        <w:t xml:space="preserve"> &amp; </w:t>
      </w:r>
      <w:proofErr w:type="spellStart"/>
      <w:r w:rsidRPr="002A5190">
        <w:rPr>
          <w:rFonts w:cs="Times New Roman"/>
          <w:szCs w:val="24"/>
        </w:rPr>
        <w:t>Paas</w:t>
      </w:r>
      <w:proofErr w:type="spellEnd"/>
      <w:r w:rsidRPr="00A54170">
        <w:rPr>
          <w:rFonts w:cs="Times New Roman"/>
          <w:szCs w:val="24"/>
        </w:rPr>
        <w:t>, 1998). En el contexto de la formación organizacional digitalizada, la CLT sostuvo que contenidos extensos y no segmentados</w:t>
      </w:r>
      <w:r w:rsidR="00743DA2">
        <w:rPr>
          <w:rFonts w:cs="Times New Roman"/>
          <w:szCs w:val="24"/>
        </w:rPr>
        <w:t xml:space="preserve"> </w:t>
      </w:r>
      <w:r w:rsidRPr="00A54170">
        <w:rPr>
          <w:rFonts w:cs="Times New Roman"/>
          <w:szCs w:val="24"/>
        </w:rPr>
        <w:t xml:space="preserve">como las presentaciones en formato PDF identificadas en este estudio como modalidad formativa predominante en Car </w:t>
      </w:r>
      <w:proofErr w:type="spellStart"/>
      <w:r w:rsidRPr="00A54170">
        <w:rPr>
          <w:rFonts w:cs="Times New Roman"/>
          <w:szCs w:val="24"/>
        </w:rPr>
        <w:t>Freight</w:t>
      </w:r>
      <w:proofErr w:type="spellEnd"/>
      <w:r w:rsidRPr="00A54170">
        <w:rPr>
          <w:rFonts w:cs="Times New Roman"/>
          <w:szCs w:val="24"/>
        </w:rPr>
        <w:t xml:space="preserve"> </w:t>
      </w:r>
      <w:proofErr w:type="spellStart"/>
      <w:r w:rsidRPr="00A54170">
        <w:rPr>
          <w:rFonts w:cs="Times New Roman"/>
          <w:szCs w:val="24"/>
        </w:rPr>
        <w:t>Shipping</w:t>
      </w:r>
      <w:proofErr w:type="spellEnd"/>
      <w:r w:rsidRPr="00A54170">
        <w:rPr>
          <w:rFonts w:cs="Times New Roman"/>
          <w:szCs w:val="24"/>
        </w:rPr>
        <w:t xml:space="preserve"> Company</w:t>
      </w:r>
      <w:r w:rsidR="00743DA2">
        <w:rPr>
          <w:rFonts w:cs="Times New Roman"/>
          <w:szCs w:val="24"/>
        </w:rPr>
        <w:t xml:space="preserve"> </w:t>
      </w:r>
      <w:r w:rsidRPr="00A54170">
        <w:rPr>
          <w:rFonts w:cs="Times New Roman"/>
          <w:szCs w:val="24"/>
        </w:rPr>
        <w:t xml:space="preserve">generaron sobrecarga extrínseca que inhibió tanto la retención como la transferencia del aprendizaje, con independencia de la calidad intrínseca del contenido </w:t>
      </w:r>
      <w:r w:rsidR="00E33BDE" w:rsidRPr="00E33BDE">
        <w:rPr>
          <w:rFonts w:cs="Times New Roman"/>
          <w:szCs w:val="24"/>
        </w:rPr>
        <w:t>(</w:t>
      </w:r>
      <w:proofErr w:type="spellStart"/>
      <w:r w:rsidR="00E33BDE" w:rsidRPr="00E33BDE">
        <w:rPr>
          <w:rFonts w:cs="Times New Roman"/>
          <w:szCs w:val="24"/>
        </w:rPr>
        <w:t>Meng</w:t>
      </w:r>
      <w:proofErr w:type="spellEnd"/>
      <w:r w:rsidR="00E33BDE" w:rsidRPr="00E33BDE">
        <w:rPr>
          <w:rFonts w:cs="Times New Roman"/>
          <w:szCs w:val="24"/>
        </w:rPr>
        <w:t>, Wang, &amp; Li, 2016)</w:t>
      </w:r>
    </w:p>
    <w:p w14:paraId="048D2B2A" w14:textId="37B897A7" w:rsidR="00A54170" w:rsidRPr="00A54170" w:rsidRDefault="00A54170" w:rsidP="00243175">
      <w:pPr>
        <w:spacing w:after="0"/>
        <w:rPr>
          <w:rFonts w:cs="Times New Roman"/>
          <w:szCs w:val="24"/>
        </w:rPr>
      </w:pPr>
      <w:r w:rsidRPr="00A54170">
        <w:rPr>
          <w:rFonts w:cs="Times New Roman"/>
          <w:szCs w:val="24"/>
        </w:rPr>
        <w:t xml:space="preserve">Investigaciones empíricas más recientes confirmaron que los </w:t>
      </w:r>
      <w:proofErr w:type="spellStart"/>
      <w:r w:rsidRPr="00A54170">
        <w:rPr>
          <w:rFonts w:cs="Times New Roman"/>
          <w:szCs w:val="24"/>
        </w:rPr>
        <w:t>micro‑módulos</w:t>
      </w:r>
      <w:proofErr w:type="spellEnd"/>
      <w:r w:rsidRPr="00A54170">
        <w:rPr>
          <w:rFonts w:cs="Times New Roman"/>
          <w:szCs w:val="24"/>
        </w:rPr>
        <w:t xml:space="preserve"> de corta duración</w:t>
      </w:r>
      <w:r w:rsidR="00743DA2">
        <w:rPr>
          <w:rFonts w:cs="Times New Roman"/>
          <w:szCs w:val="24"/>
        </w:rPr>
        <w:t xml:space="preserve"> </w:t>
      </w:r>
      <w:r w:rsidRPr="00A54170">
        <w:rPr>
          <w:rFonts w:cs="Times New Roman"/>
          <w:szCs w:val="24"/>
        </w:rPr>
        <w:t>generalmente entre tres y diez minutos</w:t>
      </w:r>
      <w:r w:rsidR="00743DA2">
        <w:rPr>
          <w:rFonts w:cs="Times New Roman"/>
          <w:szCs w:val="24"/>
        </w:rPr>
        <w:t xml:space="preserve"> </w:t>
      </w:r>
      <w:r w:rsidRPr="00A54170">
        <w:rPr>
          <w:rFonts w:cs="Times New Roman"/>
          <w:szCs w:val="24"/>
        </w:rPr>
        <w:t xml:space="preserve">diseñados bajo principios de segmentación y </w:t>
      </w:r>
      <w:r w:rsidRPr="00A54170">
        <w:rPr>
          <w:rFonts w:cs="Times New Roman"/>
          <w:szCs w:val="24"/>
        </w:rPr>
        <w:lastRenderedPageBreak/>
        <w:t xml:space="preserve">señalización cognitiva produjeron mejoras significativas en retención, compromiso y resultados de aprendizaje, al reducir la carga cognitiva extrínseca y facilitar la activación de esquemas previos </w:t>
      </w:r>
      <w:r w:rsidR="00E33BDE" w:rsidRPr="00E33BDE">
        <w:rPr>
          <w:rFonts w:cs="Times New Roman"/>
          <w:szCs w:val="24"/>
        </w:rPr>
        <w:t>(</w:t>
      </w:r>
      <w:proofErr w:type="spellStart"/>
      <w:r w:rsidR="00E33BDE" w:rsidRPr="00E33BDE">
        <w:rPr>
          <w:rFonts w:cs="Times New Roman"/>
          <w:szCs w:val="24"/>
        </w:rPr>
        <w:t>Beege</w:t>
      </w:r>
      <w:proofErr w:type="spellEnd"/>
      <w:r w:rsidR="00E33BDE" w:rsidRPr="00E33BDE">
        <w:rPr>
          <w:rFonts w:cs="Times New Roman"/>
          <w:szCs w:val="24"/>
        </w:rPr>
        <w:t xml:space="preserve"> et al., 2021; </w:t>
      </w:r>
      <w:proofErr w:type="spellStart"/>
      <w:r w:rsidR="00E33BDE" w:rsidRPr="00E33BDE">
        <w:rPr>
          <w:rFonts w:cs="Times New Roman"/>
          <w:szCs w:val="24"/>
        </w:rPr>
        <w:t>Serki</w:t>
      </w:r>
      <w:proofErr w:type="spellEnd"/>
      <w:r w:rsidR="00E33BDE" w:rsidRPr="00E33BDE">
        <w:rPr>
          <w:rFonts w:cs="Times New Roman"/>
          <w:szCs w:val="24"/>
        </w:rPr>
        <w:t xml:space="preserve"> &amp; </w:t>
      </w:r>
      <w:proofErr w:type="spellStart"/>
      <w:r w:rsidR="00E33BDE" w:rsidRPr="00E33BDE">
        <w:rPr>
          <w:rFonts w:cs="Times New Roman"/>
          <w:szCs w:val="24"/>
        </w:rPr>
        <w:t>Bolkan</w:t>
      </w:r>
      <w:proofErr w:type="spellEnd"/>
      <w:r w:rsidR="00E33BDE" w:rsidRPr="00E33BDE">
        <w:rPr>
          <w:rFonts w:cs="Times New Roman"/>
          <w:szCs w:val="24"/>
        </w:rPr>
        <w:t>, 2024)</w:t>
      </w:r>
      <w:r w:rsidRPr="00A54170">
        <w:rPr>
          <w:rFonts w:cs="Times New Roman"/>
          <w:szCs w:val="24"/>
        </w:rPr>
        <w:t xml:space="preserve">. Esta evidencia constituyó el fundamento teórico directo de la recomendación de </w:t>
      </w:r>
      <w:proofErr w:type="spellStart"/>
      <w:r w:rsidRPr="00A54170">
        <w:rPr>
          <w:rFonts w:cs="Times New Roman"/>
          <w:szCs w:val="24"/>
        </w:rPr>
        <w:t>micro‑módulos</w:t>
      </w:r>
      <w:proofErr w:type="spellEnd"/>
      <w:r w:rsidRPr="00A54170">
        <w:rPr>
          <w:rFonts w:cs="Times New Roman"/>
          <w:szCs w:val="24"/>
        </w:rPr>
        <w:t xml:space="preserve"> de baja carga cognitiva incluida en la propuesta de intervención desarrollada en el Capítulo </w:t>
      </w:r>
      <w:r w:rsidR="00F22C8C">
        <w:rPr>
          <w:rFonts w:cs="Times New Roman"/>
          <w:szCs w:val="24"/>
        </w:rPr>
        <w:t>6</w:t>
      </w:r>
      <w:r w:rsidRPr="00A54170">
        <w:rPr>
          <w:rFonts w:cs="Times New Roman"/>
          <w:szCs w:val="24"/>
        </w:rPr>
        <w:t>. En consecuencia, dicha recomendación no respondió a una preferencia estilística de diseño, sino a una decisión sustentada en un</w:t>
      </w:r>
      <w:r w:rsidR="00F22C8C">
        <w:rPr>
          <w:rFonts w:cs="Times New Roman"/>
          <w:szCs w:val="24"/>
        </w:rPr>
        <w:t xml:space="preserve"> conjunto</w:t>
      </w:r>
      <w:r w:rsidRPr="00A54170">
        <w:rPr>
          <w:rFonts w:cs="Times New Roman"/>
          <w:szCs w:val="24"/>
        </w:rPr>
        <w:t xml:space="preserve"> consolidado de evidencia experimental sobre el funcionamiento del aprendizaje humano.</w:t>
      </w:r>
    </w:p>
    <w:p w14:paraId="36BDA48E" w14:textId="6C861EF7" w:rsidR="00A54170" w:rsidRPr="00A54170" w:rsidRDefault="00A54170" w:rsidP="00243175">
      <w:pPr>
        <w:spacing w:after="0"/>
        <w:rPr>
          <w:rFonts w:cs="Times New Roman"/>
          <w:szCs w:val="24"/>
        </w:rPr>
      </w:pPr>
      <w:r w:rsidRPr="00DE34FF">
        <w:rPr>
          <w:rFonts w:cs="Times New Roman"/>
          <w:szCs w:val="24"/>
        </w:rPr>
        <w:t>La articulación entre la perspectiva de</w:t>
      </w:r>
      <w:r w:rsidRPr="00A54170">
        <w:rPr>
          <w:rFonts w:cs="Times New Roman"/>
          <w:szCs w:val="24"/>
        </w:rPr>
        <w:t xml:space="preserve"> </w:t>
      </w:r>
      <w:r w:rsidR="00DE34FF" w:rsidRPr="00DE34FF">
        <w:rPr>
          <w:rFonts w:cs="Times New Roman"/>
          <w:szCs w:val="24"/>
        </w:rPr>
        <w:t>aprendizaje organizacional</w:t>
      </w:r>
      <w:r w:rsidRPr="00A54170">
        <w:rPr>
          <w:rFonts w:cs="Times New Roman"/>
          <w:szCs w:val="24"/>
        </w:rPr>
        <w:t xml:space="preserve"> y el enfoque </w:t>
      </w:r>
      <w:r w:rsidR="00DE34FF">
        <w:rPr>
          <w:rFonts w:cs="Times New Roman"/>
          <w:szCs w:val="24"/>
        </w:rPr>
        <w:t>TEL (a</w:t>
      </w:r>
      <w:r w:rsidR="00DE34FF" w:rsidRPr="007260BE">
        <w:rPr>
          <w:rFonts w:cs="Times New Roman"/>
          <w:szCs w:val="24"/>
        </w:rPr>
        <w:t xml:space="preserve">prendizaje mediado por </w:t>
      </w:r>
      <w:r w:rsidR="00E356AE" w:rsidRPr="007260BE">
        <w:rPr>
          <w:rFonts w:cs="Times New Roman"/>
          <w:szCs w:val="24"/>
        </w:rPr>
        <w:t>tecnología</w:t>
      </w:r>
      <w:r w:rsidR="00E356AE">
        <w:rPr>
          <w:rFonts w:cs="Times New Roman"/>
          <w:szCs w:val="24"/>
        </w:rPr>
        <w:t>)</w:t>
      </w:r>
      <w:r w:rsidR="00E356AE" w:rsidRPr="00A54170">
        <w:rPr>
          <w:rFonts w:cs="Times New Roman"/>
          <w:szCs w:val="24"/>
        </w:rPr>
        <w:t xml:space="preserve"> proporcionó</w:t>
      </w:r>
      <w:r w:rsidRPr="00A54170">
        <w:rPr>
          <w:rFonts w:cs="Times New Roman"/>
          <w:szCs w:val="24"/>
        </w:rPr>
        <w:t xml:space="preserve">, así, un fundamento interdisciplinario que permitió comprender por qué la propuesta de este estudio orientó el LMS hacia un modelo de </w:t>
      </w:r>
      <w:r w:rsidR="00E356AE">
        <w:rPr>
          <w:rFonts w:cs="Times New Roman"/>
          <w:szCs w:val="24"/>
        </w:rPr>
        <w:t>S</w:t>
      </w:r>
      <w:r w:rsidR="00DE34FF" w:rsidRPr="00DE34FF">
        <w:rPr>
          <w:rFonts w:cs="Times New Roman"/>
          <w:szCs w:val="24"/>
        </w:rPr>
        <w:t xml:space="preserve">istema de apoyo al desempeño </w:t>
      </w:r>
      <w:r w:rsidRPr="00A54170">
        <w:rPr>
          <w:rFonts w:cs="Times New Roman"/>
          <w:szCs w:val="24"/>
        </w:rPr>
        <w:t>(</w:t>
      </w:r>
      <w:r w:rsidR="00E356AE" w:rsidRPr="00E356AE">
        <w:rPr>
          <w:rFonts w:cs="Times New Roman"/>
          <w:szCs w:val="24"/>
        </w:rPr>
        <w:t xml:space="preserve">Performance </w:t>
      </w:r>
      <w:proofErr w:type="spellStart"/>
      <w:r w:rsidR="00E356AE" w:rsidRPr="00E356AE">
        <w:rPr>
          <w:rFonts w:cs="Times New Roman"/>
          <w:szCs w:val="24"/>
        </w:rPr>
        <w:t>Support</w:t>
      </w:r>
      <w:proofErr w:type="spellEnd"/>
      <w:r w:rsidR="00E356AE" w:rsidRPr="00E356AE">
        <w:rPr>
          <w:rFonts w:cs="Times New Roman"/>
          <w:szCs w:val="24"/>
        </w:rPr>
        <w:t xml:space="preserve"> </w:t>
      </w:r>
      <w:proofErr w:type="spellStart"/>
      <w:r w:rsidR="00E356AE" w:rsidRPr="00E356AE">
        <w:rPr>
          <w:rFonts w:cs="Times New Roman"/>
          <w:szCs w:val="24"/>
        </w:rPr>
        <w:t>System</w:t>
      </w:r>
      <w:proofErr w:type="spellEnd"/>
      <w:r w:rsidR="00E356AE" w:rsidRPr="00A54170">
        <w:rPr>
          <w:rFonts w:cs="Times New Roman"/>
          <w:szCs w:val="24"/>
        </w:rPr>
        <w:t xml:space="preserve"> </w:t>
      </w:r>
      <w:r w:rsidR="00E356AE">
        <w:rPr>
          <w:rFonts w:cs="Times New Roman"/>
          <w:szCs w:val="24"/>
        </w:rPr>
        <w:t>[</w:t>
      </w:r>
      <w:r w:rsidRPr="00A54170">
        <w:rPr>
          <w:rFonts w:cs="Times New Roman"/>
          <w:szCs w:val="24"/>
        </w:rPr>
        <w:t>PSS</w:t>
      </w:r>
      <w:r w:rsidR="00E356AE">
        <w:rPr>
          <w:rFonts w:cs="Times New Roman"/>
          <w:szCs w:val="24"/>
        </w:rPr>
        <w:t>]</w:t>
      </w:r>
      <w:r w:rsidRPr="00A54170">
        <w:rPr>
          <w:rFonts w:cs="Times New Roman"/>
          <w:szCs w:val="24"/>
        </w:rPr>
        <w:t>) integrado al flujo de trabajo, en lugar de concebirlo como un repositorio pasivo de contenidos de acceso asíncrono. En entornos donde el aprendizaje ocurrió en y a través del trabajo, la herramienta formativa más efectiva fue aquella que redujo la fricción entre el momento en que surgió la duda y el momento en que se obtuvo la respuesta pertinente (</w:t>
      </w:r>
      <w:proofErr w:type="spellStart"/>
      <w:r w:rsidRPr="00A54170">
        <w:rPr>
          <w:rFonts w:cs="Times New Roman"/>
          <w:szCs w:val="24"/>
        </w:rPr>
        <w:t>Gery</w:t>
      </w:r>
      <w:proofErr w:type="spellEnd"/>
      <w:r w:rsidRPr="00A54170">
        <w:rPr>
          <w:rFonts w:cs="Times New Roman"/>
          <w:szCs w:val="24"/>
        </w:rPr>
        <w:t>, 1991).</w:t>
      </w:r>
    </w:p>
    <w:p w14:paraId="245E9B34" w14:textId="46C304F3" w:rsidR="00A54170" w:rsidRPr="00A54170" w:rsidRDefault="00A54170" w:rsidP="00243175">
      <w:pPr>
        <w:spacing w:after="0"/>
        <w:rPr>
          <w:rFonts w:cs="Times New Roman"/>
          <w:szCs w:val="24"/>
        </w:rPr>
      </w:pPr>
      <w:r w:rsidRPr="00A54170">
        <w:rPr>
          <w:rFonts w:cs="Times New Roman"/>
          <w:szCs w:val="24"/>
        </w:rPr>
        <w:t xml:space="preserve">El concepto de </w:t>
      </w:r>
      <w:r w:rsidR="00E356AE">
        <w:rPr>
          <w:rFonts w:cs="Times New Roman"/>
          <w:szCs w:val="24"/>
        </w:rPr>
        <w:t>s</w:t>
      </w:r>
      <w:r w:rsidR="00E356AE" w:rsidRPr="00E356AE">
        <w:rPr>
          <w:rFonts w:cs="Times New Roman"/>
          <w:szCs w:val="24"/>
        </w:rPr>
        <w:t xml:space="preserve">istemas electrónicos de apoyo al desempeño </w:t>
      </w:r>
      <w:r w:rsidRPr="00A54170">
        <w:rPr>
          <w:rFonts w:cs="Times New Roman"/>
          <w:szCs w:val="24"/>
        </w:rPr>
        <w:t>(</w:t>
      </w:r>
      <w:r w:rsidR="00E356AE" w:rsidRPr="00A54170">
        <w:rPr>
          <w:rFonts w:cs="Times New Roman"/>
          <w:szCs w:val="24"/>
        </w:rPr>
        <w:t xml:space="preserve">Electronic Performance </w:t>
      </w:r>
      <w:proofErr w:type="spellStart"/>
      <w:r w:rsidR="00E356AE" w:rsidRPr="00A54170">
        <w:rPr>
          <w:rFonts w:cs="Times New Roman"/>
          <w:szCs w:val="24"/>
        </w:rPr>
        <w:t>Support</w:t>
      </w:r>
      <w:proofErr w:type="spellEnd"/>
      <w:r w:rsidR="00E356AE" w:rsidRPr="00A54170">
        <w:rPr>
          <w:rFonts w:cs="Times New Roman"/>
          <w:szCs w:val="24"/>
        </w:rPr>
        <w:t xml:space="preserve"> </w:t>
      </w:r>
      <w:proofErr w:type="spellStart"/>
      <w:r w:rsidR="00E356AE" w:rsidRPr="00A54170">
        <w:rPr>
          <w:rFonts w:cs="Times New Roman"/>
          <w:szCs w:val="24"/>
        </w:rPr>
        <w:t>Systems</w:t>
      </w:r>
      <w:proofErr w:type="spellEnd"/>
      <w:r w:rsidR="00E356AE" w:rsidRPr="00A54170">
        <w:rPr>
          <w:rFonts w:cs="Times New Roman"/>
          <w:szCs w:val="24"/>
        </w:rPr>
        <w:t xml:space="preserve"> </w:t>
      </w:r>
      <w:r w:rsidR="00E356AE">
        <w:rPr>
          <w:rFonts w:cs="Times New Roman"/>
          <w:szCs w:val="24"/>
        </w:rPr>
        <w:t>[</w:t>
      </w:r>
      <w:r w:rsidRPr="00A54170">
        <w:rPr>
          <w:rFonts w:cs="Times New Roman"/>
          <w:szCs w:val="24"/>
        </w:rPr>
        <w:t>EPSS</w:t>
      </w:r>
      <w:r w:rsidR="00E356AE">
        <w:rPr>
          <w:rFonts w:cs="Times New Roman"/>
          <w:szCs w:val="24"/>
        </w:rPr>
        <w:t>]</w:t>
      </w:r>
      <w:r w:rsidRPr="00A54170">
        <w:rPr>
          <w:rFonts w:cs="Times New Roman"/>
          <w:szCs w:val="24"/>
        </w:rPr>
        <w:t>) experimentó una evolución significativa desde su formulación inicial (</w:t>
      </w:r>
      <w:proofErr w:type="spellStart"/>
      <w:r w:rsidRPr="00A54170">
        <w:rPr>
          <w:rFonts w:cs="Times New Roman"/>
          <w:szCs w:val="24"/>
        </w:rPr>
        <w:t>Gery</w:t>
      </w:r>
      <w:proofErr w:type="spellEnd"/>
      <w:r w:rsidRPr="00A54170">
        <w:rPr>
          <w:rFonts w:cs="Times New Roman"/>
          <w:szCs w:val="24"/>
        </w:rPr>
        <w:t xml:space="preserve">, 1991). </w:t>
      </w:r>
    </w:p>
    <w:p w14:paraId="33387D4D" w14:textId="48982B91" w:rsidR="00D66A5D" w:rsidRDefault="00A54170" w:rsidP="00243175">
      <w:pPr>
        <w:spacing w:after="0"/>
        <w:rPr>
          <w:rFonts w:cs="Times New Roman"/>
          <w:szCs w:val="24"/>
        </w:rPr>
      </w:pPr>
      <w:r w:rsidRPr="00A54170">
        <w:rPr>
          <w:rFonts w:cs="Times New Roman"/>
          <w:szCs w:val="24"/>
        </w:rPr>
        <w:t>Esta evolución del campo situó la propuesta del presente estudio</w:t>
      </w:r>
      <w:r w:rsidR="00743DA2">
        <w:rPr>
          <w:rFonts w:cs="Times New Roman"/>
          <w:szCs w:val="24"/>
        </w:rPr>
        <w:t xml:space="preserve"> </w:t>
      </w:r>
      <w:r w:rsidRPr="00A54170">
        <w:rPr>
          <w:rFonts w:cs="Times New Roman"/>
          <w:szCs w:val="24"/>
        </w:rPr>
        <w:t>configurar ZOHO LMS como un PSS integrado al flujo de trabajo dentro de ZOHO CRM</w:t>
      </w:r>
      <w:r w:rsidR="00743DA2">
        <w:rPr>
          <w:rFonts w:cs="Times New Roman"/>
          <w:szCs w:val="24"/>
        </w:rPr>
        <w:t xml:space="preserve"> </w:t>
      </w:r>
      <w:r w:rsidRPr="00A54170">
        <w:rPr>
          <w:rFonts w:cs="Times New Roman"/>
          <w:szCs w:val="24"/>
        </w:rPr>
        <w:t xml:space="preserve">en continuidad con una tradición de diseño instruccional respaldada por evidencia acumulada, y no como una innovación carente de antecedentes teóricos o empíricos. La diferenciación principal respecto a los EPSS de primera generación descritos por </w:t>
      </w:r>
      <w:proofErr w:type="spellStart"/>
      <w:r w:rsidRPr="00A54170">
        <w:rPr>
          <w:rFonts w:cs="Times New Roman"/>
          <w:szCs w:val="24"/>
        </w:rPr>
        <w:t>Gery</w:t>
      </w:r>
      <w:proofErr w:type="spellEnd"/>
      <w:r w:rsidRPr="00A54170">
        <w:rPr>
          <w:rFonts w:cs="Times New Roman"/>
          <w:szCs w:val="24"/>
        </w:rPr>
        <w:t xml:space="preserve"> (1991) residió en la integración nativa del sistema formativo con el entorno cotidiano de trabajo, lo que permitió reducir de manera significativa la fricción de acceso identificada por los participantes como una de las barreras principales para la transferencia efectiva del aprendizaje.</w:t>
      </w:r>
    </w:p>
    <w:p w14:paraId="10CC335E" w14:textId="77777777" w:rsidR="003930E4" w:rsidRPr="00905DB0" w:rsidRDefault="003930E4" w:rsidP="00243175">
      <w:pPr>
        <w:spacing w:after="0"/>
        <w:rPr>
          <w:rFonts w:cs="Times New Roman"/>
          <w:szCs w:val="24"/>
        </w:rPr>
      </w:pPr>
    </w:p>
    <w:p w14:paraId="223F73CE" w14:textId="7CD2F593" w:rsidR="0006260A" w:rsidRPr="00277AB0" w:rsidRDefault="00BB28CF" w:rsidP="00243175">
      <w:pPr>
        <w:pStyle w:val="Ttulo2"/>
        <w:spacing w:before="0" w:after="0"/>
        <w:ind w:firstLine="0"/>
      </w:pPr>
      <w:r>
        <w:t xml:space="preserve">3. </w:t>
      </w:r>
      <w:r w:rsidR="00764D0E" w:rsidRPr="00BB28CF">
        <w:t>Metodología</w:t>
      </w:r>
    </w:p>
    <w:p w14:paraId="2753C585" w14:textId="4A92672F" w:rsidR="00A54170" w:rsidRPr="00A54170" w:rsidRDefault="00A54170" w:rsidP="00243175">
      <w:pPr>
        <w:pStyle w:val="Ttulo3"/>
      </w:pPr>
      <w:r w:rsidRPr="00A54170">
        <w:t>3.1. Contextualización del estudio de caso</w:t>
      </w:r>
    </w:p>
    <w:p w14:paraId="53CD3F4E" w14:textId="59A013E2" w:rsidR="00A54170" w:rsidRPr="00A54170" w:rsidRDefault="00A54170" w:rsidP="00243175">
      <w:pPr>
        <w:pStyle w:val="NormalWeb"/>
        <w:spacing w:before="0" w:beforeAutospacing="0" w:after="0" w:afterAutospacing="0" w:line="480" w:lineRule="auto"/>
      </w:pPr>
      <w:r w:rsidRPr="00A54170">
        <w:lastRenderedPageBreak/>
        <w:t xml:space="preserve">Car </w:t>
      </w:r>
      <w:proofErr w:type="spellStart"/>
      <w:r w:rsidRPr="00A54170">
        <w:t>Freight</w:t>
      </w:r>
      <w:proofErr w:type="spellEnd"/>
      <w:r w:rsidRPr="00A54170">
        <w:t xml:space="preserve"> </w:t>
      </w:r>
      <w:proofErr w:type="spellStart"/>
      <w:r w:rsidRPr="00A54170">
        <w:t>Shipping</w:t>
      </w:r>
      <w:proofErr w:type="spellEnd"/>
      <w:r w:rsidRPr="00A54170">
        <w:t xml:space="preserve"> Company </w:t>
      </w:r>
      <w:r w:rsidR="00594E2E">
        <w:t>es</w:t>
      </w:r>
      <w:r w:rsidRPr="00A54170">
        <w:t xml:space="preserve"> una empresa estadounidense con más de veinticinco años de trayectoria en el sector logístico, especializada en el transporte nacional e internacional de vehículos y carga suelta. Durante el periodo de análisis, la compañía contó con una planta aproximada de treinta y cinco empleados distribuidos en tres sedes: Miami (Florida), San Juan (Puerto Rico) y Manizales (Colombia).</w:t>
      </w:r>
    </w:p>
    <w:p w14:paraId="040271D3" w14:textId="77777777" w:rsidR="00A54170" w:rsidRPr="00A54170" w:rsidRDefault="00A54170" w:rsidP="00243175">
      <w:pPr>
        <w:pStyle w:val="NormalWeb"/>
        <w:spacing w:before="0" w:beforeAutospacing="0" w:after="0" w:afterAutospacing="0" w:line="480" w:lineRule="auto"/>
      </w:pPr>
      <w:r w:rsidRPr="00A54170">
        <w:t>El área de Documentación, objeto del presente estudio, gestionó información legal, técnica y operativa asociada al transporte internacional de vehículos y carga. Su función principal consistió en verificar que cada envío cumpliera con los requisitos normativos y contractuales exigidos por autoridades locales e internacionales, garantizando la legalidad, continuidad y fluidez de las operaciones logísticas. Esta área fue seleccionada como unidad de análisis por presentar indicadores críticos de reprocesos documentales y tiempos de adaptación prolongados en el personal de nuevo ingreso, condiciones que evidenciaron tensiones relevantes entre formación, desempeño y contexto operativo.</w:t>
      </w:r>
    </w:p>
    <w:p w14:paraId="50F7236D" w14:textId="479D6C0D" w:rsidR="00A54170" w:rsidRPr="00A54170" w:rsidRDefault="00A54170" w:rsidP="00243175">
      <w:pPr>
        <w:pStyle w:val="Ttulo3"/>
      </w:pPr>
      <w:r w:rsidRPr="00A54170">
        <w:t>3.2. Enfoque de investigación</w:t>
      </w:r>
    </w:p>
    <w:p w14:paraId="3416F220" w14:textId="77777777" w:rsidR="00A54170" w:rsidRPr="00A54170" w:rsidRDefault="00A54170" w:rsidP="00243175">
      <w:pPr>
        <w:pStyle w:val="NormalWeb"/>
        <w:spacing w:before="0" w:beforeAutospacing="0" w:after="0" w:afterAutospacing="0" w:line="480" w:lineRule="auto"/>
      </w:pPr>
      <w:r w:rsidRPr="00A54170">
        <w:t>El presente estudio se enmarcó en un enfoque cualitativo</w:t>
      </w:r>
      <w:r w:rsidRPr="00A54170">
        <w:noBreakHyphen/>
        <w:t xml:space="preserve">interpretativo, orientado a la comprensión profunda de dinámicas organizacionales complejas. Este enfoque privilegió el análisis de percepciones, experiencias y significados que los actores organizacionales atribuyeron a los procesos de formación y al desempeño laboral en contextos reales de trabajo (Creswell &amp; </w:t>
      </w:r>
      <w:proofErr w:type="spellStart"/>
      <w:r w:rsidRPr="00A54170">
        <w:t>Poth</w:t>
      </w:r>
      <w:proofErr w:type="spellEnd"/>
      <w:r w:rsidRPr="00A54170">
        <w:t>, 2018).</w:t>
      </w:r>
    </w:p>
    <w:p w14:paraId="6F53942F" w14:textId="6D27AB60" w:rsidR="00A54170" w:rsidRPr="00A54170" w:rsidRDefault="00A54170" w:rsidP="00243175">
      <w:pPr>
        <w:pStyle w:val="NormalWeb"/>
        <w:spacing w:before="0" w:beforeAutospacing="0" w:after="0" w:afterAutospacing="0" w:line="480" w:lineRule="auto"/>
      </w:pPr>
      <w:r w:rsidRPr="00A54170">
        <w:t xml:space="preserve">La elección de este enfoque respondió al carácter exploratorio del fenómeno analizado. Las tensiones entre automatización formativa y aprendizaje situado no resultaron reducibles a variables cuantificables. A través de entrevistas semiestructuradas y de su análisis interpretativo, el estudio buscó comprender cómo la mediación tecnológica reconfiguró las prácticas de transferencia del </w:t>
      </w:r>
      <w:r w:rsidRPr="00A54170">
        <w:lastRenderedPageBreak/>
        <w:t>conocimiento en un entorno caracterizado por alta estandarización operativa y volatilidad normativa.</w:t>
      </w:r>
    </w:p>
    <w:p w14:paraId="7468B1C0" w14:textId="4D60DFAE" w:rsidR="00A54170" w:rsidRPr="00A54170" w:rsidRDefault="00A54170" w:rsidP="00243175">
      <w:pPr>
        <w:pStyle w:val="NormalWeb"/>
        <w:spacing w:before="0" w:beforeAutospacing="0" w:after="0" w:afterAutospacing="0" w:line="480" w:lineRule="auto"/>
      </w:pPr>
      <w:r w:rsidRPr="00A54170">
        <w:t>El presente estudio adoptó esta variante: el Modelo de Transferencia Dinámica Contextualizada (DTM</w:t>
      </w:r>
      <w:r w:rsidRPr="00A54170">
        <w:noBreakHyphen/>
        <w:t xml:space="preserve">CF), desarrollado en la Sección 2.4, operó como marco analítico orientador. Este permitió identificar en los datos los mecanismos de transferencia teóricamente previstos, al tiempo que permaneció abierto a la emergencia de categorías no anticipadas, como el fenómeno del </w:t>
      </w:r>
      <w:r w:rsidR="00594E2E" w:rsidRPr="00594E2E">
        <w:rPr>
          <w:rStyle w:val="nfasis"/>
          <w:i w:val="0"/>
        </w:rPr>
        <w:t>desface del andamiaje</w:t>
      </w:r>
      <w:r w:rsidRPr="00A54170">
        <w:t>.</w:t>
      </w:r>
    </w:p>
    <w:p w14:paraId="6F781B7E" w14:textId="77777777" w:rsidR="00A54170" w:rsidRPr="00A54170" w:rsidRDefault="00A54170" w:rsidP="00243175">
      <w:pPr>
        <w:pStyle w:val="NormalWeb"/>
        <w:spacing w:before="0" w:beforeAutospacing="0" w:after="0" w:afterAutospacing="0" w:line="480" w:lineRule="auto"/>
      </w:pPr>
      <w:r w:rsidRPr="00A54170">
        <w:t>Este posicionamiento fue coherente con lo que la literatura metodológica reciente denominó análisis temático deductivo</w:t>
      </w:r>
      <w:r w:rsidRPr="00A54170">
        <w:noBreakHyphen/>
        <w:t xml:space="preserve">interpretativo: un enfoque que empleó marcos teóricos previos para refinar, extender y matizar los hallazgos empíricos, sin clausurar la posibilidad de descubrimientos emergentes </w:t>
      </w:r>
      <w:r w:rsidRPr="00E33BDE">
        <w:t>(</w:t>
      </w:r>
      <w:proofErr w:type="spellStart"/>
      <w:r w:rsidRPr="00E33BDE">
        <w:t>Fereday</w:t>
      </w:r>
      <w:proofErr w:type="spellEnd"/>
      <w:r w:rsidRPr="00E33BDE">
        <w:t xml:space="preserve"> &amp; Muir</w:t>
      </w:r>
      <w:r w:rsidRPr="00E33BDE">
        <w:noBreakHyphen/>
        <w:t>Cochrane, 2006).</w:t>
      </w:r>
    </w:p>
    <w:p w14:paraId="048399F0" w14:textId="1355F9EC" w:rsidR="00A54170" w:rsidRPr="00A54170" w:rsidRDefault="00A54170" w:rsidP="00243175">
      <w:pPr>
        <w:pStyle w:val="Ttulo3"/>
      </w:pPr>
      <w:r w:rsidRPr="00A54170">
        <w:t>3.3. Estrategia de investigación</w:t>
      </w:r>
    </w:p>
    <w:p w14:paraId="47B53B51" w14:textId="77777777" w:rsidR="00A54170" w:rsidRPr="00A54170" w:rsidRDefault="00A54170" w:rsidP="00243175">
      <w:pPr>
        <w:pStyle w:val="NormalWeb"/>
        <w:spacing w:before="0" w:beforeAutospacing="0" w:after="0" w:afterAutospacing="0" w:line="480" w:lineRule="auto"/>
      </w:pPr>
      <w:r w:rsidRPr="00A54170">
        <w:t xml:space="preserve">Se adoptó un diseño de estudio de caso instrumental </w:t>
      </w:r>
      <w:r w:rsidRPr="00C54FBE">
        <w:t>(</w:t>
      </w:r>
      <w:proofErr w:type="spellStart"/>
      <w:r w:rsidRPr="00C54FBE">
        <w:t>Stake</w:t>
      </w:r>
      <w:proofErr w:type="spellEnd"/>
      <w:r w:rsidRPr="00C54FBE">
        <w:t>, 1995),</w:t>
      </w:r>
      <w:r w:rsidRPr="00A54170">
        <w:t xml:space="preserve"> pertinente para investigaciones orientadas a comprender y transformar procesos organizacionales en contextos reales. El estudio de caso permitió analizar el fenómeno de la formación automatizada manteniendo la unidad del sistema social estudiado y preservando sus condiciones contextuales naturales (Yin, 2018).</w:t>
      </w:r>
    </w:p>
    <w:p w14:paraId="0EB175EF" w14:textId="04DB60E3" w:rsidR="00A54170" w:rsidRDefault="00A54170" w:rsidP="00243175">
      <w:pPr>
        <w:pStyle w:val="NormalWeb"/>
        <w:spacing w:before="0" w:beforeAutospacing="0" w:after="0" w:afterAutospacing="0" w:line="480" w:lineRule="auto"/>
      </w:pPr>
      <w:r w:rsidRPr="00A54170">
        <w:t xml:space="preserve">La unidad de análisis correspondió al área de Documentación de Car </w:t>
      </w:r>
      <w:proofErr w:type="spellStart"/>
      <w:r w:rsidRPr="00A54170">
        <w:t>Freight</w:t>
      </w:r>
      <w:proofErr w:type="spellEnd"/>
      <w:r w:rsidRPr="00A54170">
        <w:t xml:space="preserve"> </w:t>
      </w:r>
      <w:proofErr w:type="spellStart"/>
      <w:r w:rsidRPr="00A54170">
        <w:t>Shipping</w:t>
      </w:r>
      <w:proofErr w:type="spellEnd"/>
      <w:r w:rsidRPr="00A54170">
        <w:t xml:space="preserve"> Company, seleccionada por presentar una brecha documentada entre los procesos formativos disponibles y el nivel de desempeño operativo requerido en un entorno de alta complejidad normativa.</w:t>
      </w:r>
    </w:p>
    <w:p w14:paraId="6F209FBB" w14:textId="519CBCC6" w:rsidR="003930E4" w:rsidRDefault="003930E4" w:rsidP="00243175">
      <w:pPr>
        <w:pStyle w:val="NormalWeb"/>
        <w:spacing w:before="0" w:beforeAutospacing="0" w:after="0" w:afterAutospacing="0" w:line="480" w:lineRule="auto"/>
      </w:pPr>
    </w:p>
    <w:p w14:paraId="0502CAE1" w14:textId="77777777" w:rsidR="003930E4" w:rsidRPr="00A54170" w:rsidRDefault="003930E4" w:rsidP="00243175">
      <w:pPr>
        <w:pStyle w:val="NormalWeb"/>
        <w:spacing w:before="0" w:beforeAutospacing="0" w:after="0" w:afterAutospacing="0" w:line="480" w:lineRule="auto"/>
      </w:pPr>
    </w:p>
    <w:p w14:paraId="08481E2A" w14:textId="6375FCE7" w:rsidR="00A54170" w:rsidRPr="00A54170" w:rsidRDefault="00A54170" w:rsidP="00243175">
      <w:pPr>
        <w:pStyle w:val="Ttulo3"/>
      </w:pPr>
      <w:r w:rsidRPr="00A54170">
        <w:lastRenderedPageBreak/>
        <w:t>3.4. Participantes y muestreo</w:t>
      </w:r>
    </w:p>
    <w:p w14:paraId="51B9E316" w14:textId="46E660E5" w:rsidR="00A54170" w:rsidRPr="00A54170" w:rsidRDefault="00A54170" w:rsidP="00243175">
      <w:pPr>
        <w:pStyle w:val="NormalWeb"/>
        <w:spacing w:before="0" w:beforeAutospacing="0" w:after="0" w:afterAutospacing="0" w:line="480" w:lineRule="auto"/>
      </w:pPr>
      <w:r w:rsidRPr="00A54170">
        <w:t xml:space="preserve">La selección de participantes se realizó mediante muestreo intencional, orientado a incluir actores con exposición directa al fenómeno de estudio. La muestra final estuvo compuesta por ocho participantes distribuidos en tres niveles organizacionales. El primer nivel correspondió a la CEO de la compañía, responsable de la asignación estratégica de recursos formativos. El segundo nivel incluyó a la Manager Comercial, supervisora de indicadores de eficiencia operativa y satisfacción del cliente. El tercer nivel estuvo conformado por seis colaboradores del área de </w:t>
      </w:r>
      <w:r w:rsidR="00252FC6">
        <w:t>d</w:t>
      </w:r>
      <w:r w:rsidRPr="00A54170">
        <w:t>ocumentación con una antigüedad inferior a doce meses al momento de la recolección de los datos (octubre de 2025).</w:t>
      </w:r>
    </w:p>
    <w:p w14:paraId="634994D0" w14:textId="77777777" w:rsidR="00A54170" w:rsidRPr="00A54170" w:rsidRDefault="00A54170" w:rsidP="00243175">
      <w:pPr>
        <w:pStyle w:val="NormalWeb"/>
        <w:spacing w:before="0" w:beforeAutospacing="0" w:after="0" w:afterAutospacing="0" w:line="480" w:lineRule="auto"/>
      </w:pPr>
      <w:r w:rsidRPr="00A54170">
        <w:t>Este grupo operativo constituyó la totalidad de los empleados que cumplían dicho criterio en la empresa durante el periodo de estudio, por lo que la selección fue exhaustiva y no implicó la exclusión de ningún caso elegible.</w:t>
      </w:r>
    </w:p>
    <w:p w14:paraId="18DED6E4" w14:textId="2D1A5279" w:rsidR="00A54170" w:rsidRPr="00A54170" w:rsidRDefault="00A54170" w:rsidP="00243175">
      <w:pPr>
        <w:pStyle w:val="NormalWeb"/>
        <w:spacing w:before="0" w:beforeAutospacing="0" w:after="0" w:afterAutospacing="0" w:line="480" w:lineRule="auto"/>
      </w:pPr>
      <w:r w:rsidRPr="00A54170">
        <w:t xml:space="preserve">La muestra fue diseñada para capturar la heterogeneidad estructural del fenómeno: la inclusión de tres niveles jerárquicos y tres sedes geográficas (Miami, San Juan y Manizales) permitió construir una comprensión </w:t>
      </w:r>
      <w:r w:rsidR="00252FC6" w:rsidRPr="00252FC6">
        <w:t>desde múltiples perspectivas</w:t>
      </w:r>
      <w:r w:rsidRPr="00A54170">
        <w:t xml:space="preserve"> de las tensiones entre automatización formativa y aprendizaje situado desde posiciones organizacionales con acceso diferencial al fenómeno. Ninguna de estas perspectivas, considerada de manera aislada, habría permitido comprender el fenómeno con la profundidad lograda por su articulación conjunta.</w:t>
      </w:r>
    </w:p>
    <w:p w14:paraId="787EBF71" w14:textId="79FC0A3A" w:rsidR="00A54170" w:rsidRPr="00C54FBE" w:rsidRDefault="00A54170" w:rsidP="00243175">
      <w:pPr>
        <w:pStyle w:val="NormalWeb"/>
        <w:spacing w:before="0" w:beforeAutospacing="0" w:after="0" w:afterAutospacing="0" w:line="480" w:lineRule="auto"/>
      </w:pPr>
      <w:r w:rsidRPr="00A54170">
        <w:t>El análisis temático reflexivo no se guio por el criterio de saturación de datos</w:t>
      </w:r>
      <w:r w:rsidR="00743DA2">
        <w:t xml:space="preserve"> </w:t>
      </w:r>
      <w:r w:rsidRPr="00A54170">
        <w:t xml:space="preserve">propio de la Teoría Fundamentada </w:t>
      </w:r>
      <w:r w:rsidRPr="00C54FBE">
        <w:t>(Glaser &amp; Strauss, 1967)</w:t>
      </w:r>
      <w:r w:rsidRPr="00A54170">
        <w:t xml:space="preserve">, sino por el criterio de suficiencia interpretativa, entendido como la adecuación del </w:t>
      </w:r>
      <w:r w:rsidR="00252FC6" w:rsidRPr="00252FC6">
        <w:t>material recopilado</w:t>
      </w:r>
      <w:r w:rsidRPr="00A54170">
        <w:t xml:space="preserve"> para generar un análisis temático denso y matizado (Braun &amp; Clarke, 2022). Desde esta perspectiva, el número de participantes resultó secundario frente a la diversidad y riqueza de las experiencias recogidas.</w:t>
      </w:r>
    </w:p>
    <w:p w14:paraId="743B4291" w14:textId="77777777" w:rsidR="000D5D3C" w:rsidRPr="000D5D3C" w:rsidRDefault="000D5D3C" w:rsidP="00243175">
      <w:pPr>
        <w:pStyle w:val="Ttulo3"/>
      </w:pPr>
      <w:r w:rsidRPr="000D5D3C">
        <w:lastRenderedPageBreak/>
        <w:t>3.5. Procedimiento de obtención de datos</w:t>
      </w:r>
    </w:p>
    <w:p w14:paraId="20759C27" w14:textId="073208BB" w:rsidR="000D5D3C" w:rsidRPr="000D5D3C" w:rsidRDefault="000D5D3C" w:rsidP="00243175">
      <w:pPr>
        <w:pStyle w:val="Ttulo3"/>
      </w:pPr>
      <w:r w:rsidRPr="000D5D3C">
        <w:t>3.5.1. Recolección de información primaria</w:t>
      </w:r>
    </w:p>
    <w:p w14:paraId="5AF45829" w14:textId="77777777" w:rsidR="000D5D3C" w:rsidRPr="000D5D3C" w:rsidRDefault="000D5D3C" w:rsidP="00243175">
      <w:pPr>
        <w:spacing w:after="0"/>
        <w:rPr>
          <w:rFonts w:eastAsia="Times New Roman" w:cs="Times New Roman"/>
          <w:szCs w:val="24"/>
        </w:rPr>
      </w:pPr>
      <w:r w:rsidRPr="000D5D3C">
        <w:rPr>
          <w:rFonts w:eastAsia="Times New Roman" w:cs="Times New Roman"/>
          <w:szCs w:val="24"/>
        </w:rPr>
        <w:t>El procedimiento de recolección de información se desarrolló entre el 6 y el 17 de octubre de 2025, periodo seleccionado por corresponder a una fase de relativa estabilidad operativa posterior a la temporada alta de envíos. Durante este intervalo se aplicaron entrevistas semiestructuradas a actores clave de la organización, incluyendo la CEO, la Manager Comercial y los colaboradores del área de Documentación.</w:t>
      </w:r>
    </w:p>
    <w:p w14:paraId="6AE70E7C" w14:textId="75B23537" w:rsidR="000D5D3C" w:rsidRPr="000D5D3C" w:rsidRDefault="000D5D3C" w:rsidP="00243175">
      <w:pPr>
        <w:spacing w:after="0"/>
        <w:rPr>
          <w:rFonts w:eastAsia="Times New Roman" w:cs="Times New Roman"/>
          <w:szCs w:val="24"/>
        </w:rPr>
      </w:pPr>
      <w:r w:rsidRPr="000D5D3C">
        <w:rPr>
          <w:rFonts w:eastAsia="Times New Roman" w:cs="Times New Roman"/>
          <w:szCs w:val="24"/>
        </w:rPr>
        <w:t>Resultó necesario explicitar una consideración metodológica relevante en relación con la diferencia temporal entre el periodo de recolección de datos (octubre de 2025) y el periodo de análisis declarado del estudio (enero–diciembre de 2024). Las entrevistas recogieron percepciones retrospectivas sobre experiencias formativas y operativas vividas durante 2024, bajo el supuesto de que las condiciones estructurales que originaron las tensiones analizadas</w:t>
      </w:r>
      <w:r w:rsidR="00743DA2">
        <w:rPr>
          <w:rFonts w:eastAsia="Times New Roman" w:cs="Times New Roman"/>
          <w:szCs w:val="24"/>
        </w:rPr>
        <w:t xml:space="preserve"> </w:t>
      </w:r>
      <w:r w:rsidRPr="000D5D3C">
        <w:rPr>
          <w:rFonts w:eastAsia="Times New Roman" w:cs="Times New Roman"/>
          <w:szCs w:val="24"/>
        </w:rPr>
        <w:t>tales como la ausencia de estandarización formativa, la brecha de andamiaje y la volatilidad normativa</w:t>
      </w:r>
      <w:r w:rsidR="00743DA2">
        <w:rPr>
          <w:rFonts w:eastAsia="Times New Roman" w:cs="Times New Roman"/>
          <w:szCs w:val="24"/>
        </w:rPr>
        <w:t xml:space="preserve"> </w:t>
      </w:r>
      <w:r w:rsidRPr="000D5D3C">
        <w:rPr>
          <w:rFonts w:eastAsia="Times New Roman" w:cs="Times New Roman"/>
          <w:szCs w:val="24"/>
        </w:rPr>
        <w:t>se mantuvieron suficientemente estables como para ser reconstruidas mediante el relato retrospectivo, a pesar de una distancia temporal de entre diez y veintidós meses.</w:t>
      </w:r>
    </w:p>
    <w:p w14:paraId="3D2392F9" w14:textId="572DD023" w:rsidR="000D5D3C" w:rsidRDefault="000D5D3C" w:rsidP="00243175">
      <w:pPr>
        <w:spacing w:after="0"/>
        <w:rPr>
          <w:rFonts w:eastAsia="Times New Roman" w:cs="Times New Roman"/>
          <w:szCs w:val="24"/>
        </w:rPr>
      </w:pPr>
      <w:r w:rsidRPr="000D5D3C">
        <w:rPr>
          <w:rFonts w:eastAsia="Times New Roman" w:cs="Times New Roman"/>
          <w:szCs w:val="24"/>
        </w:rPr>
        <w:t xml:space="preserve">Este supuesto fue metodológicamente aceptable en diseños cualitativos de estudio de caso cuando el fenómeno analizado fue de naturaleza estructural y no episódica (Yin, 2018). No obstante, se reconoció el riesgo de sesgo retrospectivo, en tanto los participantes pudieron reinterpretar sus experiencias pasadas a la luz de sus condiciones actuales. Para mitigar este riesgo, las entrevistas incorporaron preguntas ancladas en eventos específicos y verificables (por ejemplo, “¿recuerda algún caso concreto de error en un envío </w:t>
      </w:r>
      <w:proofErr w:type="spellStart"/>
      <w:r w:rsidRPr="000D5D3C">
        <w:rPr>
          <w:rFonts w:eastAsia="Times New Roman" w:cs="Times New Roman"/>
          <w:szCs w:val="24"/>
        </w:rPr>
        <w:t>overseas</w:t>
      </w:r>
      <w:proofErr w:type="spellEnd"/>
      <w:r w:rsidRPr="000D5D3C">
        <w:rPr>
          <w:rFonts w:eastAsia="Times New Roman" w:cs="Times New Roman"/>
          <w:szCs w:val="24"/>
        </w:rPr>
        <w:t xml:space="preserve"> durante su primer mes?”), privilegiando el relato de incidentes críticos sobre valoraciones generalizadas. Esta estrategia resultó coherente con los principios de la técnica de entrevista de incidente crítico (Flanagan, 1954), implícitamente adoptada en el protocolo de entrevista del presente estudio.</w:t>
      </w:r>
    </w:p>
    <w:p w14:paraId="1396A39D" w14:textId="77777777" w:rsidR="003930E4" w:rsidRPr="000D5D3C" w:rsidRDefault="003930E4" w:rsidP="00243175">
      <w:pPr>
        <w:spacing w:after="0"/>
        <w:rPr>
          <w:rFonts w:eastAsia="Times New Roman" w:cs="Times New Roman"/>
          <w:szCs w:val="24"/>
        </w:rPr>
      </w:pPr>
    </w:p>
    <w:p w14:paraId="1FE91D6C" w14:textId="6B12F2F6" w:rsidR="000D5D3C" w:rsidRPr="000D5D3C" w:rsidRDefault="000D5D3C" w:rsidP="00243175">
      <w:pPr>
        <w:pStyle w:val="Ttulo3"/>
      </w:pPr>
      <w:r w:rsidRPr="000D5D3C">
        <w:t>3.5.2. Consideraciones éticas y mitigación de sesgos</w:t>
      </w:r>
    </w:p>
    <w:p w14:paraId="4D1A7C0B" w14:textId="77777777" w:rsidR="000D5D3C" w:rsidRPr="000D5D3C" w:rsidRDefault="000D5D3C" w:rsidP="00243175">
      <w:pPr>
        <w:spacing w:after="0"/>
        <w:rPr>
          <w:rFonts w:eastAsia="Times New Roman" w:cs="Times New Roman"/>
          <w:szCs w:val="24"/>
        </w:rPr>
      </w:pPr>
      <w:r w:rsidRPr="000D5D3C">
        <w:rPr>
          <w:rFonts w:eastAsia="Times New Roman" w:cs="Times New Roman"/>
          <w:szCs w:val="24"/>
        </w:rPr>
        <w:t xml:space="preserve">Previo al inicio de la recolección de datos, se obtuvo consentimiento informado escrito de todos los participantes. Dicho consentimiento explicitó: (a) el carácter académico y confidencial de la investigación; (b) la independencia del estudio respecto de cualquier proceso de evaluación del desempeño laboral; (c) el derecho de los participantes a retirarse de la investigación en </w:t>
      </w:r>
      <w:r w:rsidRPr="000D5D3C">
        <w:rPr>
          <w:rFonts w:eastAsia="Times New Roman" w:cs="Times New Roman"/>
          <w:szCs w:val="24"/>
        </w:rPr>
        <w:lastRenderedPageBreak/>
        <w:t xml:space="preserve">cualquier momento sin consecuencias; y (d) los procedimientos de </w:t>
      </w:r>
      <w:proofErr w:type="spellStart"/>
      <w:r w:rsidRPr="000D5D3C">
        <w:rPr>
          <w:rFonts w:eastAsia="Times New Roman" w:cs="Times New Roman"/>
          <w:szCs w:val="24"/>
        </w:rPr>
        <w:t>anonimización</w:t>
      </w:r>
      <w:proofErr w:type="spellEnd"/>
      <w:r w:rsidRPr="000D5D3C">
        <w:rPr>
          <w:rFonts w:eastAsia="Times New Roman" w:cs="Times New Roman"/>
          <w:szCs w:val="24"/>
        </w:rPr>
        <w:t xml:space="preserve"> y almacenamiento seguro de la información recopilada.</w:t>
      </w:r>
    </w:p>
    <w:p w14:paraId="0C159A99" w14:textId="77777777" w:rsidR="000D5D3C" w:rsidRPr="000D5D3C" w:rsidRDefault="000D5D3C" w:rsidP="00243175">
      <w:pPr>
        <w:spacing w:after="0"/>
        <w:rPr>
          <w:rFonts w:eastAsia="Times New Roman" w:cs="Times New Roman"/>
          <w:szCs w:val="24"/>
        </w:rPr>
      </w:pPr>
      <w:r w:rsidRPr="000D5D3C">
        <w:rPr>
          <w:rFonts w:eastAsia="Times New Roman" w:cs="Times New Roman"/>
          <w:szCs w:val="24"/>
        </w:rPr>
        <w:t>Con el propósito de mitigar sesgos inherentes a la investigación cualitativa, las entrevistas se realizaron en entornos privados, fueron grabadas en audio con consentimiento explícito y posteriormente transcritas de manera literal, con el fin de preservar la fidelidad de los discursos y minimizar interpretaciones mediadas por la memoria o el resumen selectivo de la investigadora.</w:t>
      </w:r>
    </w:p>
    <w:p w14:paraId="19D5D25C" w14:textId="1D16F62D" w:rsidR="000D5D3C" w:rsidRPr="000D5D3C" w:rsidRDefault="000D5D3C" w:rsidP="00243175">
      <w:pPr>
        <w:pStyle w:val="Ttulo3"/>
      </w:pPr>
      <w:r w:rsidRPr="000D5D3C">
        <w:t>3.5.3. Sistematización de la información</w:t>
      </w:r>
    </w:p>
    <w:p w14:paraId="3AF3DEBA" w14:textId="77777777" w:rsidR="000D5D3C" w:rsidRPr="000D5D3C" w:rsidRDefault="000D5D3C" w:rsidP="00243175">
      <w:pPr>
        <w:spacing w:after="0"/>
        <w:rPr>
          <w:rFonts w:eastAsia="Times New Roman" w:cs="Times New Roman"/>
          <w:szCs w:val="24"/>
        </w:rPr>
      </w:pPr>
      <w:r w:rsidRPr="000D5D3C">
        <w:rPr>
          <w:rFonts w:eastAsia="Times New Roman" w:cs="Times New Roman"/>
          <w:szCs w:val="24"/>
        </w:rPr>
        <w:t>Las transcripciones literales de las ocho entrevistas fueron organizadas inicialmente en documentos de texto individuales, identificados mediante el código del participante (CEO, MGR, E1–E6) y fechados cronológicamente. Para facilitar el análisis detallado, estas transcripciones fueron posteriormente sistematizadas mediante el uso de hojas de cálculo.</w:t>
      </w:r>
    </w:p>
    <w:p w14:paraId="38B44E1A" w14:textId="77777777" w:rsidR="000D5D3C" w:rsidRPr="000D5D3C" w:rsidRDefault="000D5D3C" w:rsidP="00243175">
      <w:pPr>
        <w:spacing w:after="0"/>
        <w:rPr>
          <w:rFonts w:eastAsia="Times New Roman" w:cs="Times New Roman"/>
          <w:szCs w:val="24"/>
        </w:rPr>
      </w:pPr>
      <w:r w:rsidRPr="000D5D3C">
        <w:rPr>
          <w:rFonts w:eastAsia="Times New Roman" w:cs="Times New Roman"/>
          <w:szCs w:val="24"/>
        </w:rPr>
        <w:t>Microsoft Excel fue empleado como herramienta de organización matricial en la fase inicial de sistematización. En este esquema, cada fila correspondió a un segmento de texto o unidad de significado, mientras que las columnas registraron el código del participante, la pregunta del protocolo asociada, el texto literal del segmento y el código temático asignado durante la primera ronda de análisis. Esta herramienta fue seleccionada tanto por su accesibilidad en el contexto organizacional como por su capacidad para permitir la visualización simultánea de segmentos procedentes de múltiples participantes, facilitando la identificación de patrones de convergencia y divergencia.</w:t>
      </w:r>
    </w:p>
    <w:p w14:paraId="7856CF43" w14:textId="272AC8FE" w:rsidR="00C54FBE" w:rsidRPr="000D5D3C" w:rsidRDefault="000D5D3C" w:rsidP="003930E4">
      <w:pPr>
        <w:spacing w:after="0"/>
        <w:rPr>
          <w:rFonts w:eastAsia="Times New Roman" w:cs="Times New Roman"/>
          <w:szCs w:val="24"/>
        </w:rPr>
      </w:pPr>
      <w:r w:rsidRPr="000D5D3C">
        <w:rPr>
          <w:rFonts w:eastAsia="Times New Roman" w:cs="Times New Roman"/>
          <w:szCs w:val="24"/>
        </w:rPr>
        <w:t>El proceso analítico posterior se desarrolló siguiendo las seis fases del Análisis Temático Reflexivo (ATR).</w:t>
      </w:r>
    </w:p>
    <w:p w14:paraId="71EBC1CF" w14:textId="148BEBA8" w:rsidR="000D5D3C" w:rsidRPr="000D5D3C" w:rsidRDefault="000D5D3C" w:rsidP="00243175">
      <w:pPr>
        <w:pStyle w:val="Ttulo3"/>
      </w:pPr>
      <w:r w:rsidRPr="000D5D3C">
        <w:t>3.5.4. Fuentes documentales de triangulación</w:t>
      </w:r>
    </w:p>
    <w:p w14:paraId="7C771C2E" w14:textId="1CBE8ED3" w:rsidR="000D5D3C" w:rsidRPr="000D5D3C" w:rsidRDefault="000D5D3C" w:rsidP="00243175">
      <w:pPr>
        <w:spacing w:after="0"/>
        <w:rPr>
          <w:rFonts w:eastAsia="Times New Roman" w:cs="Times New Roman"/>
          <w:szCs w:val="24"/>
        </w:rPr>
      </w:pPr>
      <w:r w:rsidRPr="000D5D3C">
        <w:rPr>
          <w:rFonts w:eastAsia="Times New Roman" w:cs="Times New Roman"/>
          <w:szCs w:val="24"/>
        </w:rPr>
        <w:t xml:space="preserve">Con el objetivo de fortalecer la densidad probatoria del estudio y reducir la dependencia exclusiva de las percepciones declaradas por los participantes, se recurrió a fuentes documentales internas de Car </w:t>
      </w:r>
      <w:proofErr w:type="spellStart"/>
      <w:r w:rsidRPr="000D5D3C">
        <w:rPr>
          <w:rFonts w:eastAsia="Times New Roman" w:cs="Times New Roman"/>
          <w:szCs w:val="24"/>
        </w:rPr>
        <w:t>Freight</w:t>
      </w:r>
      <w:proofErr w:type="spellEnd"/>
      <w:r w:rsidRPr="000D5D3C">
        <w:rPr>
          <w:rFonts w:eastAsia="Times New Roman" w:cs="Times New Roman"/>
          <w:szCs w:val="24"/>
        </w:rPr>
        <w:t xml:space="preserve"> </w:t>
      </w:r>
      <w:proofErr w:type="spellStart"/>
      <w:r w:rsidRPr="000D5D3C">
        <w:rPr>
          <w:rFonts w:eastAsia="Times New Roman" w:cs="Times New Roman"/>
          <w:szCs w:val="24"/>
        </w:rPr>
        <w:t>Shipping</w:t>
      </w:r>
      <w:proofErr w:type="spellEnd"/>
      <w:r w:rsidRPr="000D5D3C">
        <w:rPr>
          <w:rFonts w:eastAsia="Times New Roman" w:cs="Times New Roman"/>
          <w:szCs w:val="24"/>
        </w:rPr>
        <w:t xml:space="preserve"> Company como evidencia secundaria de triangulación. Los documentos consultados incluyeron: (a) el material de inducción utilizado durante el periodo de análisis</w:t>
      </w:r>
      <w:r w:rsidR="00743DA2">
        <w:rPr>
          <w:rFonts w:eastAsia="Times New Roman" w:cs="Times New Roman"/>
          <w:szCs w:val="24"/>
        </w:rPr>
        <w:t xml:space="preserve"> </w:t>
      </w:r>
      <w:r w:rsidRPr="000D5D3C">
        <w:rPr>
          <w:rFonts w:eastAsia="Times New Roman" w:cs="Times New Roman"/>
          <w:szCs w:val="24"/>
        </w:rPr>
        <w:t>principalmente presentaciones en formato PDF entregadas a los nuevos empleados durante su primer mes</w:t>
      </w:r>
      <w:r w:rsidR="00743DA2">
        <w:rPr>
          <w:rFonts w:eastAsia="Times New Roman" w:cs="Times New Roman"/>
          <w:szCs w:val="24"/>
        </w:rPr>
        <w:t xml:space="preserve"> </w:t>
      </w:r>
      <w:r w:rsidRPr="000D5D3C">
        <w:rPr>
          <w:rFonts w:eastAsia="Times New Roman" w:cs="Times New Roman"/>
          <w:szCs w:val="24"/>
        </w:rPr>
        <w:t xml:space="preserve">, y (b) los registros de reprocesos del área de Operaciones correspondientes al periodo enero–diciembre de 2024, empleados para sustentar el uso del indicador del 23 % de reprocesos en embarques </w:t>
      </w:r>
      <w:proofErr w:type="spellStart"/>
      <w:r w:rsidRPr="000D5D3C">
        <w:rPr>
          <w:rFonts w:eastAsia="Times New Roman" w:cs="Times New Roman"/>
          <w:szCs w:val="24"/>
        </w:rPr>
        <w:t>overseas</w:t>
      </w:r>
      <w:proofErr w:type="spellEnd"/>
      <w:r w:rsidRPr="000D5D3C">
        <w:rPr>
          <w:rFonts w:eastAsia="Times New Roman" w:cs="Times New Roman"/>
          <w:szCs w:val="24"/>
        </w:rPr>
        <w:t xml:space="preserve"> como dato contextual (Car </w:t>
      </w:r>
      <w:proofErr w:type="spellStart"/>
      <w:r w:rsidRPr="000D5D3C">
        <w:rPr>
          <w:rFonts w:eastAsia="Times New Roman" w:cs="Times New Roman"/>
          <w:szCs w:val="24"/>
        </w:rPr>
        <w:t>Freight</w:t>
      </w:r>
      <w:proofErr w:type="spellEnd"/>
      <w:r w:rsidRPr="000D5D3C">
        <w:rPr>
          <w:rFonts w:eastAsia="Times New Roman" w:cs="Times New Roman"/>
          <w:szCs w:val="24"/>
        </w:rPr>
        <w:t xml:space="preserve"> </w:t>
      </w:r>
      <w:proofErr w:type="spellStart"/>
      <w:r w:rsidRPr="000D5D3C">
        <w:rPr>
          <w:rFonts w:eastAsia="Times New Roman" w:cs="Times New Roman"/>
          <w:szCs w:val="24"/>
        </w:rPr>
        <w:t>Shipping</w:t>
      </w:r>
      <w:proofErr w:type="spellEnd"/>
      <w:r w:rsidRPr="000D5D3C">
        <w:rPr>
          <w:rFonts w:eastAsia="Times New Roman" w:cs="Times New Roman"/>
          <w:szCs w:val="24"/>
        </w:rPr>
        <w:t xml:space="preserve"> Company, Área de Operaciones, 2024).</w:t>
      </w:r>
    </w:p>
    <w:p w14:paraId="008105D4" w14:textId="77777777" w:rsidR="000D5D3C" w:rsidRPr="000D5D3C" w:rsidRDefault="000D5D3C" w:rsidP="00243175">
      <w:pPr>
        <w:spacing w:after="0"/>
        <w:rPr>
          <w:rFonts w:eastAsia="Times New Roman" w:cs="Times New Roman"/>
          <w:szCs w:val="24"/>
        </w:rPr>
      </w:pPr>
      <w:r w:rsidRPr="000D5D3C">
        <w:rPr>
          <w:rFonts w:eastAsia="Times New Roman" w:cs="Times New Roman"/>
          <w:szCs w:val="24"/>
        </w:rPr>
        <w:lastRenderedPageBreak/>
        <w:t>El acceso a estos documentos fue autorizado por la CEO en el marco del consentimiento institucional obtenido previamente. Por razones de confidencialidad comercial, los documentos no fueron incluidos como anexos; no obstante, su contenido fue sistematizado en matrices de análisis documental que complementaron la interpretación de los datos de entrevista. No fue posible incorporar observación directa de los procesos operativos debido a las restricciones de acceso a las sedes de Miami y San Juan, que operaron en modalidad remota con respecto a la investigadora. Esta limitación fue reconocida como una restricción del diseño metodológico, susceptible de ser abordada en investigaciones futuras mediante observación etnográfica de las prácticas de trabajo mediadas por el LMS.</w:t>
      </w:r>
    </w:p>
    <w:p w14:paraId="748B3EA7" w14:textId="6D5C492F" w:rsidR="000D5D3C" w:rsidRPr="000D5D3C" w:rsidRDefault="000D5D3C" w:rsidP="00243175">
      <w:pPr>
        <w:pStyle w:val="Ttulo3"/>
      </w:pPr>
      <w:r w:rsidRPr="000D5D3C">
        <w:t>3.6. Procedimiento de análisis de datos</w:t>
      </w:r>
    </w:p>
    <w:p w14:paraId="1CEF7798" w14:textId="77777777" w:rsidR="000D5D3C" w:rsidRPr="000D5D3C" w:rsidRDefault="000D5D3C" w:rsidP="00243175">
      <w:pPr>
        <w:spacing w:after="0"/>
        <w:rPr>
          <w:rFonts w:eastAsia="Times New Roman" w:cs="Times New Roman"/>
          <w:szCs w:val="24"/>
        </w:rPr>
      </w:pPr>
      <w:r w:rsidRPr="000D5D3C">
        <w:rPr>
          <w:rFonts w:eastAsia="Times New Roman" w:cs="Times New Roman"/>
          <w:szCs w:val="24"/>
        </w:rPr>
        <w:t>El análisis de los datos se desarrolló siguiendo el protocolo del Análisis Temático Reflexivo propuesto por Braun y Clarke (2006, 2022), estructurado en seis fases secuenciales.</w:t>
      </w:r>
    </w:p>
    <w:p w14:paraId="29CBBD7D" w14:textId="77777777" w:rsidR="000D5D3C" w:rsidRPr="000D5D3C" w:rsidRDefault="000D5D3C" w:rsidP="00243175">
      <w:pPr>
        <w:spacing w:after="0"/>
        <w:rPr>
          <w:rFonts w:eastAsia="Times New Roman" w:cs="Times New Roman"/>
          <w:szCs w:val="24"/>
        </w:rPr>
      </w:pPr>
      <w:r w:rsidRPr="000D5D3C">
        <w:rPr>
          <w:rFonts w:eastAsia="Times New Roman" w:cs="Times New Roman"/>
          <w:szCs w:val="24"/>
        </w:rPr>
        <w:t>En la Fase 1, de familiarización con los datos, las ocho transcripciones fueron leídas de manera completa en dos rondas consecutivas, registrándose notas iniciales sobre ideas, patrones recurrentes y aspectos llamativos. Esta fase permitió una inmersión profunda en el corpus previo a cualquier proceso formal de categorización.</w:t>
      </w:r>
    </w:p>
    <w:p w14:paraId="083131E4" w14:textId="77777777" w:rsidR="000D5D3C" w:rsidRPr="000D5D3C" w:rsidRDefault="000D5D3C" w:rsidP="00243175">
      <w:pPr>
        <w:spacing w:after="0"/>
        <w:rPr>
          <w:rFonts w:eastAsia="Times New Roman" w:cs="Times New Roman"/>
          <w:szCs w:val="24"/>
        </w:rPr>
      </w:pPr>
      <w:r w:rsidRPr="000D5D3C">
        <w:rPr>
          <w:rFonts w:eastAsia="Times New Roman" w:cs="Times New Roman"/>
          <w:szCs w:val="24"/>
        </w:rPr>
        <w:t>En la Fase 2, de generación de códigos iniciales, cada segmento de texto considerado significativo fue etiquetado con un código descriptivo (por ejemplo, “espera por experto”, “error en título de propiedad”, “resistencia a plataforma” o “aprendizaje por ensayo y error”). La codificación se realizó de forma inductiva, permitiendo que los códigos emergieran directamente de los datos antes de ser contrastados con el marco analítico DTM‑CF.</w:t>
      </w:r>
    </w:p>
    <w:p w14:paraId="6253A442" w14:textId="12524486" w:rsidR="000D5D3C" w:rsidRPr="000D5D3C" w:rsidRDefault="000D5D3C" w:rsidP="00243175">
      <w:pPr>
        <w:spacing w:after="0"/>
        <w:rPr>
          <w:rFonts w:eastAsia="Times New Roman" w:cs="Times New Roman"/>
          <w:szCs w:val="24"/>
        </w:rPr>
      </w:pPr>
      <w:r w:rsidRPr="000D5D3C">
        <w:rPr>
          <w:rFonts w:eastAsia="Times New Roman" w:cs="Times New Roman"/>
          <w:szCs w:val="24"/>
        </w:rPr>
        <w:t xml:space="preserve">En la Fase 3, de construcción de temas, los códigos iniciales fueron agrupados en temas preliminares según su afinidad semántica y funcional. </w:t>
      </w:r>
    </w:p>
    <w:p w14:paraId="3DD16D2A" w14:textId="77777777" w:rsidR="000D5D3C" w:rsidRPr="000D5D3C" w:rsidRDefault="000D5D3C" w:rsidP="00243175">
      <w:pPr>
        <w:spacing w:after="0"/>
        <w:rPr>
          <w:rFonts w:eastAsia="Times New Roman" w:cs="Times New Roman"/>
          <w:szCs w:val="24"/>
        </w:rPr>
      </w:pPr>
      <w:r w:rsidRPr="000D5D3C">
        <w:rPr>
          <w:rFonts w:eastAsia="Times New Roman" w:cs="Times New Roman"/>
          <w:szCs w:val="24"/>
        </w:rPr>
        <w:t>En la Fase 4, de revisión de temas, los temas preliminares fueron evaluados atendiendo a su coherencia interna y a su diferenciación externa. En esta etapa, algunos temas fueron fusionados, redefinidos o subdivididos para mejorar su consistencia analítica.</w:t>
      </w:r>
    </w:p>
    <w:p w14:paraId="2655C165" w14:textId="791B7256" w:rsidR="000D5D3C" w:rsidRPr="000D5D3C" w:rsidRDefault="000D5D3C" w:rsidP="00243175">
      <w:pPr>
        <w:spacing w:after="0"/>
        <w:rPr>
          <w:rFonts w:eastAsia="Times New Roman" w:cs="Times New Roman"/>
          <w:szCs w:val="24"/>
        </w:rPr>
      </w:pPr>
      <w:r w:rsidRPr="000D5D3C">
        <w:rPr>
          <w:rFonts w:eastAsia="Times New Roman" w:cs="Times New Roman"/>
          <w:szCs w:val="24"/>
        </w:rPr>
        <w:t>En la Fase 5, de definición y nominación de temas, cada tema final fue denominado mediante una etiqueta que capturó su esencia conceptual y fue definido a través de una descripción breve que delimitó su alcance interpretativo.</w:t>
      </w:r>
    </w:p>
    <w:p w14:paraId="42E91110" w14:textId="2CFE4D25" w:rsidR="000D5D3C" w:rsidRPr="000D5D3C" w:rsidRDefault="000D5D3C" w:rsidP="00243175">
      <w:pPr>
        <w:spacing w:after="0"/>
        <w:rPr>
          <w:rFonts w:eastAsia="Times New Roman" w:cs="Times New Roman"/>
          <w:szCs w:val="24"/>
        </w:rPr>
      </w:pPr>
      <w:r w:rsidRPr="000D5D3C">
        <w:rPr>
          <w:rFonts w:eastAsia="Times New Roman" w:cs="Times New Roman"/>
          <w:szCs w:val="24"/>
        </w:rPr>
        <w:lastRenderedPageBreak/>
        <w:t xml:space="preserve">Finalmente, en la Fase 6, de producción del informe, los temas definitivos fueron articulados con fragmentos textuales representativos y contrastados con el marco DTM‑CF, dando lugar al análisis presentado en la Sección 4. </w:t>
      </w:r>
    </w:p>
    <w:p w14:paraId="7E164302" w14:textId="75ACB6D9" w:rsidR="000D5D3C" w:rsidRPr="000D5D3C" w:rsidRDefault="000D5D3C" w:rsidP="00243175">
      <w:pPr>
        <w:pStyle w:val="Ttulo3"/>
      </w:pPr>
      <w:r w:rsidRPr="000D5D3C">
        <w:t>3.7. Reflexividad de la investigadora</w:t>
      </w:r>
    </w:p>
    <w:p w14:paraId="37159459" w14:textId="77777777" w:rsidR="000D5D3C" w:rsidRPr="000D5D3C" w:rsidRDefault="000D5D3C" w:rsidP="00243175">
      <w:pPr>
        <w:spacing w:after="0"/>
        <w:rPr>
          <w:rFonts w:eastAsia="Times New Roman" w:cs="Times New Roman"/>
          <w:szCs w:val="24"/>
        </w:rPr>
      </w:pPr>
      <w:r w:rsidRPr="000D5D3C">
        <w:rPr>
          <w:rFonts w:eastAsia="Times New Roman" w:cs="Times New Roman"/>
          <w:szCs w:val="24"/>
        </w:rPr>
        <w:t>El Análisis Temático Reflexivo requirió que la investigadora explicitara su posición respecto al fenómeno estudiado, reconociendo que la producción de conocimiento cualitativo no fue neutral, sino que estuvo atravesada por la perspectiva, los supuestos y las experiencias de quien investigó (Braun &amp; Clarke, 2022).</w:t>
      </w:r>
    </w:p>
    <w:p w14:paraId="51E8E509" w14:textId="77777777" w:rsidR="000D5D3C" w:rsidRPr="000D5D3C" w:rsidRDefault="000D5D3C" w:rsidP="00243175">
      <w:pPr>
        <w:spacing w:after="0"/>
        <w:rPr>
          <w:rFonts w:eastAsia="Times New Roman" w:cs="Times New Roman"/>
          <w:szCs w:val="24"/>
        </w:rPr>
      </w:pPr>
      <w:r w:rsidRPr="000D5D3C">
        <w:rPr>
          <w:rFonts w:eastAsia="Times New Roman" w:cs="Times New Roman"/>
          <w:szCs w:val="24"/>
        </w:rPr>
        <w:t xml:space="preserve">En este estudio, la investigadora mantuvo una relación laboral directa con Car </w:t>
      </w:r>
      <w:proofErr w:type="spellStart"/>
      <w:r w:rsidRPr="000D5D3C">
        <w:rPr>
          <w:rFonts w:eastAsia="Times New Roman" w:cs="Times New Roman"/>
          <w:szCs w:val="24"/>
        </w:rPr>
        <w:t>Freight</w:t>
      </w:r>
      <w:proofErr w:type="spellEnd"/>
      <w:r w:rsidRPr="000D5D3C">
        <w:rPr>
          <w:rFonts w:eastAsia="Times New Roman" w:cs="Times New Roman"/>
          <w:szCs w:val="24"/>
        </w:rPr>
        <w:t xml:space="preserve"> </w:t>
      </w:r>
      <w:proofErr w:type="spellStart"/>
      <w:r w:rsidRPr="000D5D3C">
        <w:rPr>
          <w:rFonts w:eastAsia="Times New Roman" w:cs="Times New Roman"/>
          <w:szCs w:val="24"/>
        </w:rPr>
        <w:t>Shipping</w:t>
      </w:r>
      <w:proofErr w:type="spellEnd"/>
      <w:r w:rsidRPr="000D5D3C">
        <w:rPr>
          <w:rFonts w:eastAsia="Times New Roman" w:cs="Times New Roman"/>
          <w:szCs w:val="24"/>
        </w:rPr>
        <w:t xml:space="preserve"> Company, desempeñándose como empleada de la organización durante el periodo analizado. Esta posición ofreció ventajas relevantes, tales como un conocimiento profundo del contexto organizacional, familiaridad con el lenguaje técnico del sector logístico y mayor facilidad de acceso a los participantes. Sin embargo, también implicó riesgos metodológicos específicos, entre ellos la posibilidad de sesgo de confirmación, la naturalización de prácticas organizacionales problemáticas y la eventual moderación de las respuestas de los participantes debido a la relación laboral existente.</w:t>
      </w:r>
    </w:p>
    <w:p w14:paraId="6EA767C7" w14:textId="32E260AE" w:rsidR="000D5D3C" w:rsidRPr="000D5D3C" w:rsidRDefault="000D5D3C" w:rsidP="00243175">
      <w:pPr>
        <w:spacing w:after="0"/>
        <w:rPr>
          <w:rFonts w:eastAsia="Times New Roman" w:cs="Times New Roman"/>
          <w:szCs w:val="24"/>
        </w:rPr>
      </w:pPr>
      <w:r w:rsidRPr="000D5D3C">
        <w:rPr>
          <w:rFonts w:eastAsia="Times New Roman" w:cs="Times New Roman"/>
          <w:szCs w:val="24"/>
        </w:rPr>
        <w:t xml:space="preserve">Para gestionar estos riesgos, se implementaron diversas estrategias reflexivas. En primer lugar, las entrevistas se condujeron a partir de un protocolo semiestructurado fijo, con el objetivo de reducir la influencia del rol laboral de la investigadora en la formulación y conducción de las preguntas. En segundo lugar, se garantizó explícitamente a los participantes la confidencialidad de sus respuestas y la imposibilidad de que estas fueran compartidas de manera identificable con otros niveles jerárquicos. En tercer lugar, durante el análisis se realizó una revisión reflexiva sistemática de los temas construidos, contrastándolos con la pregunta crítica sobre si estos reflejaban los datos empíricos o las expectativas previas de la investigadora, dejando registro de las categorías que fueron redefinidas o descartadas. </w:t>
      </w:r>
    </w:p>
    <w:p w14:paraId="71B0F7E7" w14:textId="62062E85" w:rsidR="00A454F2" w:rsidRDefault="000D5D3C" w:rsidP="00243175">
      <w:pPr>
        <w:spacing w:after="0"/>
        <w:rPr>
          <w:rFonts w:eastAsia="Times New Roman" w:cs="Times New Roman"/>
          <w:szCs w:val="24"/>
        </w:rPr>
      </w:pPr>
      <w:r w:rsidRPr="000D5D3C">
        <w:rPr>
          <w:rFonts w:eastAsia="Times New Roman" w:cs="Times New Roman"/>
          <w:szCs w:val="24"/>
        </w:rPr>
        <w:t>La investigadora reconoció que su posición interna en el contexto estudiado constituyó simultáneamente un recurso y una limitación. Mientras facilitó el acceso al campo y la interpretación situada de los discursos, exigió un ejercicio constante de reflexividad para garantizar la validez interpretativa y la transferibilidad prudente de los hallazgos del estudio.</w:t>
      </w:r>
    </w:p>
    <w:p w14:paraId="1DC7AF07" w14:textId="77777777" w:rsidR="00C54FBE" w:rsidRPr="000D5D3C" w:rsidRDefault="00C54FBE" w:rsidP="003930E4">
      <w:pPr>
        <w:spacing w:after="0"/>
        <w:ind w:firstLine="0"/>
        <w:rPr>
          <w:rFonts w:eastAsia="Times New Roman" w:cs="Times New Roman"/>
          <w:szCs w:val="24"/>
        </w:rPr>
      </w:pPr>
    </w:p>
    <w:p w14:paraId="0BFBF2A0" w14:textId="36CE84CF" w:rsidR="0006260A" w:rsidRPr="00905DB0" w:rsidRDefault="00D93632" w:rsidP="00243175">
      <w:pPr>
        <w:pStyle w:val="Ttulo2"/>
        <w:spacing w:before="0" w:after="0"/>
        <w:ind w:firstLine="0"/>
      </w:pPr>
      <w:r>
        <w:lastRenderedPageBreak/>
        <w:t xml:space="preserve">4. </w:t>
      </w:r>
      <w:r w:rsidR="001B12A2">
        <w:t>R</w:t>
      </w:r>
      <w:r w:rsidR="001B12A2" w:rsidRPr="00905DB0">
        <w:t>esultados</w:t>
      </w:r>
    </w:p>
    <w:p w14:paraId="768033BF" w14:textId="048A0A91" w:rsidR="000D5D3C" w:rsidRPr="000D5D3C" w:rsidRDefault="000D5D3C" w:rsidP="00243175">
      <w:pPr>
        <w:pStyle w:val="Ttulo3"/>
      </w:pPr>
      <w:r w:rsidRPr="000D5D3C">
        <w:t xml:space="preserve">4.1. Presentación de la estructura de hallazgos </w:t>
      </w:r>
    </w:p>
    <w:p w14:paraId="2F4E2A69" w14:textId="6F8FBED9" w:rsidR="000D5D3C" w:rsidRPr="000D5D3C" w:rsidRDefault="000D5D3C" w:rsidP="00243175">
      <w:pPr>
        <w:spacing w:after="0"/>
        <w:rPr>
          <w:rFonts w:eastAsia="Times New Roman" w:cs="Times New Roman"/>
          <w:szCs w:val="24"/>
        </w:rPr>
      </w:pPr>
      <w:r w:rsidRPr="000D5D3C">
        <w:rPr>
          <w:rFonts w:eastAsia="Times New Roman" w:cs="Times New Roman"/>
          <w:szCs w:val="24"/>
        </w:rPr>
        <w:t>Los resultados se organizaron mediante un análisis temático reflexivo (Braun &amp; Clarke, 2022), el cual articuló las perspectivas de tres niveles organizacionales: directivo estratégico (CEO), gerencial comercial (Manager) y operativo‑documenta</w:t>
      </w:r>
      <w:r w:rsidR="00A454F2">
        <w:rPr>
          <w:rFonts w:eastAsia="Times New Roman" w:cs="Times New Roman"/>
          <w:szCs w:val="24"/>
        </w:rPr>
        <w:t>ción</w:t>
      </w:r>
      <w:r w:rsidRPr="000D5D3C">
        <w:rPr>
          <w:rFonts w:eastAsia="Times New Roman" w:cs="Times New Roman"/>
          <w:szCs w:val="24"/>
        </w:rPr>
        <w:t>. La presentación de los hallazgos siguió la secuencia lógica del proceso de inducción crítica identificada durante el análisis: (1) diagnóstico de errores operativos; (2) impacto de dichos errores en el desempeño organizacional; (3) percepciones sobre los procesos formativos y la transferencia del aprendizaje; y (4) análisis integrado de los hallazgos a partir de la triangulación de fuentes primarias y documentales.</w:t>
      </w:r>
    </w:p>
    <w:p w14:paraId="64BDD9EE" w14:textId="77777777" w:rsidR="000D5D3C" w:rsidRPr="000D5D3C" w:rsidRDefault="000D5D3C" w:rsidP="00243175">
      <w:pPr>
        <w:spacing w:after="0"/>
        <w:rPr>
          <w:rFonts w:eastAsia="Times New Roman" w:cs="Times New Roman"/>
          <w:szCs w:val="24"/>
        </w:rPr>
      </w:pPr>
      <w:r w:rsidRPr="000D5D3C">
        <w:rPr>
          <w:rFonts w:eastAsia="Times New Roman" w:cs="Times New Roman"/>
          <w:szCs w:val="24"/>
        </w:rPr>
        <w:t>Esta estructura permitió mostrar de manera progresiva cómo las deficiencias formativas identificadas se manifestaron en errores operativos concretos y cómo dichas experiencias fueron interpretadas de manera diferenciada según la posición organizacional de los participantes.</w:t>
      </w:r>
    </w:p>
    <w:p w14:paraId="5B82EEE4" w14:textId="104261BE" w:rsidR="000D5D3C" w:rsidRPr="000D5D3C" w:rsidRDefault="000D5D3C" w:rsidP="00243175">
      <w:pPr>
        <w:pStyle w:val="Ttulo3"/>
      </w:pPr>
      <w:r w:rsidRPr="000D5D3C">
        <w:t>4.2. Errores operativos y brechas de estandarización</w:t>
      </w:r>
      <w:r w:rsidRPr="00A454F2">
        <w:t>: perspectiva directiva</w:t>
      </w:r>
    </w:p>
    <w:p w14:paraId="491378CB" w14:textId="4764BDBD" w:rsidR="000D5D3C" w:rsidRPr="000D5D3C" w:rsidRDefault="000D5D3C" w:rsidP="00243175">
      <w:pPr>
        <w:spacing w:after="0"/>
        <w:rPr>
          <w:rFonts w:eastAsia="Times New Roman" w:cs="Times New Roman"/>
          <w:szCs w:val="24"/>
        </w:rPr>
      </w:pPr>
      <w:r w:rsidRPr="000D5D3C">
        <w:rPr>
          <w:rFonts w:eastAsia="Times New Roman" w:cs="Times New Roman"/>
          <w:szCs w:val="24"/>
        </w:rPr>
        <w:t xml:space="preserve">El análisis de la entrevista con la </w:t>
      </w:r>
      <w:proofErr w:type="spellStart"/>
      <w:r w:rsidRPr="000D5D3C">
        <w:rPr>
          <w:rFonts w:eastAsia="Times New Roman" w:cs="Times New Roman"/>
          <w:szCs w:val="24"/>
        </w:rPr>
        <w:t>Chief</w:t>
      </w:r>
      <w:proofErr w:type="spellEnd"/>
      <w:r w:rsidRPr="000D5D3C">
        <w:rPr>
          <w:rFonts w:eastAsia="Times New Roman" w:cs="Times New Roman"/>
          <w:szCs w:val="24"/>
        </w:rPr>
        <w:t xml:space="preserve"> Executive </w:t>
      </w:r>
      <w:proofErr w:type="spellStart"/>
      <w:r w:rsidRPr="000D5D3C">
        <w:rPr>
          <w:rFonts w:eastAsia="Times New Roman" w:cs="Times New Roman"/>
          <w:szCs w:val="24"/>
        </w:rPr>
        <w:t>Officer</w:t>
      </w:r>
      <w:proofErr w:type="spellEnd"/>
      <w:r w:rsidRPr="000D5D3C">
        <w:rPr>
          <w:rFonts w:eastAsia="Times New Roman" w:cs="Times New Roman"/>
          <w:szCs w:val="24"/>
        </w:rPr>
        <w:t xml:space="preserve"> (CEO) reveló la recurrencia de inconsistencias documentales como un síntoma de procesos de aprendizaje no sistematizados. Entre los errores identificados se encontraron inconsistencias en la documentación de envíos, provisión de información incompleta o incorrecta a los clientes sobre requisitos normativos, demoras en los procesos de tramitación y fallas en la comunicación interáreas. De acuerdo con la perspectiva directiva, estos errores generaron tanto costos directos</w:t>
      </w:r>
      <w:r w:rsidR="00743DA2">
        <w:rPr>
          <w:rFonts w:eastAsia="Times New Roman" w:cs="Times New Roman"/>
          <w:szCs w:val="24"/>
        </w:rPr>
        <w:t xml:space="preserve"> </w:t>
      </w:r>
      <w:r w:rsidRPr="000D5D3C">
        <w:rPr>
          <w:rFonts w:eastAsia="Times New Roman" w:cs="Times New Roman"/>
          <w:szCs w:val="24"/>
        </w:rPr>
        <w:t>asociados a reprocesos, devoluciones e indemnizaciones</w:t>
      </w:r>
      <w:r w:rsidR="00743DA2">
        <w:rPr>
          <w:rFonts w:eastAsia="Times New Roman" w:cs="Times New Roman"/>
          <w:szCs w:val="24"/>
        </w:rPr>
        <w:t xml:space="preserve"> </w:t>
      </w:r>
      <w:r w:rsidRPr="000D5D3C">
        <w:rPr>
          <w:rFonts w:eastAsia="Times New Roman" w:cs="Times New Roman"/>
          <w:szCs w:val="24"/>
        </w:rPr>
        <w:t>como costos indirectos, tales como la pérdida de oportunidades comerciales y el deterioro de la reputación de la empresa.</w:t>
      </w:r>
    </w:p>
    <w:p w14:paraId="0B0DE708" w14:textId="06276236" w:rsidR="000D5D3C" w:rsidRPr="000D5D3C" w:rsidRDefault="000D5D3C" w:rsidP="00243175">
      <w:pPr>
        <w:spacing w:after="0"/>
        <w:rPr>
          <w:rFonts w:eastAsia="Times New Roman" w:cs="Times New Roman"/>
          <w:szCs w:val="24"/>
        </w:rPr>
      </w:pPr>
      <w:r w:rsidRPr="000D5D3C">
        <w:rPr>
          <w:rFonts w:eastAsia="Times New Roman" w:cs="Times New Roman"/>
          <w:szCs w:val="24"/>
        </w:rPr>
        <w:t xml:space="preserve">Durante la entrevista, la CEO aportó un indicador operativo que permitió dimensionar la magnitud del problema: en el periodo comprendido entre enero y diciembre de 2024, el área de Operaciones registró internamente una tasa de reprocesos del 23 % en embarques </w:t>
      </w:r>
      <w:proofErr w:type="spellStart"/>
      <w:r w:rsidRPr="000D5D3C">
        <w:rPr>
          <w:rFonts w:eastAsia="Times New Roman" w:cs="Times New Roman"/>
          <w:szCs w:val="24"/>
        </w:rPr>
        <w:t>overseas</w:t>
      </w:r>
      <w:proofErr w:type="spellEnd"/>
      <w:r w:rsidRPr="000D5D3C">
        <w:rPr>
          <w:rFonts w:eastAsia="Times New Roman" w:cs="Times New Roman"/>
          <w:szCs w:val="24"/>
        </w:rPr>
        <w:t xml:space="preserve">, atribuida principalmente a inconsistencias en títulos de propiedad, registraciones y </w:t>
      </w:r>
      <w:proofErr w:type="spellStart"/>
      <w:r w:rsidRPr="000D5D3C">
        <w:rPr>
          <w:rFonts w:eastAsia="Times New Roman" w:cs="Times New Roman"/>
          <w:szCs w:val="24"/>
        </w:rPr>
        <w:t>bookings</w:t>
      </w:r>
      <w:proofErr w:type="spellEnd"/>
      <w:r w:rsidRPr="000D5D3C">
        <w:rPr>
          <w:rFonts w:eastAsia="Times New Roman" w:cs="Times New Roman"/>
          <w:szCs w:val="24"/>
        </w:rPr>
        <w:t xml:space="preserve"> (Car </w:t>
      </w:r>
      <w:proofErr w:type="spellStart"/>
      <w:r w:rsidRPr="000D5D3C">
        <w:rPr>
          <w:rFonts w:eastAsia="Times New Roman" w:cs="Times New Roman"/>
          <w:szCs w:val="24"/>
        </w:rPr>
        <w:t>Freight</w:t>
      </w:r>
      <w:proofErr w:type="spellEnd"/>
      <w:r w:rsidRPr="000D5D3C">
        <w:rPr>
          <w:rFonts w:eastAsia="Times New Roman" w:cs="Times New Roman"/>
          <w:szCs w:val="24"/>
        </w:rPr>
        <w:t xml:space="preserve"> </w:t>
      </w:r>
      <w:proofErr w:type="spellStart"/>
      <w:r w:rsidRPr="000D5D3C">
        <w:rPr>
          <w:rFonts w:eastAsia="Times New Roman" w:cs="Times New Roman"/>
          <w:szCs w:val="24"/>
        </w:rPr>
        <w:t>Shipping</w:t>
      </w:r>
      <w:proofErr w:type="spellEnd"/>
      <w:r w:rsidRPr="000D5D3C">
        <w:rPr>
          <w:rFonts w:eastAsia="Times New Roman" w:cs="Times New Roman"/>
          <w:szCs w:val="24"/>
        </w:rPr>
        <w:t xml:space="preserve"> Company, Área de Operaciones, 2024, comunicación interna). Este dato, reportado por la CEO con referencia a los registros del área operativa y corroborado de manera cualitativa por la Manager Comercial</w:t>
      </w:r>
      <w:r w:rsidR="00743DA2">
        <w:rPr>
          <w:rFonts w:eastAsia="Times New Roman" w:cs="Times New Roman"/>
          <w:szCs w:val="24"/>
        </w:rPr>
        <w:t xml:space="preserve"> </w:t>
      </w:r>
      <w:r w:rsidRPr="000D5D3C">
        <w:rPr>
          <w:rFonts w:eastAsia="Times New Roman" w:cs="Times New Roman"/>
          <w:szCs w:val="24"/>
        </w:rPr>
        <w:t>quien describió “retenciones portuarias recurrentes por documentación incompleta”</w:t>
      </w:r>
      <w:r w:rsidR="00743DA2">
        <w:rPr>
          <w:rFonts w:eastAsia="Times New Roman" w:cs="Times New Roman"/>
          <w:szCs w:val="24"/>
        </w:rPr>
        <w:t xml:space="preserve"> </w:t>
      </w:r>
      <w:r w:rsidRPr="000D5D3C">
        <w:rPr>
          <w:rFonts w:eastAsia="Times New Roman" w:cs="Times New Roman"/>
          <w:szCs w:val="24"/>
        </w:rPr>
        <w:t>, constituyó el indicador contextual de referencia del presente estudio.</w:t>
      </w:r>
    </w:p>
    <w:p w14:paraId="2F64C4DF" w14:textId="77777777" w:rsidR="000D5D3C" w:rsidRPr="000D5D3C" w:rsidRDefault="000D5D3C" w:rsidP="00243175">
      <w:pPr>
        <w:spacing w:after="0"/>
        <w:rPr>
          <w:rFonts w:eastAsia="Times New Roman" w:cs="Times New Roman"/>
          <w:szCs w:val="24"/>
        </w:rPr>
      </w:pPr>
      <w:r w:rsidRPr="000D5D3C">
        <w:rPr>
          <w:rFonts w:eastAsia="Times New Roman" w:cs="Times New Roman"/>
          <w:szCs w:val="24"/>
        </w:rPr>
        <w:lastRenderedPageBreak/>
        <w:t>Si bien se reconoció que dicho indicador correspondió a un dato interno no auditado externamente, esta condición fue asumida explícitamente como una limitación metodológica. No obstante, la consistencia del dato con los relatos de los seis participantes del nivel operativo respecto a la frecuencia de errores documentales le otorgó una credibilidad suficiente para su uso como referencia diagnóstica, y no como una métrica validada para la evaluación del impacto de la propuesta de intervención.</w:t>
      </w:r>
    </w:p>
    <w:p w14:paraId="47E163DF" w14:textId="0D25E57B" w:rsidR="000D5D3C" w:rsidRPr="000D5D3C" w:rsidRDefault="000D5D3C" w:rsidP="00243175">
      <w:pPr>
        <w:spacing w:after="0"/>
        <w:rPr>
          <w:rFonts w:eastAsia="Times New Roman" w:cs="Times New Roman"/>
          <w:szCs w:val="24"/>
        </w:rPr>
      </w:pPr>
      <w:r w:rsidRPr="000D5D3C">
        <w:rPr>
          <w:rFonts w:eastAsia="Times New Roman" w:cs="Times New Roman"/>
          <w:szCs w:val="24"/>
        </w:rPr>
        <w:t>Desde la perspectiva de la CEO, estas fallas se atribuyeron principalmente a la ausencia de un sistema estandarizado de formación. La entrevistada señaló que el aprendizaje del personal nuevo se produjo predominantemente a través de procesos informales de modelaje</w:t>
      </w:r>
      <w:r w:rsidR="00743DA2">
        <w:rPr>
          <w:rFonts w:eastAsia="Times New Roman" w:cs="Times New Roman"/>
          <w:szCs w:val="24"/>
        </w:rPr>
        <w:t xml:space="preserve"> </w:t>
      </w:r>
      <w:r w:rsidRPr="000D5D3C">
        <w:rPr>
          <w:rFonts w:eastAsia="Times New Roman" w:cs="Times New Roman"/>
          <w:szCs w:val="24"/>
        </w:rPr>
        <w:t>descritos como “aprender sobre la marcha”</w:t>
      </w:r>
      <w:r w:rsidR="00743DA2">
        <w:rPr>
          <w:rFonts w:eastAsia="Times New Roman" w:cs="Times New Roman"/>
          <w:szCs w:val="24"/>
        </w:rPr>
        <w:t xml:space="preserve"> </w:t>
      </w:r>
      <w:r w:rsidRPr="000D5D3C">
        <w:rPr>
          <w:rFonts w:eastAsia="Times New Roman" w:cs="Times New Roman"/>
          <w:szCs w:val="24"/>
        </w:rPr>
        <w:t>, lo que dio lugar a la coexistencia de versiones paralelas de los mismos procedimientos. Esta situación evidenció una brecha en la dimensión de diseño instruccional del Modelo de Transferencia Dinámica Contextualizada (DTM‑CF), en la cual la ausencia de andamiaje situado interrumpió el ciclo entre la intención de transferir el aprendizaje y los intentos iniciales de aplicación en el puesto de trabajo.</w:t>
      </w:r>
    </w:p>
    <w:p w14:paraId="2CC13914" w14:textId="77777777" w:rsidR="000D5D3C" w:rsidRPr="000D5D3C" w:rsidRDefault="000D5D3C" w:rsidP="00243175">
      <w:pPr>
        <w:spacing w:after="0"/>
        <w:rPr>
          <w:rFonts w:eastAsia="Times New Roman" w:cs="Times New Roman"/>
          <w:szCs w:val="24"/>
        </w:rPr>
      </w:pPr>
      <w:r w:rsidRPr="000D5D3C">
        <w:rPr>
          <w:rFonts w:eastAsia="Times New Roman" w:cs="Times New Roman"/>
          <w:szCs w:val="24"/>
        </w:rPr>
        <w:t>La Figura 4 presentó la categorización temática resultante del análisis de la entrevista con la CEO, sintetizando los ejes principales asociados a errores operativos, estandarización, formación y transferencia del aprendizaje.</w:t>
      </w:r>
    </w:p>
    <w:p w14:paraId="6550ED41" w14:textId="5842BB97" w:rsidR="002A6721" w:rsidRPr="000D5D3C" w:rsidRDefault="00DE0036" w:rsidP="00243175">
      <w:pPr>
        <w:spacing w:after="0"/>
        <w:rPr>
          <w:rFonts w:eastAsia="Times New Roman" w:cs="Times New Roman"/>
          <w:szCs w:val="24"/>
        </w:rPr>
      </w:pPr>
      <w:r>
        <w:rPr>
          <w:rFonts w:eastAsia="Times New Roman" w:cs="Times New Roman"/>
          <w:b/>
          <w:i/>
          <w:szCs w:val="24"/>
        </w:rPr>
        <w:t xml:space="preserve">Tabla </w:t>
      </w:r>
      <w:r w:rsidR="00C54FBE">
        <w:rPr>
          <w:rFonts w:eastAsia="Times New Roman" w:cs="Times New Roman"/>
          <w:b/>
          <w:i/>
          <w:szCs w:val="24"/>
        </w:rPr>
        <w:t>1</w:t>
      </w:r>
      <w:r w:rsidR="000D5D3C" w:rsidRPr="00DE0036">
        <w:rPr>
          <w:rFonts w:eastAsia="Times New Roman" w:cs="Times New Roman"/>
          <w:b/>
          <w:i/>
          <w:szCs w:val="24"/>
        </w:rPr>
        <w:t>.</w:t>
      </w:r>
      <w:r w:rsidR="000D5D3C" w:rsidRPr="00D93632">
        <w:rPr>
          <w:rFonts w:eastAsia="Times New Roman" w:cs="Times New Roman"/>
          <w:i/>
          <w:szCs w:val="24"/>
        </w:rPr>
        <w:t xml:space="preserve"> Categorización temática derivada de la entrevista con la CEO</w:t>
      </w:r>
      <w:r w:rsidR="000D5D3C" w:rsidRPr="000D5D3C">
        <w:rPr>
          <w:rFonts w:eastAsia="Times New Roman" w:cs="Times New Roman"/>
          <w:szCs w:val="24"/>
        </w:rPr>
        <w:t>.</w:t>
      </w:r>
    </w:p>
    <w:p w14:paraId="22716BBC" w14:textId="77777777" w:rsidR="002A6721" w:rsidRPr="00905DB0" w:rsidRDefault="002A6721" w:rsidP="00243175">
      <w:pPr>
        <w:spacing w:after="0"/>
        <w:ind w:firstLine="0"/>
        <w:rPr>
          <w:rFonts w:eastAsia="Times New Roman" w:cs="Times New Roman"/>
          <w:szCs w:val="24"/>
        </w:rPr>
      </w:pPr>
      <w:r w:rsidRPr="00905DB0">
        <w:rPr>
          <w:rFonts w:eastAsia="Times New Roman" w:cs="Times New Roman"/>
          <w:noProof/>
          <w:szCs w:val="24"/>
        </w:rPr>
        <w:drawing>
          <wp:inline distT="0" distB="0" distL="0" distR="0" wp14:anchorId="03D5A2F1" wp14:editId="1B40ED96">
            <wp:extent cx="5974715" cy="883920"/>
            <wp:effectExtent l="0" t="0" r="6985" b="0"/>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974715" cy="883920"/>
                    </a:xfrm>
                    <a:prstGeom prst="rect">
                      <a:avLst/>
                    </a:prstGeom>
                    <a:noFill/>
                  </pic:spPr>
                </pic:pic>
              </a:graphicData>
            </a:graphic>
          </wp:inline>
        </w:drawing>
      </w:r>
    </w:p>
    <w:p w14:paraId="743EC211" w14:textId="394431C6" w:rsidR="002A6721" w:rsidRDefault="002A6721" w:rsidP="00243175">
      <w:pPr>
        <w:spacing w:after="0"/>
        <w:rPr>
          <w:rFonts w:eastAsia="Times New Roman" w:cs="Times New Roman"/>
          <w:szCs w:val="24"/>
        </w:rPr>
      </w:pPr>
      <w:r w:rsidRPr="00905DB0">
        <w:rPr>
          <w:rFonts w:eastAsia="Times New Roman" w:cs="Times New Roman"/>
          <w:szCs w:val="24"/>
        </w:rPr>
        <w:t xml:space="preserve">Nota. La </w:t>
      </w:r>
      <w:r w:rsidR="00C54FBE">
        <w:rPr>
          <w:rFonts w:eastAsia="Times New Roman" w:cs="Times New Roman"/>
          <w:szCs w:val="24"/>
        </w:rPr>
        <w:t>tabla</w:t>
      </w:r>
      <w:r w:rsidRPr="00905DB0">
        <w:rPr>
          <w:rFonts w:eastAsia="Times New Roman" w:cs="Times New Roman"/>
          <w:szCs w:val="24"/>
        </w:rPr>
        <w:t xml:space="preserve"> sintetiza las categorías emergentes del análisis de contenido: errores operativos recurrentes (inconsistencias documentales, demoras), causas estructurales (falta de estandarización, aprendizaje empírico) y consecuencias organizacionales (costos operativos, impacto reputacional). Elaboración propia.</w:t>
      </w:r>
    </w:p>
    <w:p w14:paraId="0A72EC9A" w14:textId="025EDD56" w:rsidR="006C62FD" w:rsidRPr="006C62FD" w:rsidRDefault="006C62FD" w:rsidP="00243175">
      <w:pPr>
        <w:pStyle w:val="Ttulo3"/>
      </w:pPr>
      <w:r w:rsidRPr="006C62FD">
        <w:t>4.3. Desempeño laboral y experiencia del cliente: perspectiva gerencial</w:t>
      </w:r>
    </w:p>
    <w:p w14:paraId="75EB89C9" w14:textId="56918932" w:rsidR="006C62FD" w:rsidRPr="006C62FD" w:rsidRDefault="006C62FD" w:rsidP="00243175">
      <w:pPr>
        <w:pStyle w:val="NormalWeb"/>
        <w:spacing w:before="0" w:beforeAutospacing="0" w:after="0" w:afterAutospacing="0" w:line="480" w:lineRule="auto"/>
      </w:pPr>
      <w:r w:rsidRPr="006C62FD">
        <w:t xml:space="preserve">La entrevista con la </w:t>
      </w:r>
      <w:r w:rsidR="00A454F2">
        <w:t>Manager</w:t>
      </w:r>
      <w:r w:rsidRPr="006C62FD">
        <w:t xml:space="preserve"> Comercial profundizó en los efectos de los errores documentales sobre los indicadores de desempeño operativo y sobre la relación comercial con los clientes. Desde esta perspectiva, la precisión temporal emergió como una variable crítica, dado que </w:t>
      </w:r>
      <w:r w:rsidRPr="006C62FD">
        <w:lastRenderedPageBreak/>
        <w:t>las inconsistencias en la documentación generaron retenciones portuarias, quejas formales y sobrecostes asociados, con impactos directos en la fidelización del cliente y en su disposición a recomendar el servicio. La entrevistada señaló que los retrasos derivados de errores documentales comprometieron no solo la eficiencia operativa, sino también la confianza del cliente en la capacidad de la empresa para cumplir con los compromisos adquiridos.</w:t>
      </w:r>
    </w:p>
    <w:p w14:paraId="6811ECE9" w14:textId="4B61E086" w:rsidR="006C62FD" w:rsidRPr="006C62FD" w:rsidRDefault="006C62FD" w:rsidP="00243175">
      <w:pPr>
        <w:pStyle w:val="NormalWeb"/>
        <w:spacing w:before="0" w:beforeAutospacing="0" w:after="0" w:afterAutospacing="0" w:line="480" w:lineRule="auto"/>
      </w:pPr>
      <w:r w:rsidRPr="006C62FD">
        <w:t>Desde el marco del Modelo de Transferencia Dinámica Contextualizada (DTM</w:t>
      </w:r>
      <w:r w:rsidRPr="006C62FD">
        <w:noBreakHyphen/>
        <w:t>CF), esta dimensión evidenció cómo la fase de integración de la retroalimentación se vio comprometida en un entorno laboral que priorizó la velocidad de respuesta sobre la precisión del proceso, sin contar con mecanismos intermedios de validación que permitieran la corrección iterativa de los errores. La Gerente Comercial enfatizó que, desde la lógica del cliente, “no se paga por la intención, sino por el documento correcto entregado a tiempo”, expresión que ilustró de manera sintética la discrepancia identificada entre los objetivos implícitos de los procesos formativos</w:t>
      </w:r>
      <w:r w:rsidR="00743DA2">
        <w:t xml:space="preserve"> </w:t>
      </w:r>
      <w:r w:rsidRPr="006C62FD">
        <w:t>centrados en la adquisición de conocimiento procedimental</w:t>
      </w:r>
      <w:r w:rsidR="00743DA2">
        <w:t xml:space="preserve"> </w:t>
      </w:r>
      <w:r w:rsidRPr="006C62FD">
        <w:t>y las exigencias operativas reales, caracterizadas por la necesidad de ejecución precisa bajo presión temporal.</w:t>
      </w:r>
    </w:p>
    <w:p w14:paraId="12BAA175" w14:textId="77777777" w:rsidR="006C62FD" w:rsidRPr="006C62FD" w:rsidRDefault="006C62FD" w:rsidP="00243175">
      <w:pPr>
        <w:pStyle w:val="NormalWeb"/>
        <w:spacing w:before="0" w:beforeAutospacing="0" w:after="0" w:afterAutospacing="0" w:line="480" w:lineRule="auto"/>
      </w:pPr>
      <w:r w:rsidRPr="006C62FD">
        <w:t>Esta brecha evidenció que, en ausencia de sistemas de soporte que integraran retroalimentación oportuna y validación experta, los errores documentales no solo persistieron, sino que se tradujeron en consecuencias directas sobre la experiencia del cliente, reforzando la urgencia de un rediseño del proceso formativo orientado a la transferencia efectiva del aprendizaje en contextos de alta criticidad temporal.</w:t>
      </w:r>
    </w:p>
    <w:p w14:paraId="1CD0ADD1" w14:textId="289ECF65" w:rsidR="006C62FD" w:rsidRPr="006C62FD" w:rsidRDefault="006C62FD" w:rsidP="00243175">
      <w:pPr>
        <w:pStyle w:val="NormalWeb"/>
        <w:spacing w:before="0" w:beforeAutospacing="0" w:after="0" w:afterAutospacing="0" w:line="480" w:lineRule="auto"/>
      </w:pPr>
      <w:r w:rsidRPr="006C62FD">
        <w:t xml:space="preserve">La </w:t>
      </w:r>
      <w:r w:rsidR="00DE0036">
        <w:rPr>
          <w:rStyle w:val="Textoennegrita"/>
        </w:rPr>
        <w:t xml:space="preserve">tabla </w:t>
      </w:r>
      <w:r w:rsidR="00C54FBE">
        <w:rPr>
          <w:rStyle w:val="Textoennegrita"/>
        </w:rPr>
        <w:t>2</w:t>
      </w:r>
      <w:r w:rsidRPr="006C62FD">
        <w:t xml:space="preserve"> present</w:t>
      </w:r>
      <w:r>
        <w:t>a</w:t>
      </w:r>
      <w:r w:rsidRPr="006C62FD">
        <w:t xml:space="preserve"> la categorización temática derivada del análisis de la entrevista con la Gerente Comercial, sintetizando los ejes asociados a desempeño, experiencia del cliente, presión temporal y retroalimentación operativa.</w:t>
      </w:r>
    </w:p>
    <w:p w14:paraId="0CA8FA21" w14:textId="2B68FD6E" w:rsidR="006C62FD" w:rsidRPr="0054600D" w:rsidRDefault="00DE0036" w:rsidP="00243175">
      <w:pPr>
        <w:pStyle w:val="NormalWeb"/>
        <w:spacing w:before="0" w:beforeAutospacing="0" w:after="0" w:afterAutospacing="0" w:line="480" w:lineRule="auto"/>
        <w:rPr>
          <w:i/>
        </w:rPr>
      </w:pPr>
      <w:r>
        <w:rPr>
          <w:rStyle w:val="Textoennegrita"/>
          <w:i/>
        </w:rPr>
        <w:t xml:space="preserve">Tabla </w:t>
      </w:r>
      <w:r w:rsidR="00C54FBE">
        <w:rPr>
          <w:rStyle w:val="Textoennegrita"/>
          <w:i/>
        </w:rPr>
        <w:t>2</w:t>
      </w:r>
      <w:r w:rsidR="006C62FD" w:rsidRPr="0054600D">
        <w:rPr>
          <w:rStyle w:val="Textoennegrita"/>
          <w:i/>
        </w:rPr>
        <w:t>.</w:t>
      </w:r>
      <w:r w:rsidR="006C62FD" w:rsidRPr="0054600D">
        <w:rPr>
          <w:i/>
        </w:rPr>
        <w:t xml:space="preserve"> Categorización temática derivada de la entrevista con la Manager Comercial.</w:t>
      </w:r>
    </w:p>
    <w:p w14:paraId="0D639062" w14:textId="77777777" w:rsidR="002A6721" w:rsidRPr="00905DB0" w:rsidRDefault="002A6721" w:rsidP="00243175">
      <w:pPr>
        <w:pStyle w:val="Prrafodelista"/>
        <w:spacing w:after="0"/>
        <w:ind w:left="0"/>
        <w:rPr>
          <w:rFonts w:eastAsia="Times New Roman" w:cs="Times New Roman"/>
          <w:szCs w:val="24"/>
        </w:rPr>
      </w:pPr>
      <w:r w:rsidRPr="00905DB0">
        <w:rPr>
          <w:rFonts w:cs="Times New Roman"/>
          <w:noProof/>
          <w:szCs w:val="24"/>
        </w:rPr>
        <w:lastRenderedPageBreak/>
        <w:drawing>
          <wp:inline distT="0" distB="0" distL="0" distR="0" wp14:anchorId="4F6BE67B" wp14:editId="7975CA88">
            <wp:extent cx="5971540" cy="1071880"/>
            <wp:effectExtent l="0" t="0" r="0" b="0"/>
            <wp:docPr id="1257502222" name="Imagen 1257502222"/>
            <wp:cNvGraphicFramePr/>
            <a:graphic xmlns:a="http://schemas.openxmlformats.org/drawingml/2006/main">
              <a:graphicData uri="http://schemas.openxmlformats.org/drawingml/2006/picture">
                <pic:pic xmlns:pic="http://schemas.openxmlformats.org/drawingml/2006/picture">
                  <pic:nvPicPr>
                    <pic:cNvPr id="1257502222" name="Imagen 1257502222"/>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971540" cy="1071880"/>
                    </a:xfrm>
                    <a:prstGeom prst="rect">
                      <a:avLst/>
                    </a:prstGeom>
                    <a:noFill/>
                    <a:ln>
                      <a:noFill/>
                    </a:ln>
                  </pic:spPr>
                </pic:pic>
              </a:graphicData>
            </a:graphic>
          </wp:inline>
        </w:drawing>
      </w:r>
    </w:p>
    <w:p w14:paraId="3FA6A657" w14:textId="797CDF6A" w:rsidR="002A6721" w:rsidRPr="00905DB0" w:rsidRDefault="002A6721" w:rsidP="00243175">
      <w:pPr>
        <w:pStyle w:val="Prrafodelista"/>
        <w:spacing w:after="0"/>
        <w:ind w:left="0"/>
        <w:rPr>
          <w:rFonts w:eastAsia="Times New Roman" w:cs="Times New Roman"/>
          <w:szCs w:val="24"/>
        </w:rPr>
      </w:pPr>
      <w:r w:rsidRPr="00905DB0">
        <w:rPr>
          <w:rFonts w:eastAsia="Times New Roman" w:cs="Times New Roman"/>
          <w:szCs w:val="24"/>
        </w:rPr>
        <w:t xml:space="preserve">Nota. La </w:t>
      </w:r>
      <w:r w:rsidR="00C54FBE">
        <w:rPr>
          <w:rFonts w:eastAsia="Times New Roman" w:cs="Times New Roman"/>
          <w:szCs w:val="24"/>
        </w:rPr>
        <w:t>tabla</w:t>
      </w:r>
      <w:r w:rsidRPr="00905DB0">
        <w:rPr>
          <w:rFonts w:eastAsia="Times New Roman" w:cs="Times New Roman"/>
          <w:szCs w:val="24"/>
        </w:rPr>
        <w:t xml:space="preserve"> organiza las percepciones gerenciales en: errores críticos desde la óptica comercial (información inconsistente, retrasos documentales)</w:t>
      </w:r>
      <w:r w:rsidR="00773A91" w:rsidRPr="00905DB0">
        <w:rPr>
          <w:rFonts w:eastAsia="Times New Roman" w:cs="Times New Roman"/>
          <w:szCs w:val="24"/>
        </w:rPr>
        <w:t xml:space="preserve"> y</w:t>
      </w:r>
      <w:r w:rsidRPr="00905DB0">
        <w:rPr>
          <w:rFonts w:eastAsia="Times New Roman" w:cs="Times New Roman"/>
          <w:szCs w:val="24"/>
        </w:rPr>
        <w:t xml:space="preserve"> </w:t>
      </w:r>
      <w:r w:rsidR="00773A91" w:rsidRPr="00905DB0">
        <w:rPr>
          <w:rFonts w:eastAsia="Times New Roman" w:cs="Times New Roman"/>
          <w:szCs w:val="24"/>
        </w:rPr>
        <w:t>falta de seguimiento a envíos.</w:t>
      </w:r>
      <w:r w:rsidRPr="00905DB0">
        <w:rPr>
          <w:rFonts w:eastAsia="Times New Roman" w:cs="Times New Roman"/>
          <w:szCs w:val="24"/>
        </w:rPr>
        <w:t xml:space="preserve"> Elaboración propia.</w:t>
      </w:r>
    </w:p>
    <w:p w14:paraId="2C7A5EB7" w14:textId="255E11BF" w:rsidR="006C62FD" w:rsidRPr="006C62FD" w:rsidRDefault="006C62FD" w:rsidP="00243175">
      <w:pPr>
        <w:pStyle w:val="Ttulo3"/>
      </w:pPr>
      <w:r w:rsidRPr="006C62FD">
        <w:t>4.</w:t>
      </w:r>
      <w:r w:rsidR="00D93632" w:rsidRPr="002A279D">
        <w:t>4</w:t>
      </w:r>
      <w:r w:rsidRPr="002A279D">
        <w:t>. Procesos formativos y adaptación al puesto: perspectiva operativa</w:t>
      </w:r>
      <w:r w:rsidRPr="006C62FD">
        <w:t xml:space="preserve"> </w:t>
      </w:r>
    </w:p>
    <w:p w14:paraId="6D904AD3" w14:textId="0A4223D9" w:rsidR="006C62FD" w:rsidRPr="006C62FD" w:rsidRDefault="006C62FD" w:rsidP="00243175">
      <w:pPr>
        <w:pStyle w:val="NormalWeb"/>
        <w:spacing w:before="0" w:beforeAutospacing="0" w:after="0" w:afterAutospacing="0" w:line="480" w:lineRule="auto"/>
      </w:pPr>
      <w:r w:rsidRPr="006C62FD">
        <w:t xml:space="preserve">El análisis de las entrevistas realizadas a los seis colaboradores del área de </w:t>
      </w:r>
      <w:r w:rsidR="00BB7B1A">
        <w:t>d</w:t>
      </w:r>
      <w:r w:rsidRPr="006C62FD">
        <w:t>ocumentación permitió identificar cuatro dimensiones críticas interrelacionadas: errores operativos, desempeño laboral, procesos de formación y transferencia del aprendizaje. De manera consistente, los participantes señalaron que la formación disponible durante su proceso de inducción</w:t>
      </w:r>
      <w:r w:rsidR="00743DA2">
        <w:t xml:space="preserve"> </w:t>
      </w:r>
      <w:r w:rsidRPr="006C62FD">
        <w:t>basada predominantemente en presentaciones estáticas</w:t>
      </w:r>
      <w:r w:rsidR="00743DA2">
        <w:t xml:space="preserve"> </w:t>
      </w:r>
      <w:r w:rsidRPr="006C62FD">
        <w:t>resultó insuficiente para el desarrollo de autonomía en la resolución de casos de alta complejidad normativa.</w:t>
      </w:r>
    </w:p>
    <w:p w14:paraId="53937145" w14:textId="77777777" w:rsidR="006C62FD" w:rsidRPr="006C62FD" w:rsidRDefault="006C62FD" w:rsidP="00243175">
      <w:pPr>
        <w:pStyle w:val="NormalWeb"/>
        <w:spacing w:before="0" w:beforeAutospacing="0" w:after="0" w:afterAutospacing="0" w:line="480" w:lineRule="auto"/>
      </w:pPr>
      <w:r w:rsidRPr="006C62FD">
        <w:t>Uno de los participantes describió la experiencia recurrente de “esperar horas por una respuesta porque el experto en el tema de la inquietud estaba ocupado resolviendo otro caso”, situación que configuró un desfase de andamiaje (</w:t>
      </w:r>
      <w:proofErr w:type="spellStart"/>
      <w:r w:rsidRPr="006C62FD">
        <w:rPr>
          <w:rStyle w:val="nfasis"/>
        </w:rPr>
        <w:t>scaffolding</w:t>
      </w:r>
      <w:proofErr w:type="spellEnd"/>
      <w:r w:rsidRPr="006C62FD">
        <w:rPr>
          <w:rStyle w:val="nfasis"/>
        </w:rPr>
        <w:t xml:space="preserve"> </w:t>
      </w:r>
      <w:proofErr w:type="spellStart"/>
      <w:r w:rsidRPr="006C62FD">
        <w:rPr>
          <w:rStyle w:val="nfasis"/>
        </w:rPr>
        <w:t>lag</w:t>
      </w:r>
      <w:proofErr w:type="spellEnd"/>
      <w:r w:rsidRPr="006C62FD">
        <w:t>) que interrumpió el ciclo dinámico de transferencia del aprendizaje. Esta brecha temporal entre la aparición de la duda y la disponibilidad de orientación experta obligó a los colaboradores a recurrir a estrategias de ensayo, descritas por ellos mismos como “adivinar” procedimientos, lo que incrementó la variabilidad en la ejecución de las tareas y favoreció la consolidación de errores antes de recibir retroalimentación correctiva.</w:t>
      </w:r>
    </w:p>
    <w:p w14:paraId="5A6D3E34" w14:textId="77777777" w:rsidR="006C62FD" w:rsidRPr="006C62FD" w:rsidRDefault="006C62FD" w:rsidP="00243175">
      <w:pPr>
        <w:pStyle w:val="NormalWeb"/>
        <w:spacing w:before="0" w:beforeAutospacing="0" w:after="0" w:afterAutospacing="0" w:line="480" w:lineRule="auto"/>
      </w:pPr>
      <w:r w:rsidRPr="006C62FD">
        <w:t xml:space="preserve">Asimismo, los participantes identificaron como barreras específicas del contexto la ausencia de herramientas de apoyo integradas al flujo de trabajo y la imposibilidad de realizar prácticas deliberadas con casos reales sin exponerse a riesgos financieros o sanciones operativas. </w:t>
      </w:r>
      <w:r w:rsidRPr="006C62FD">
        <w:lastRenderedPageBreak/>
        <w:t>Estas condiciones limitaron la oportunidad de aprendizaje seguro y progresivo, reforzando la dependencia de mecanismos informales y reactivos de adquisición de conocimiento. Desde el marco del DTM</w:t>
      </w:r>
      <w:r w:rsidRPr="006C62FD">
        <w:noBreakHyphen/>
        <w:t>CF, estas experiencias evidenciaron la fragilidad del tránsito entre los intentos iniciales de aplicación y la integración de la retroalimentación cuando el andamiaje humano y tecnológico no se encontraba disponible de manera oportuna y contextualizada.</w:t>
      </w:r>
    </w:p>
    <w:p w14:paraId="6D801797" w14:textId="14660BB8" w:rsidR="006C62FD" w:rsidRPr="006C62FD" w:rsidRDefault="006C62FD" w:rsidP="00243175">
      <w:pPr>
        <w:pStyle w:val="Ttulo3"/>
      </w:pPr>
      <w:r w:rsidRPr="006C62FD">
        <w:t>4.</w:t>
      </w:r>
      <w:r w:rsidR="00D93632">
        <w:t>5</w:t>
      </w:r>
      <w:r w:rsidRPr="006C62FD">
        <w:t>. Análisis integrado: perspectivas organizacionales</w:t>
      </w:r>
    </w:p>
    <w:p w14:paraId="6615F1F1" w14:textId="4D562326" w:rsidR="006C62FD" w:rsidRPr="006C62FD" w:rsidRDefault="006C62FD" w:rsidP="00243175">
      <w:pPr>
        <w:pStyle w:val="NormalWeb"/>
        <w:spacing w:before="0" w:beforeAutospacing="0" w:after="0" w:afterAutospacing="0" w:line="480" w:lineRule="auto"/>
      </w:pPr>
      <w:r w:rsidRPr="006C62FD">
        <w:t>El análisis integrado de los hallazgos se realizó mediante una matriz que articuló las perspectivas de los tres niveles organizacionales considerados en el estudio</w:t>
      </w:r>
      <w:r w:rsidR="00743DA2">
        <w:t xml:space="preserve"> </w:t>
      </w:r>
      <w:r w:rsidRPr="006C62FD">
        <w:t>directivo, gerencial y operativo</w:t>
      </w:r>
      <w:r w:rsidR="00743DA2">
        <w:t xml:space="preserve"> </w:t>
      </w:r>
      <w:r w:rsidRPr="006C62FD">
        <w:t>a partir de las cuatro dimensiones analíticas centrales: errores operativos, desempeño laboral, procesos de formación y transferencia del aprendizaje. Esta matriz permitió identificar convergencias y divergencias relevantes entre los actores clave, así como patrones transversales que atravesaron las distintas posiciones jerárquicas.</w:t>
      </w:r>
    </w:p>
    <w:p w14:paraId="72EF8E94" w14:textId="77777777" w:rsidR="006C62FD" w:rsidRPr="006C62FD" w:rsidRDefault="006C62FD" w:rsidP="00243175">
      <w:pPr>
        <w:pStyle w:val="NormalWeb"/>
        <w:spacing w:before="0" w:beforeAutospacing="0" w:after="0" w:afterAutospacing="0" w:line="480" w:lineRule="auto"/>
      </w:pPr>
      <w:r w:rsidRPr="006C62FD">
        <w:t>En términos de convergencia, los tres niveles coincidieron en reconocer la recurrencia de errores documentales como un problema estructural asociado a procesos de aprendizaje no sistematizados y a la ausencia de mecanismos formativos estandarizados. Asimismo, se observó consenso en torno al impacto negativo de dichos errores sobre el desempeño organizacional, los costos operativos y la experiencia del cliente. Desde la perspectiva operativa, estas falencias se vivieron como incertidumbre y dependencia excesiva del experto; desde el nivel gerencial, como deterioro de indicadores de eficiencia y satisfacción; y desde el nivel directivo, como un riesgo estratégico para la sostenibilidad del negocio.</w:t>
      </w:r>
    </w:p>
    <w:p w14:paraId="6B3DB069" w14:textId="3A77697D" w:rsidR="006C62FD" w:rsidRDefault="006C62FD" w:rsidP="00243175">
      <w:pPr>
        <w:pStyle w:val="NormalWeb"/>
        <w:spacing w:before="0" w:beforeAutospacing="0" w:after="0" w:afterAutospacing="0" w:line="480" w:lineRule="auto"/>
      </w:pPr>
      <w:r w:rsidRPr="006C62FD">
        <w:t xml:space="preserve">Las divergencias se manifestaron principalmente en la interpretación de las causas inmediatas y en el énfasis de las soluciones. Mientras que el nivel directivo focalizó la atención en la falta de un sistema formal de formación, el nivel operativo enfatizó la carencia de apoyo oportuno </w:t>
      </w:r>
      <w:r w:rsidRPr="006C62FD">
        <w:lastRenderedPageBreak/>
        <w:t>en el momento de la ejecución y la necesidad de herramientas integradas al flujo de trabajo. Estas diferencias no resultaron contradictorias, sino complementarias, y reforzaron la pertinencia de un enfoque de rediseño formativo que articulara estandarización, andamiaje situado y soporte al desempeño.</w:t>
      </w:r>
    </w:p>
    <w:p w14:paraId="1216B635" w14:textId="44ED28BC" w:rsidR="00C54FBE" w:rsidRDefault="00C54FBE" w:rsidP="00243175">
      <w:pPr>
        <w:pStyle w:val="NormalWeb"/>
        <w:spacing w:before="0" w:beforeAutospacing="0" w:after="0" w:afterAutospacing="0" w:line="480" w:lineRule="auto"/>
      </w:pPr>
    </w:p>
    <w:p w14:paraId="594094CE" w14:textId="1D998658" w:rsidR="00243175" w:rsidRDefault="00243175" w:rsidP="00243175">
      <w:pPr>
        <w:pStyle w:val="NormalWeb"/>
        <w:spacing w:before="0" w:beforeAutospacing="0" w:after="0" w:afterAutospacing="0" w:line="480" w:lineRule="auto"/>
      </w:pPr>
    </w:p>
    <w:p w14:paraId="25C399D7" w14:textId="5BF1859A" w:rsidR="00243175" w:rsidRDefault="00243175" w:rsidP="00243175">
      <w:pPr>
        <w:pStyle w:val="NormalWeb"/>
        <w:spacing w:before="0" w:beforeAutospacing="0" w:after="0" w:afterAutospacing="0" w:line="480" w:lineRule="auto"/>
      </w:pPr>
    </w:p>
    <w:p w14:paraId="5B9F3D22" w14:textId="06F9398A" w:rsidR="00243175" w:rsidRDefault="00243175" w:rsidP="00243175">
      <w:pPr>
        <w:pStyle w:val="NormalWeb"/>
        <w:spacing w:before="0" w:beforeAutospacing="0" w:after="0" w:afterAutospacing="0" w:line="480" w:lineRule="auto"/>
      </w:pPr>
    </w:p>
    <w:p w14:paraId="22212419" w14:textId="6C729910" w:rsidR="00243175" w:rsidRDefault="00243175" w:rsidP="00243175">
      <w:pPr>
        <w:pStyle w:val="NormalWeb"/>
        <w:spacing w:before="0" w:beforeAutospacing="0" w:after="0" w:afterAutospacing="0" w:line="480" w:lineRule="auto"/>
      </w:pPr>
    </w:p>
    <w:p w14:paraId="0366EDAE" w14:textId="77777777" w:rsidR="00243175" w:rsidRDefault="00243175" w:rsidP="00243175">
      <w:pPr>
        <w:pStyle w:val="NormalWeb"/>
        <w:spacing w:before="0" w:beforeAutospacing="0" w:after="0" w:afterAutospacing="0" w:line="480" w:lineRule="auto"/>
      </w:pPr>
    </w:p>
    <w:p w14:paraId="4413B307" w14:textId="77777777" w:rsidR="00C54FBE" w:rsidRPr="006C62FD" w:rsidRDefault="00C54FBE" w:rsidP="00243175">
      <w:pPr>
        <w:pStyle w:val="NormalWeb"/>
        <w:spacing w:before="0" w:beforeAutospacing="0" w:after="0" w:afterAutospacing="0" w:line="480" w:lineRule="auto"/>
      </w:pPr>
    </w:p>
    <w:p w14:paraId="433F8D34" w14:textId="2FE68B36" w:rsidR="006C62FD" w:rsidRPr="0054600D" w:rsidRDefault="006C62FD" w:rsidP="00243175">
      <w:pPr>
        <w:pStyle w:val="NormalWeb"/>
        <w:spacing w:before="0" w:beforeAutospacing="0" w:after="0" w:afterAutospacing="0" w:line="480" w:lineRule="auto"/>
        <w:rPr>
          <w:i/>
        </w:rPr>
      </w:pPr>
      <w:r w:rsidRPr="0054600D">
        <w:rPr>
          <w:rStyle w:val="Textoennegrita"/>
          <w:i/>
        </w:rPr>
        <w:t xml:space="preserve">Tabla </w:t>
      </w:r>
      <w:r w:rsidR="00C54FBE">
        <w:rPr>
          <w:rStyle w:val="Textoennegrita"/>
          <w:i/>
        </w:rPr>
        <w:t>3</w:t>
      </w:r>
      <w:r w:rsidRPr="0054600D">
        <w:rPr>
          <w:rStyle w:val="Textoennegrita"/>
          <w:i/>
        </w:rPr>
        <w:t>.</w:t>
      </w:r>
      <w:r w:rsidRPr="0054600D">
        <w:rPr>
          <w:i/>
        </w:rPr>
        <w:t xml:space="preserve"> Análisis integrado de perspectivas organizacionales.</w:t>
      </w:r>
    </w:p>
    <w:p w14:paraId="65A3ED47" w14:textId="77777777" w:rsidR="00B13945" w:rsidRPr="00905DB0" w:rsidRDefault="00B13945" w:rsidP="00243175">
      <w:pPr>
        <w:spacing w:after="0"/>
        <w:ind w:firstLine="0"/>
        <w:rPr>
          <w:rFonts w:eastAsia="Times New Roman" w:cs="Times New Roman"/>
          <w:szCs w:val="24"/>
        </w:rPr>
      </w:pPr>
      <w:r w:rsidRPr="00905DB0">
        <w:rPr>
          <w:rFonts w:cs="Times New Roman"/>
          <w:noProof/>
          <w:szCs w:val="24"/>
        </w:rPr>
        <w:lastRenderedPageBreak/>
        <w:drawing>
          <wp:inline distT="0" distB="0" distL="0" distR="0" wp14:anchorId="07FC9DF6" wp14:editId="3E507657">
            <wp:extent cx="5910943" cy="4310743"/>
            <wp:effectExtent l="0" t="0" r="0" b="0"/>
            <wp:docPr id="1192756130" name="Imagen 1192756130"/>
            <wp:cNvGraphicFramePr/>
            <a:graphic xmlns:a="http://schemas.openxmlformats.org/drawingml/2006/main">
              <a:graphicData uri="http://schemas.openxmlformats.org/drawingml/2006/picture">
                <pic:pic xmlns:pic="http://schemas.openxmlformats.org/drawingml/2006/picture">
                  <pic:nvPicPr>
                    <pic:cNvPr id="1192756130" name="Imagen 1192756130"/>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916160" cy="4314547"/>
                    </a:xfrm>
                    <a:prstGeom prst="rect">
                      <a:avLst/>
                    </a:prstGeom>
                    <a:noFill/>
                    <a:ln>
                      <a:noFill/>
                    </a:ln>
                  </pic:spPr>
                </pic:pic>
              </a:graphicData>
            </a:graphic>
          </wp:inline>
        </w:drawing>
      </w:r>
    </w:p>
    <w:p w14:paraId="5CD29CC6" w14:textId="77777777" w:rsidR="00B13945" w:rsidRPr="00905DB0" w:rsidRDefault="00311B33" w:rsidP="00243175">
      <w:pPr>
        <w:spacing w:after="0"/>
        <w:rPr>
          <w:rFonts w:eastAsia="Times New Roman" w:cs="Times New Roman"/>
          <w:szCs w:val="24"/>
        </w:rPr>
      </w:pPr>
      <w:r>
        <w:rPr>
          <w:rFonts w:eastAsia="Times New Roman" w:cs="Times New Roman"/>
          <w:szCs w:val="24"/>
        </w:rPr>
        <w:t xml:space="preserve">Nota. </w:t>
      </w:r>
      <w:r w:rsidR="00C114C7" w:rsidRPr="00905DB0">
        <w:rPr>
          <w:rFonts w:eastAsia="Times New Roman" w:cs="Times New Roman"/>
          <w:szCs w:val="24"/>
        </w:rPr>
        <w:t xml:space="preserve">La categorización de las entrevistas permitió </w:t>
      </w:r>
      <w:r w:rsidR="000F6C02" w:rsidRPr="00905DB0">
        <w:rPr>
          <w:rFonts w:eastAsia="Times New Roman" w:cs="Times New Roman"/>
          <w:szCs w:val="24"/>
        </w:rPr>
        <w:t>identificar</w:t>
      </w:r>
      <w:r w:rsidR="00C114C7" w:rsidRPr="00905DB0">
        <w:rPr>
          <w:rFonts w:eastAsia="Times New Roman" w:cs="Times New Roman"/>
          <w:szCs w:val="24"/>
        </w:rPr>
        <w:t xml:space="preserve"> que los errores mas comunes y que mas afectan la operación de la compañía se comete</w:t>
      </w:r>
      <w:r w:rsidR="0051635C" w:rsidRPr="00905DB0">
        <w:rPr>
          <w:rFonts w:eastAsia="Times New Roman" w:cs="Times New Roman"/>
          <w:szCs w:val="24"/>
        </w:rPr>
        <w:t>n</w:t>
      </w:r>
      <w:r w:rsidR="00C114C7" w:rsidRPr="00905DB0">
        <w:rPr>
          <w:rFonts w:eastAsia="Times New Roman" w:cs="Times New Roman"/>
          <w:szCs w:val="24"/>
        </w:rPr>
        <w:t xml:space="preserve"> en el área de documentación</w:t>
      </w:r>
      <w:r w:rsidR="00994F3C" w:rsidRPr="00905DB0">
        <w:rPr>
          <w:rFonts w:eastAsia="Times New Roman" w:cs="Times New Roman"/>
          <w:szCs w:val="24"/>
        </w:rPr>
        <w:t xml:space="preserve">. Se realizaron </w:t>
      </w:r>
      <w:r w:rsidR="0051635C" w:rsidRPr="00905DB0">
        <w:rPr>
          <w:rFonts w:eastAsia="Times New Roman" w:cs="Times New Roman"/>
          <w:szCs w:val="24"/>
        </w:rPr>
        <w:t>entrevista</w:t>
      </w:r>
      <w:r w:rsidR="00994F3C" w:rsidRPr="00905DB0">
        <w:rPr>
          <w:rFonts w:eastAsia="Times New Roman" w:cs="Times New Roman"/>
          <w:szCs w:val="24"/>
        </w:rPr>
        <w:t>s</w:t>
      </w:r>
      <w:r w:rsidR="00EB5897" w:rsidRPr="00905DB0">
        <w:rPr>
          <w:rFonts w:eastAsia="Times New Roman" w:cs="Times New Roman"/>
          <w:szCs w:val="24"/>
        </w:rPr>
        <w:t xml:space="preserve"> semiestructurada a los</w:t>
      </w:r>
      <w:r w:rsidR="00994F3C" w:rsidRPr="00905DB0">
        <w:rPr>
          <w:rFonts w:eastAsia="Times New Roman" w:cs="Times New Roman"/>
          <w:szCs w:val="24"/>
        </w:rPr>
        <w:t xml:space="preserve"> </w:t>
      </w:r>
      <w:r w:rsidR="00EB5897" w:rsidRPr="00905DB0">
        <w:rPr>
          <w:rFonts w:eastAsia="Times New Roman" w:cs="Times New Roman"/>
          <w:szCs w:val="24"/>
        </w:rPr>
        <w:t>empleados de esta área con el fin de identificar su percepción al respecto de los errores identificados en la primera fase de entrevistas</w:t>
      </w:r>
      <w:r w:rsidR="00C114C7" w:rsidRPr="00905DB0">
        <w:rPr>
          <w:rFonts w:eastAsia="Times New Roman" w:cs="Times New Roman"/>
          <w:szCs w:val="24"/>
        </w:rPr>
        <w:t>.</w:t>
      </w:r>
      <w:r>
        <w:rPr>
          <w:rFonts w:eastAsia="Times New Roman" w:cs="Times New Roman"/>
          <w:szCs w:val="24"/>
        </w:rPr>
        <w:t xml:space="preserve"> </w:t>
      </w:r>
      <w:r w:rsidR="00B13945" w:rsidRPr="00905DB0">
        <w:rPr>
          <w:rFonts w:eastAsia="Times New Roman" w:cs="Times New Roman"/>
          <w:szCs w:val="24"/>
        </w:rPr>
        <w:t>Elaboración propia a partir de la información recolectada.</w:t>
      </w:r>
    </w:p>
    <w:p w14:paraId="16D54BEC" w14:textId="77777777" w:rsidR="00B13945" w:rsidRPr="00905DB0" w:rsidRDefault="00B13945" w:rsidP="00243175">
      <w:pPr>
        <w:spacing w:after="0"/>
        <w:rPr>
          <w:rFonts w:eastAsia="Times New Roman" w:cs="Times New Roman"/>
          <w:szCs w:val="24"/>
        </w:rPr>
      </w:pPr>
      <w:r w:rsidRPr="00905DB0">
        <w:rPr>
          <w:rFonts w:eastAsia="Times New Roman" w:cs="Times New Roman"/>
          <w:szCs w:val="24"/>
        </w:rPr>
        <w:t>El análisis revela consenso respecto a la necesidad de modernizar los procesos formativos y fortalecer el aprendizaje aplicado. No obstante, existen divergencias en la atribución causal de los problemas: mientras la CEO enfatiza factores individuales (motivación), la Gerente Comercial señala déficits de seguimiento, y los empleados identifican carencias estructurales (recursos de refuerzo, accesibilidad a expertos).</w:t>
      </w:r>
    </w:p>
    <w:p w14:paraId="721164ED" w14:textId="137CC602" w:rsidR="006C62FD" w:rsidRPr="006C62FD" w:rsidRDefault="006C62FD" w:rsidP="00243175">
      <w:pPr>
        <w:pStyle w:val="Ttulo3"/>
      </w:pPr>
      <w:r w:rsidRPr="006C62FD">
        <w:t>4.6. Análisis temático por dimensiones del DTM</w:t>
      </w:r>
      <w:r w:rsidRPr="006C62FD">
        <w:noBreakHyphen/>
        <w:t>CF</w:t>
      </w:r>
    </w:p>
    <w:p w14:paraId="2059C01A" w14:textId="77777777" w:rsidR="006C62FD" w:rsidRPr="006C62FD" w:rsidRDefault="006C62FD" w:rsidP="00243175">
      <w:pPr>
        <w:pStyle w:val="NormalWeb"/>
        <w:spacing w:before="0" w:beforeAutospacing="0" w:after="0" w:afterAutospacing="0" w:line="480" w:lineRule="auto"/>
      </w:pPr>
      <w:r w:rsidRPr="006C62FD">
        <w:t xml:space="preserve">El análisis temático de los resultados se estructuró en torno a cuatro categorías emergentes, las cuales fueron validadas mediante triangulación entre los distintos niveles jerárquicos de la </w:t>
      </w:r>
      <w:r w:rsidRPr="006C62FD">
        <w:lastRenderedPageBreak/>
        <w:t>organización y analizadas a través del lente del Modelo de Transferencia Dinámica Contextualizada (DTM</w:t>
      </w:r>
      <w:r w:rsidRPr="006C62FD">
        <w:noBreakHyphen/>
        <w:t>CF).</w:t>
      </w:r>
    </w:p>
    <w:p w14:paraId="2E2B5D6B" w14:textId="77777777" w:rsidR="006C62FD" w:rsidRPr="006C62FD" w:rsidRDefault="006C62FD" w:rsidP="00243175">
      <w:pPr>
        <w:pStyle w:val="Ttulo3"/>
      </w:pPr>
      <w:r w:rsidRPr="006C62FD">
        <w:t xml:space="preserve">4.6.1. Estandarización del conocimiento y fricción </w:t>
      </w:r>
      <w:proofErr w:type="spellStart"/>
      <w:r w:rsidRPr="006C62FD">
        <w:t>sociomaterial</w:t>
      </w:r>
      <w:proofErr w:type="spellEnd"/>
    </w:p>
    <w:p w14:paraId="50AB9FA5" w14:textId="77777777" w:rsidR="006C62FD" w:rsidRPr="006C62FD" w:rsidRDefault="006C62FD" w:rsidP="00243175">
      <w:pPr>
        <w:pStyle w:val="NormalWeb"/>
        <w:spacing w:before="0" w:beforeAutospacing="0" w:after="0" w:afterAutospacing="0" w:line="480" w:lineRule="auto"/>
      </w:pPr>
      <w:r w:rsidRPr="006C62FD">
        <w:t>La brecha de estandarización identificada no se limitó a la ausencia de contenidos formativos formales, sino que se manifestó, de manera más profunda, en la carencia de andamiaje situado durante la ejecución de las tareas. Los empleados operaron con conocimiento fragmentado y parcialmente actualizado, lo que dio lugar a la coexistencia de versiones paralelas de un mismo procedimiento documental. Esta dinámica correspondió a la dimensión de condiciones del entorno laboral del modelo de Baldwin y Ford (1988), pero apareció mediada por la fricción tecnológica incorporada en el DTM</w:t>
      </w:r>
      <w:r w:rsidRPr="006C62FD">
        <w:noBreakHyphen/>
        <w:t>CF: la ausencia de soporte inmediato y la desarticulación entre la formación recibida y el flujo real de trabajo debilitaron la fase de intentos iniciales del ciclo dinámico de transferencia.</w:t>
      </w:r>
    </w:p>
    <w:p w14:paraId="63186B9C" w14:textId="03864896" w:rsidR="006C62FD" w:rsidRPr="006C62FD" w:rsidRDefault="006C62FD" w:rsidP="00243175">
      <w:pPr>
        <w:pStyle w:val="NormalWeb"/>
        <w:spacing w:before="0" w:beforeAutospacing="0" w:after="0" w:afterAutospacing="0" w:line="480" w:lineRule="auto"/>
      </w:pPr>
      <w:r w:rsidRPr="006C62FD">
        <w:t>El fenómeno descrito por los participantes</w:t>
      </w:r>
      <w:r w:rsidR="00743DA2">
        <w:t xml:space="preserve"> </w:t>
      </w:r>
      <w:r w:rsidRPr="006C62FD">
        <w:t>resolver dudas operativas mediante ensayo y error no supervisado ante la imposibilidad de acceder a un experto en tiempo real</w:t>
      </w:r>
      <w:r w:rsidR="00743DA2">
        <w:t xml:space="preserve"> </w:t>
      </w:r>
      <w:r w:rsidRPr="006C62FD">
        <w:t xml:space="preserve">guardó similitud conceptual con lo que </w:t>
      </w:r>
      <w:proofErr w:type="spellStart"/>
      <w:r w:rsidRPr="006C62FD">
        <w:t>Kapur</w:t>
      </w:r>
      <w:proofErr w:type="spellEnd"/>
      <w:r w:rsidRPr="006C62FD">
        <w:t xml:space="preserve"> (2016) denominó</w:t>
      </w:r>
      <w:r w:rsidR="0058599F">
        <w:t xml:space="preserve"> </w:t>
      </w:r>
      <w:r w:rsidR="0058599F" w:rsidRPr="0058599F">
        <w:t>fracaso productivo</w:t>
      </w:r>
      <w:r w:rsidRPr="006C62FD">
        <w:t xml:space="preserve"> </w:t>
      </w:r>
      <w:r w:rsidR="0058599F">
        <w:t>(</w:t>
      </w:r>
      <w:r w:rsidRPr="006C62FD">
        <w:rPr>
          <w:rStyle w:val="nfasis"/>
        </w:rPr>
        <w:t xml:space="preserve">productive </w:t>
      </w:r>
      <w:proofErr w:type="spellStart"/>
      <w:r w:rsidRPr="006C62FD">
        <w:rPr>
          <w:rStyle w:val="nfasis"/>
        </w:rPr>
        <w:t>failure</w:t>
      </w:r>
      <w:proofErr w:type="spellEnd"/>
      <w:r w:rsidR="0058599F">
        <w:rPr>
          <w:rStyle w:val="nfasis"/>
        </w:rPr>
        <w:t>)</w:t>
      </w:r>
      <w:r w:rsidRPr="006C62FD">
        <w:t xml:space="preserve">, entendido como la exposición deliberada al error como mecanismo para generar aprendizajes más profundos que los obtenidos mediante instrucción directa. No obstante, se identificaron diferencias sustantivas que impidieron equiparar ambos fenómenos. En el modelo de Kapur, el fracaso fue diseñado intencionalmente como estrategia pedagógica dentro de un entorno controlado, con una fase posterior de consolidación guiada por el instructor. En el contexto de Car </w:t>
      </w:r>
      <w:proofErr w:type="spellStart"/>
      <w:r w:rsidRPr="006C62FD">
        <w:t>Freight</w:t>
      </w:r>
      <w:proofErr w:type="spellEnd"/>
      <w:r w:rsidRPr="006C62FD">
        <w:t xml:space="preserve"> </w:t>
      </w:r>
      <w:proofErr w:type="spellStart"/>
      <w:r w:rsidRPr="006C62FD">
        <w:t>Shipping</w:t>
      </w:r>
      <w:proofErr w:type="spellEnd"/>
      <w:r w:rsidRPr="006C62FD">
        <w:t xml:space="preserve"> Company, el denominado “aprendizaje por adivinación” no constituyó una decisión pedagógica deliberada, sino una consecuencia no planificada de la brecha de andamiaje: los empleados </w:t>
      </w:r>
      <w:r w:rsidRPr="006C62FD">
        <w:lastRenderedPageBreak/>
        <w:t>intentaron resolver casos reales con consecuencias operativas inmediatas</w:t>
      </w:r>
      <w:r w:rsidR="0058599F">
        <w:t>,</w:t>
      </w:r>
      <w:r w:rsidR="00743DA2">
        <w:t xml:space="preserve"> </w:t>
      </w:r>
      <w:r w:rsidRPr="006C62FD">
        <w:t>retenciones portuarias y sobrecost</w:t>
      </w:r>
      <w:r w:rsidR="0058599F">
        <w:t>o</w:t>
      </w:r>
      <w:r w:rsidRPr="006C62FD">
        <w:t>s</w:t>
      </w:r>
      <w:r w:rsidR="00743DA2">
        <w:t xml:space="preserve"> </w:t>
      </w:r>
      <w:r w:rsidRPr="006C62FD">
        <w:t>sin una red de seguridad cognitiva.</w:t>
      </w:r>
    </w:p>
    <w:p w14:paraId="3AE52460" w14:textId="1C6FDCB6" w:rsidR="006C62FD" w:rsidRPr="006C62FD" w:rsidRDefault="006C62FD" w:rsidP="00243175">
      <w:pPr>
        <w:pStyle w:val="NormalWeb"/>
        <w:spacing w:before="0" w:beforeAutospacing="0" w:after="0" w:afterAutospacing="0" w:line="480" w:lineRule="auto"/>
      </w:pPr>
      <w:r w:rsidRPr="006C62FD">
        <w:t>Este contraste permitió concluir que el fenómeno observado operó más adecuadamente como</w:t>
      </w:r>
      <w:r w:rsidR="0058599F">
        <w:t xml:space="preserve"> </w:t>
      </w:r>
      <w:r w:rsidR="0058599F" w:rsidRPr="0058599F">
        <w:t>fracaso sin una estructura orientada al aprendizaje</w:t>
      </w:r>
      <w:r w:rsidRPr="006C62FD">
        <w:t xml:space="preserve"> </w:t>
      </w:r>
      <w:r w:rsidR="0058599F">
        <w:t>(</w:t>
      </w:r>
      <w:proofErr w:type="spellStart"/>
      <w:r w:rsidRPr="006C62FD">
        <w:rPr>
          <w:rStyle w:val="nfasis"/>
        </w:rPr>
        <w:t>failure</w:t>
      </w:r>
      <w:proofErr w:type="spellEnd"/>
      <w:r w:rsidRPr="006C62FD">
        <w:rPr>
          <w:rStyle w:val="nfasis"/>
        </w:rPr>
        <w:t xml:space="preserve"> </w:t>
      </w:r>
      <w:proofErr w:type="spellStart"/>
      <w:r w:rsidRPr="006C62FD">
        <w:rPr>
          <w:rStyle w:val="nfasis"/>
        </w:rPr>
        <w:t>without</w:t>
      </w:r>
      <w:proofErr w:type="spellEnd"/>
      <w:r w:rsidRPr="006C62FD">
        <w:rPr>
          <w:rStyle w:val="nfasis"/>
        </w:rPr>
        <w:t xml:space="preserve"> productive </w:t>
      </w:r>
      <w:proofErr w:type="spellStart"/>
      <w:r w:rsidRPr="006C62FD">
        <w:rPr>
          <w:rStyle w:val="nfasis"/>
        </w:rPr>
        <w:t>design</w:t>
      </w:r>
      <w:proofErr w:type="spellEnd"/>
      <w:r w:rsidR="0058599F">
        <w:rPr>
          <w:rStyle w:val="nfasis"/>
        </w:rPr>
        <w:t>)</w:t>
      </w:r>
      <w:r w:rsidR="00743DA2">
        <w:t xml:space="preserve"> </w:t>
      </w:r>
      <w:r w:rsidRPr="006C62FD">
        <w:t>error no estructurado con consecuencias reales</w:t>
      </w:r>
      <w:r w:rsidR="00743DA2">
        <w:t xml:space="preserve"> </w:t>
      </w:r>
      <w:r w:rsidRPr="006C62FD">
        <w:t>en sentido estricto. Esta distinción tuvo implicaciones directas para el diseño instruccional: mientras Kapur (2016) recomendó permitir el error previo a la instrucción en entornos controlados, el contexto logístico analizado exigió reducir el margen de error inmediato mediante andamiaje situado, reservando la exploración y el aprendizaje por error para simulaciones sin riesgo financiero.</w:t>
      </w:r>
    </w:p>
    <w:p w14:paraId="452A45E0" w14:textId="77777777" w:rsidR="006C62FD" w:rsidRPr="006C62FD" w:rsidRDefault="006C62FD" w:rsidP="00243175">
      <w:pPr>
        <w:pStyle w:val="Ttulo3"/>
      </w:pPr>
      <w:r w:rsidRPr="006C62FD">
        <w:t>4.6.2. Temporalidad crítica y decaimiento de la intención de transferencia</w:t>
      </w:r>
    </w:p>
    <w:p w14:paraId="01C78090" w14:textId="77777777" w:rsidR="006C62FD" w:rsidRPr="006C62FD" w:rsidRDefault="006C62FD" w:rsidP="00243175">
      <w:pPr>
        <w:pStyle w:val="NormalWeb"/>
        <w:spacing w:before="0" w:beforeAutospacing="0" w:after="0" w:afterAutospacing="0" w:line="480" w:lineRule="auto"/>
      </w:pPr>
      <w:r w:rsidRPr="006C62FD">
        <w:t>La dimensión de desempeño evidenció cómo la precisión temporal moduló la eficacia de la transferencia del aprendizaje. Los empleados de nuevo ingreso reportaron que la curva de aprendizaje se prolongó debido a la ausencia de rutas guiadas y de apoyo oportuno, configurando un fenómeno identificado como decaimiento de la intención de transferir. La motivación inicial para aplicar los conocimientos adquiridos disminuyó progresivamente ante la imposibilidad de resolver dudas en tiempo real, lo que interrumpió el ciclo del DTM</w:t>
      </w:r>
      <w:r w:rsidRPr="006C62FD">
        <w:noBreakHyphen/>
        <w:t>CF antes de que se consolidara la fase de integración de la retroalimentación.</w:t>
      </w:r>
    </w:p>
    <w:p w14:paraId="5D9BD426" w14:textId="1BB88D3A" w:rsidR="006C62FD" w:rsidRPr="006C62FD" w:rsidRDefault="006C62FD" w:rsidP="00243175">
      <w:pPr>
        <w:pStyle w:val="NormalWeb"/>
        <w:spacing w:before="0" w:beforeAutospacing="0" w:after="0" w:afterAutospacing="0" w:line="480" w:lineRule="auto"/>
      </w:pPr>
      <w:r w:rsidRPr="006C62FD">
        <w:t>Resultó necesario realizar una precisión epistemológica respecto al estatus del decaimiento de intención como hallazgo del presente estudio. El diseño metodológico adoptado</w:t>
      </w:r>
      <w:r w:rsidR="00743DA2">
        <w:t xml:space="preserve"> </w:t>
      </w:r>
      <w:r w:rsidRPr="006C62FD">
        <w:t>entrevistas semiestructuradas de carácter retrospectivo</w:t>
      </w:r>
      <w:r w:rsidR="00743DA2">
        <w:t xml:space="preserve"> </w:t>
      </w:r>
      <w:r w:rsidRPr="006C62FD">
        <w:t xml:space="preserve">permitió capturar la percepción subjetiva de los participantes sobre una reducción progresiva de su motivación para aplicar lo aprendido, pero no posibilitó la observación directa del proceso dinámico de decaimiento ni su medición mediante </w:t>
      </w:r>
      <w:r w:rsidRPr="006C62FD">
        <w:lastRenderedPageBreak/>
        <w:t xml:space="preserve">instrumentos cuantitativos específicos, como el </w:t>
      </w:r>
      <w:proofErr w:type="spellStart"/>
      <w:r w:rsidRPr="006C62FD">
        <w:rPr>
          <w:rStyle w:val="nfasis"/>
        </w:rPr>
        <w:t>Learning</w:t>
      </w:r>
      <w:proofErr w:type="spellEnd"/>
      <w:r w:rsidRPr="006C62FD">
        <w:rPr>
          <w:rStyle w:val="nfasis"/>
        </w:rPr>
        <w:t xml:space="preserve"> Transfer </w:t>
      </w:r>
      <w:proofErr w:type="spellStart"/>
      <w:r w:rsidRPr="006C62FD">
        <w:rPr>
          <w:rStyle w:val="nfasis"/>
        </w:rPr>
        <w:t>System</w:t>
      </w:r>
      <w:proofErr w:type="spellEnd"/>
      <w:r w:rsidRPr="006C62FD">
        <w:rPr>
          <w:rStyle w:val="nfasis"/>
        </w:rPr>
        <w:t xml:space="preserve"> </w:t>
      </w:r>
      <w:proofErr w:type="spellStart"/>
      <w:r w:rsidRPr="006C62FD">
        <w:rPr>
          <w:rStyle w:val="nfasis"/>
        </w:rPr>
        <w:t>Inventory</w:t>
      </w:r>
      <w:proofErr w:type="spellEnd"/>
      <w:r w:rsidRPr="006C62FD">
        <w:t xml:space="preserve"> (LTSI) de </w:t>
      </w:r>
      <w:proofErr w:type="spellStart"/>
      <w:r w:rsidRPr="006C62FD">
        <w:t>Holton</w:t>
      </w:r>
      <w:proofErr w:type="spellEnd"/>
      <w:r w:rsidRPr="006C62FD">
        <w:t xml:space="preserve"> et al. (2000), que incluyó una subescala formal de Intención de Transferir.</w:t>
      </w:r>
    </w:p>
    <w:p w14:paraId="3E26ACB8" w14:textId="42628A23" w:rsidR="006C62FD" w:rsidRPr="006C62FD" w:rsidRDefault="006C62FD" w:rsidP="00243175">
      <w:pPr>
        <w:pStyle w:val="NormalWeb"/>
        <w:spacing w:before="0" w:beforeAutospacing="0" w:after="0" w:afterAutospacing="0" w:line="480" w:lineRule="auto"/>
      </w:pPr>
      <w:r w:rsidRPr="006C62FD">
        <w:t>En consecuencia, el decaimiento de intención fue utilizado en este estudio como una inferencia analítica fundamentada, basada en la consistencia de los relatos de los participantes sobre la pérdida progresiva de motivación para consultar el material formativo (“después de la primera semana ya no lo revisaba porque no tenía tiempo ni la respuesta rápida que necesitaba”, E3, E5; parafraseo temático). Estos relatos resultaron congruentes con el mecanismo de decaimiento predicho por el DTM</w:t>
      </w:r>
      <w:r w:rsidRPr="006C62FD">
        <w:noBreakHyphen/>
        <w:t>CF, aunque no permitieron establecer relaciones causales concluyentes. Se planteó, por tanto, que investigaciones futuras incorporaran el LTSI en un diseño longitudinal</w:t>
      </w:r>
      <w:r w:rsidR="00743DA2">
        <w:t xml:space="preserve"> </w:t>
      </w:r>
      <w:r w:rsidRPr="006C62FD">
        <w:t>por ejemplo, aplicado en la semana 1, el mes 1 y el mes 3 post</w:t>
      </w:r>
      <w:r w:rsidRPr="006C62FD">
        <w:noBreakHyphen/>
        <w:t>formación</w:t>
      </w:r>
      <w:r w:rsidR="00743DA2">
        <w:t xml:space="preserve"> </w:t>
      </w:r>
      <w:r w:rsidRPr="006C62FD">
        <w:t xml:space="preserve">con el fin de comprobar empíricamente la existencia y magnitud de este fenómeno en el contexto de Car </w:t>
      </w:r>
      <w:proofErr w:type="spellStart"/>
      <w:r w:rsidRPr="006C62FD">
        <w:t>Freight</w:t>
      </w:r>
      <w:proofErr w:type="spellEnd"/>
      <w:r w:rsidRPr="006C62FD">
        <w:t xml:space="preserve"> </w:t>
      </w:r>
      <w:proofErr w:type="spellStart"/>
      <w:r w:rsidRPr="006C62FD">
        <w:t>Shipping</w:t>
      </w:r>
      <w:proofErr w:type="spellEnd"/>
      <w:r w:rsidRPr="006C62FD">
        <w:t xml:space="preserve"> Company.</w:t>
      </w:r>
    </w:p>
    <w:p w14:paraId="256E1C4D" w14:textId="77777777" w:rsidR="006C62FD" w:rsidRPr="006C62FD" w:rsidRDefault="006C62FD" w:rsidP="00243175">
      <w:pPr>
        <w:pStyle w:val="Ttulo3"/>
      </w:pPr>
      <w:r w:rsidRPr="006C62FD">
        <w:t>4.6.3. Insuficiencia del diseño instruccional tradicional</w:t>
      </w:r>
    </w:p>
    <w:p w14:paraId="0C407CEF" w14:textId="79987ADC" w:rsidR="006C62FD" w:rsidRPr="006C62FD" w:rsidRDefault="006C62FD" w:rsidP="00243175">
      <w:pPr>
        <w:pStyle w:val="NormalWeb"/>
        <w:spacing w:before="0" w:beforeAutospacing="0" w:after="0" w:afterAutospacing="0" w:line="480" w:lineRule="auto"/>
      </w:pPr>
      <w:r w:rsidRPr="006C62FD">
        <w:t>Los tres niveles organizacionales coincidieron en reconocer que la modalidad formativa vigente</w:t>
      </w:r>
      <w:r w:rsidR="00743DA2">
        <w:t xml:space="preserve"> </w:t>
      </w:r>
      <w:r w:rsidRPr="006C62FD">
        <w:t>basada en presentaciones y documentos PDF</w:t>
      </w:r>
      <w:r w:rsidR="00743DA2">
        <w:t xml:space="preserve"> </w:t>
      </w:r>
      <w:r w:rsidRPr="006C62FD">
        <w:t>no desarrolló la resiliencia adaptativa requerida para operar en un entorno caracterizado por alta volatilidad normativa. La formación actual fue percibida como útil para transmitir información básica, pero insuficiente para preparar a los empleados para la resolución autónoma de casos complejos y cambiantes.</w:t>
      </w:r>
    </w:p>
    <w:p w14:paraId="210590D4" w14:textId="3B062BD6" w:rsidR="006C62FD" w:rsidRDefault="006C62FD" w:rsidP="00243175">
      <w:pPr>
        <w:pStyle w:val="NormalWeb"/>
        <w:spacing w:before="0" w:beforeAutospacing="0" w:after="0" w:afterAutospacing="0" w:line="480" w:lineRule="auto"/>
      </w:pPr>
      <w:r w:rsidRPr="006C62FD">
        <w:t xml:space="preserve">Desde esta perspectiva, la automatización formativa fue interpretada como una alternativa viable para lograr estandarización sin </w:t>
      </w:r>
      <w:proofErr w:type="spellStart"/>
      <w:r w:rsidRPr="006C62FD">
        <w:t>rigidización</w:t>
      </w:r>
      <w:proofErr w:type="spellEnd"/>
      <w:r w:rsidRPr="006C62FD">
        <w:t>, siempre que incorporara mecanismos de retroalimentación inmediata, simulación de escenarios reales y apoyo contextual durante la ejecución, superando así el carácter pasivo y declarativo del diseño instruccional tradicional.</w:t>
      </w:r>
    </w:p>
    <w:p w14:paraId="76CC876E" w14:textId="2F6D8646" w:rsidR="00C54FBE" w:rsidRDefault="00C54FBE" w:rsidP="00243175">
      <w:pPr>
        <w:pStyle w:val="NormalWeb"/>
        <w:spacing w:before="0" w:beforeAutospacing="0" w:after="0" w:afterAutospacing="0" w:line="480" w:lineRule="auto"/>
      </w:pPr>
    </w:p>
    <w:p w14:paraId="17C508A5" w14:textId="77777777" w:rsidR="003930E4" w:rsidRPr="006C62FD" w:rsidRDefault="003930E4" w:rsidP="00243175">
      <w:pPr>
        <w:pStyle w:val="NormalWeb"/>
        <w:spacing w:before="0" w:beforeAutospacing="0" w:after="0" w:afterAutospacing="0" w:line="480" w:lineRule="auto"/>
      </w:pPr>
    </w:p>
    <w:p w14:paraId="0D1B9792" w14:textId="77777777" w:rsidR="006C62FD" w:rsidRPr="006C62FD" w:rsidRDefault="006C62FD" w:rsidP="00243175">
      <w:pPr>
        <w:pStyle w:val="Ttulo3"/>
      </w:pPr>
      <w:r w:rsidRPr="006C62FD">
        <w:t>4.6.4. Tensiones en la transferencia del aprendizaje</w:t>
      </w:r>
    </w:p>
    <w:p w14:paraId="76926685" w14:textId="77777777" w:rsidR="006C62FD" w:rsidRPr="006C62FD" w:rsidRDefault="006C62FD" w:rsidP="00243175">
      <w:pPr>
        <w:pStyle w:val="NormalWeb"/>
        <w:spacing w:before="0" w:beforeAutospacing="0" w:after="0" w:afterAutospacing="0" w:line="480" w:lineRule="auto"/>
      </w:pPr>
      <w:r w:rsidRPr="006C62FD">
        <w:t>La transferencia del aprendizaje fue identificada como frágil desde las tres perspectivas organizacionales, aunque con diagnósticos diferenciados. La CEO tendió a vincular las dificultades de transferencia con factores de motivación individual; la Manager Comercial las asoció principalmente con la ausencia de seguimiento sistemático posterior a la formación; y los colaboradores operativos las atribuyeron a la carencia de recursos de refuerzo integrados al flujo de trabajo.</w:t>
      </w:r>
    </w:p>
    <w:p w14:paraId="406768AF" w14:textId="1F748D3C" w:rsidR="00AA3FC7" w:rsidRPr="006C62FD" w:rsidRDefault="006C62FD" w:rsidP="00243175">
      <w:pPr>
        <w:pStyle w:val="NormalWeb"/>
        <w:spacing w:before="0" w:beforeAutospacing="0" w:after="0" w:afterAutospacing="0" w:line="480" w:lineRule="auto"/>
      </w:pPr>
      <w:r w:rsidRPr="006C62FD">
        <w:t xml:space="preserve">Esta pluralidad de atribuciones sugirió que la efectividad de una formación automatizada no dependería de un único factor aislado, sino de su capacidad para articular múltiples formas de retroalimentación, incluyendo mecanismos algorítmicos de seguimiento y validación experta mediada tecnológicamente. En conjunto, los resultados evidenciaron que la implementación de una formación automatizada representó una oportunidad para mejorar el desempeño del área de </w:t>
      </w:r>
      <w:r w:rsidR="00AA3FC7">
        <w:t>d</w:t>
      </w:r>
      <w:r w:rsidRPr="006C62FD">
        <w:t>ocumentación, siempre que se configurara como un sistema de soporte al desempeño integrado al flujo operativo, y no como un repositorio unidireccional de contenidos.</w:t>
      </w:r>
    </w:p>
    <w:p w14:paraId="1C2EF0D9" w14:textId="014DFB83" w:rsidR="006C62FD" w:rsidRPr="006C62FD" w:rsidRDefault="006C62FD" w:rsidP="007214E1">
      <w:pPr>
        <w:spacing w:after="0"/>
        <w:ind w:firstLine="0"/>
        <w:rPr>
          <w:rFonts w:cs="Times New Roman"/>
          <w:b/>
          <w:bCs/>
          <w:szCs w:val="24"/>
        </w:rPr>
      </w:pPr>
      <w:r w:rsidRPr="00AA3FC7">
        <w:rPr>
          <w:rFonts w:cs="Times New Roman"/>
          <w:b/>
          <w:bCs/>
          <w:szCs w:val="24"/>
        </w:rPr>
        <w:t>4.7. Síntesis: el mecanismo de configuración de la transferencia mediante la mediación tecnológica</w:t>
      </w:r>
    </w:p>
    <w:p w14:paraId="4FDA812F" w14:textId="77777777" w:rsidR="006C62FD" w:rsidRPr="006C62FD" w:rsidRDefault="006C62FD" w:rsidP="00243175">
      <w:pPr>
        <w:pStyle w:val="NormalWeb"/>
        <w:spacing w:before="0" w:beforeAutospacing="0" w:after="0" w:afterAutospacing="0" w:line="480" w:lineRule="auto"/>
      </w:pPr>
      <w:r w:rsidRPr="006C62FD">
        <w:t>El análisis integrado de las cuatro dimensiones temáticas permitió responder con mayor precisión a la pregunta de investigación: ¿de qué manera la mediación tecnológica configuró la transferencia del aprendizaje en el contexto analizado?</w:t>
      </w:r>
    </w:p>
    <w:p w14:paraId="0C9AC570" w14:textId="77777777" w:rsidR="006C62FD" w:rsidRPr="006C62FD" w:rsidRDefault="006C62FD" w:rsidP="00243175">
      <w:pPr>
        <w:pStyle w:val="NormalWeb"/>
        <w:spacing w:before="0" w:beforeAutospacing="0" w:after="0" w:afterAutospacing="0" w:line="480" w:lineRule="auto"/>
      </w:pPr>
      <w:r w:rsidRPr="006C62FD">
        <w:t>Los hallazgos sugirieron que la mediación tecnológica no operó como una variable independiente que mejorara o deteriorara la transferencia de forma lineal, sino como un configurador de posibilidades y restricciones que actuó simultáneamente en tres niveles interrelacionados.</w:t>
      </w:r>
    </w:p>
    <w:p w14:paraId="2895199A" w14:textId="5A27E334" w:rsidR="006C62FD" w:rsidRPr="006C62FD" w:rsidRDefault="006C62FD" w:rsidP="00243175">
      <w:pPr>
        <w:pStyle w:val="NormalWeb"/>
        <w:spacing w:before="0" w:beforeAutospacing="0" w:after="0" w:afterAutospacing="0" w:line="480" w:lineRule="auto"/>
      </w:pPr>
      <w:r w:rsidRPr="006C62FD">
        <w:lastRenderedPageBreak/>
        <w:t xml:space="preserve">En un </w:t>
      </w:r>
      <w:r w:rsidRPr="003930E4">
        <w:rPr>
          <w:rStyle w:val="Textoennegrita"/>
          <w:b w:val="0"/>
        </w:rPr>
        <w:t>nivel temporal</w:t>
      </w:r>
      <w:r w:rsidRPr="006C62FD">
        <w:t>, la asincronía introducida por el LMS</w:t>
      </w:r>
      <w:r w:rsidR="00743DA2">
        <w:t xml:space="preserve"> </w:t>
      </w:r>
      <w:r w:rsidRPr="006C62FD">
        <w:t>caracterizada por la disponibilidad permanente del contenido y una respuesta diferida del experto reconfiguró el ciclo de retroalimentación desde un esquema inmediato hacia uno diferido. Este desplazamiento transformó el intento de aplicación del DTM</w:t>
      </w:r>
      <w:r w:rsidRPr="006C62FD">
        <w:noBreakHyphen/>
        <w:t>CF en un proceso de ensayo y error sin red de seguridad. La tecnología no eliminó la necesidad de andamiaje experto, sino que modificó su temporalidad sin sustituir su función.</w:t>
      </w:r>
    </w:p>
    <w:p w14:paraId="7B040075" w14:textId="37123A43" w:rsidR="006C62FD" w:rsidRPr="006C62FD" w:rsidRDefault="006C62FD" w:rsidP="00243175">
      <w:pPr>
        <w:pStyle w:val="NormalWeb"/>
        <w:spacing w:before="0" w:beforeAutospacing="0" w:after="0" w:afterAutospacing="0" w:line="480" w:lineRule="auto"/>
      </w:pPr>
      <w:r w:rsidRPr="006C62FD">
        <w:t xml:space="preserve">En un </w:t>
      </w:r>
      <w:r w:rsidRPr="003930E4">
        <w:rPr>
          <w:rStyle w:val="Textoennegrita"/>
          <w:b w:val="0"/>
        </w:rPr>
        <w:t>nivel cognitivo</w:t>
      </w:r>
      <w:r w:rsidRPr="006C62FD">
        <w:t>, la presentación de los contenidos en formatos lineales y estáticos (PDF y presentaciones) configuró un modo de procesamiento pasivo</w:t>
      </w:r>
      <w:r w:rsidRPr="006C62FD">
        <w:noBreakHyphen/>
        <w:t>declarativo que no activó los esquemas de acción requeridos para la resolución de casos complejos bajo presión temporal (</w:t>
      </w:r>
      <w:proofErr w:type="spellStart"/>
      <w:r w:rsidRPr="006C62FD">
        <w:t>Sweller</w:t>
      </w:r>
      <w:proofErr w:type="spellEnd"/>
      <w:r w:rsidRPr="006C62FD">
        <w:t>, 2016). Esta arquitectura de contenido favoreció el aprendizaje de reconocimiento, pero no el aprendizaje de ejecución</w:t>
      </w:r>
      <w:r w:rsidR="003E1CFB">
        <w:t>,</w:t>
      </w:r>
      <w:r w:rsidR="00743DA2">
        <w:t xml:space="preserve"> </w:t>
      </w:r>
      <w:r w:rsidRPr="006C62FD">
        <w:t>saber aplicarlo correctamente en situaciones reales.</w:t>
      </w:r>
    </w:p>
    <w:p w14:paraId="63928EB3" w14:textId="77777777" w:rsidR="006C62FD" w:rsidRPr="006C62FD" w:rsidRDefault="006C62FD" w:rsidP="00243175">
      <w:pPr>
        <w:pStyle w:val="NormalWeb"/>
        <w:spacing w:before="0" w:beforeAutospacing="0" w:after="0" w:afterAutospacing="0" w:line="480" w:lineRule="auto"/>
      </w:pPr>
      <w:r w:rsidRPr="006C62FD">
        <w:t xml:space="preserve">Finalmente, en un </w:t>
      </w:r>
      <w:r w:rsidRPr="003930E4">
        <w:rPr>
          <w:rStyle w:val="Textoennegrita"/>
          <w:b w:val="0"/>
        </w:rPr>
        <w:t>nivel social</w:t>
      </w:r>
      <w:r w:rsidRPr="003930E4">
        <w:t>, la</w:t>
      </w:r>
      <w:r w:rsidRPr="006C62FD">
        <w:t xml:space="preserve"> sustitución de la interacción experto</w:t>
      </w:r>
      <w:r w:rsidRPr="006C62FD">
        <w:noBreakHyphen/>
        <w:t>aprendiz por contenidos estandarizados eliminó el mecanismo social de corrección inmediata de errores, generando lo que Engeström (2001) denominó una contradicción sistémica: el instrumento mediador (LMS concebido como repositorio) entró en tensión con el objeto de la actividad (ejecución correcta de la documentación bajo presión temporal y regulatoria).</w:t>
      </w:r>
    </w:p>
    <w:p w14:paraId="6CCF6161" w14:textId="2C019B9B" w:rsidR="00A367F3" w:rsidRDefault="006C62FD" w:rsidP="00243175">
      <w:pPr>
        <w:pStyle w:val="NormalWeb"/>
        <w:spacing w:before="0" w:beforeAutospacing="0" w:after="0" w:afterAutospacing="0" w:line="480" w:lineRule="auto"/>
      </w:pPr>
      <w:r w:rsidRPr="006C62FD">
        <w:t>Esta triple configuración permitió explicar por qué la automatización formativa, cuando no fue adaptada al contexto específico, pudo mantener o incluso profundizar las brechas de transferencia que buscó resolver: solucionó el problema de disponibilidad del contenido, pero no abordó de manera suficiente los desafíos asociados a la temporalidad de la retroalimentación, la activación cognitiva pertinente y la validación social del aprendizaje.</w:t>
      </w:r>
    </w:p>
    <w:p w14:paraId="7632F6C2" w14:textId="3A79231C" w:rsidR="00B75669" w:rsidRPr="00D93632" w:rsidRDefault="00B75669" w:rsidP="007214E1">
      <w:pPr>
        <w:pStyle w:val="Ttulo2"/>
        <w:numPr>
          <w:ilvl w:val="0"/>
          <w:numId w:val="31"/>
        </w:numPr>
        <w:spacing w:before="0" w:after="0"/>
        <w:ind w:left="0" w:firstLine="0"/>
      </w:pPr>
      <w:r w:rsidRPr="00D93632">
        <w:t>Discusión</w:t>
      </w:r>
    </w:p>
    <w:p w14:paraId="164D8FF4" w14:textId="70FB0650" w:rsidR="00EA3361" w:rsidRPr="00EA3361" w:rsidRDefault="00EA3361" w:rsidP="00243175">
      <w:pPr>
        <w:spacing w:after="0"/>
        <w:rPr>
          <w:rFonts w:eastAsia="Times New Roman" w:cs="Times New Roman"/>
          <w:szCs w:val="24"/>
        </w:rPr>
      </w:pPr>
      <w:r w:rsidRPr="00EA3361">
        <w:rPr>
          <w:rFonts w:eastAsia="Times New Roman" w:cs="Times New Roman"/>
          <w:szCs w:val="24"/>
        </w:rPr>
        <w:t xml:space="preserve">Los resultados del presente estudio ilustraron una tensión estructural en la gestión contemporánea del talento humano: la automatización de la formación, lejos de constituir una </w:t>
      </w:r>
      <w:r w:rsidRPr="00EA3361">
        <w:rPr>
          <w:rFonts w:eastAsia="Times New Roman" w:cs="Times New Roman"/>
          <w:szCs w:val="24"/>
        </w:rPr>
        <w:lastRenderedPageBreak/>
        <w:t xml:space="preserve">solución técnica unidimensional, generó paradojas organizacionales cuando se aplicó a contextos caracterizados por </w:t>
      </w:r>
      <w:r w:rsidR="003E1CFB">
        <w:rPr>
          <w:rFonts w:eastAsia="Times New Roman" w:cs="Times New Roman"/>
          <w:szCs w:val="24"/>
        </w:rPr>
        <w:t xml:space="preserve">trabajo remoto y </w:t>
      </w:r>
      <w:r w:rsidRPr="00EA3361">
        <w:rPr>
          <w:rFonts w:eastAsia="Times New Roman" w:cs="Times New Roman"/>
          <w:szCs w:val="24"/>
        </w:rPr>
        <w:t xml:space="preserve">alta volatilidad operativa. En el caso de Car </w:t>
      </w:r>
      <w:proofErr w:type="spellStart"/>
      <w:r w:rsidRPr="00EA3361">
        <w:rPr>
          <w:rFonts w:eastAsia="Times New Roman" w:cs="Times New Roman"/>
          <w:szCs w:val="24"/>
        </w:rPr>
        <w:t>Freight</w:t>
      </w:r>
      <w:proofErr w:type="spellEnd"/>
      <w:r w:rsidRPr="00EA3361">
        <w:rPr>
          <w:rFonts w:eastAsia="Times New Roman" w:cs="Times New Roman"/>
          <w:szCs w:val="24"/>
        </w:rPr>
        <w:t xml:space="preserve"> </w:t>
      </w:r>
      <w:proofErr w:type="spellStart"/>
      <w:r w:rsidRPr="00EA3361">
        <w:rPr>
          <w:rFonts w:eastAsia="Times New Roman" w:cs="Times New Roman"/>
          <w:szCs w:val="24"/>
        </w:rPr>
        <w:t>Shipping</w:t>
      </w:r>
      <w:proofErr w:type="spellEnd"/>
      <w:r w:rsidRPr="00EA3361">
        <w:rPr>
          <w:rFonts w:eastAsia="Times New Roman" w:cs="Times New Roman"/>
          <w:szCs w:val="24"/>
        </w:rPr>
        <w:t xml:space="preserve"> Company, la potencial implementación de un </w:t>
      </w:r>
      <w:proofErr w:type="spellStart"/>
      <w:r w:rsidRPr="00EA3361">
        <w:rPr>
          <w:rFonts w:eastAsia="Times New Roman" w:cs="Times New Roman"/>
          <w:szCs w:val="24"/>
        </w:rPr>
        <w:t>Learning</w:t>
      </w:r>
      <w:proofErr w:type="spellEnd"/>
      <w:r w:rsidRPr="00EA3361">
        <w:rPr>
          <w:rFonts w:eastAsia="Times New Roman" w:cs="Times New Roman"/>
          <w:szCs w:val="24"/>
        </w:rPr>
        <w:t xml:space="preserve"> Management </w:t>
      </w:r>
      <w:proofErr w:type="spellStart"/>
      <w:r w:rsidRPr="00EA3361">
        <w:rPr>
          <w:rFonts w:eastAsia="Times New Roman" w:cs="Times New Roman"/>
          <w:szCs w:val="24"/>
        </w:rPr>
        <w:t>System</w:t>
      </w:r>
      <w:proofErr w:type="spellEnd"/>
      <w:r w:rsidRPr="00EA3361">
        <w:rPr>
          <w:rFonts w:eastAsia="Times New Roman" w:cs="Times New Roman"/>
          <w:szCs w:val="24"/>
        </w:rPr>
        <w:t xml:space="preserve"> (LMS) no pudo ser evaluada exclusivamente a través de métricas de eficiencia transaccional</w:t>
      </w:r>
      <w:r w:rsidR="00743DA2">
        <w:rPr>
          <w:rFonts w:eastAsia="Times New Roman" w:cs="Times New Roman"/>
          <w:szCs w:val="24"/>
        </w:rPr>
        <w:t xml:space="preserve"> </w:t>
      </w:r>
      <w:r w:rsidRPr="00EA3361">
        <w:rPr>
          <w:rFonts w:eastAsia="Times New Roman" w:cs="Times New Roman"/>
          <w:szCs w:val="24"/>
        </w:rPr>
        <w:t>como tiempos de completitud o cobertura de contenidos</w:t>
      </w:r>
      <w:r w:rsidR="00743DA2">
        <w:rPr>
          <w:rFonts w:eastAsia="Times New Roman" w:cs="Times New Roman"/>
          <w:szCs w:val="24"/>
        </w:rPr>
        <w:t xml:space="preserve"> </w:t>
      </w:r>
      <w:r w:rsidRPr="00EA3361">
        <w:rPr>
          <w:rFonts w:eastAsia="Times New Roman" w:cs="Times New Roman"/>
          <w:szCs w:val="24"/>
        </w:rPr>
        <w:t>, sino que requirió ser analizada en función de su capacidad para sostener el ciclo dinámico de transferencia del aprendizaje (intención‑intento‑retroalimentación) bajo condiciones de asincronía temporal y presión operativa.</w:t>
      </w:r>
    </w:p>
    <w:p w14:paraId="38983F49" w14:textId="77777777" w:rsidR="00EA3361" w:rsidRPr="00EA3361" w:rsidRDefault="00EA3361" w:rsidP="00243175">
      <w:pPr>
        <w:spacing w:after="0"/>
        <w:rPr>
          <w:rFonts w:eastAsia="Times New Roman" w:cs="Times New Roman"/>
          <w:szCs w:val="24"/>
        </w:rPr>
      </w:pPr>
      <w:r w:rsidRPr="00EA3361">
        <w:rPr>
          <w:rFonts w:eastAsia="Times New Roman" w:cs="Times New Roman"/>
          <w:szCs w:val="24"/>
        </w:rPr>
        <w:t>El análisis de las entrevistas evidenció que la transferencia del aprendizaje se vio afectada de manera significativa por la presencia de un desfase de andamiaje (</w:t>
      </w:r>
      <w:proofErr w:type="spellStart"/>
      <w:r w:rsidRPr="00EA3361">
        <w:rPr>
          <w:rFonts w:eastAsia="Times New Roman" w:cs="Times New Roman"/>
          <w:szCs w:val="24"/>
        </w:rPr>
        <w:t>scaffolding</w:t>
      </w:r>
      <w:proofErr w:type="spellEnd"/>
      <w:r w:rsidRPr="00EA3361">
        <w:rPr>
          <w:rFonts w:eastAsia="Times New Roman" w:cs="Times New Roman"/>
          <w:szCs w:val="24"/>
        </w:rPr>
        <w:t xml:space="preserve"> </w:t>
      </w:r>
      <w:proofErr w:type="spellStart"/>
      <w:r w:rsidRPr="00EA3361">
        <w:rPr>
          <w:rFonts w:eastAsia="Times New Roman" w:cs="Times New Roman"/>
          <w:szCs w:val="24"/>
        </w:rPr>
        <w:t>lag</w:t>
      </w:r>
      <w:proofErr w:type="spellEnd"/>
      <w:r w:rsidRPr="00EA3361">
        <w:rPr>
          <w:rFonts w:eastAsia="Times New Roman" w:cs="Times New Roman"/>
          <w:szCs w:val="24"/>
        </w:rPr>
        <w:t>). Ante la no disponibilidad oportuna del empleado experto, el ciclo de retroalimentación se interrumpió, dando lugar a lo que los participantes denominaron “aprendizaje por adivinación”. Esta condición no pudo ser interpretada como una falla individual del trabajador, sino como una discontinuidad estructural en la dimensión de entorno laboral del modelo clásico de Baldwin y Ford (1988), el cual asumió implícitamente condiciones de proximidad espacio‑temporal entre aprendiz y experto que no se cumplieron en contextos logísticos transnacionales y digitalmente mediados.</w:t>
      </w:r>
    </w:p>
    <w:p w14:paraId="43C09D79" w14:textId="2E09690E" w:rsidR="00EA3361" w:rsidRPr="00EA3361" w:rsidRDefault="00EA3361" w:rsidP="00243175">
      <w:pPr>
        <w:spacing w:after="0"/>
        <w:rPr>
          <w:rFonts w:eastAsia="Times New Roman" w:cs="Times New Roman"/>
          <w:szCs w:val="24"/>
        </w:rPr>
      </w:pPr>
      <w:r w:rsidRPr="00EA3361">
        <w:rPr>
          <w:rFonts w:eastAsia="Times New Roman" w:cs="Times New Roman"/>
          <w:szCs w:val="24"/>
        </w:rPr>
        <w:t>Desde la perspectiva del Modelo de Transferencia Dinámica Contextualizada (DTM‑CF), los hallazgos sugirieron que la automatización facilitó la fase inicial de intención de transferir</w:t>
      </w:r>
      <w:r w:rsidR="00743DA2">
        <w:rPr>
          <w:rFonts w:eastAsia="Times New Roman" w:cs="Times New Roman"/>
          <w:szCs w:val="24"/>
        </w:rPr>
        <w:t xml:space="preserve"> </w:t>
      </w:r>
      <w:r w:rsidRPr="00EA3361">
        <w:rPr>
          <w:rFonts w:eastAsia="Times New Roman" w:cs="Times New Roman"/>
          <w:szCs w:val="24"/>
        </w:rPr>
        <w:t>mediante la disponibilidad permanente de contenidos formativos</w:t>
      </w:r>
      <w:r w:rsidR="00743DA2">
        <w:rPr>
          <w:rFonts w:eastAsia="Times New Roman" w:cs="Times New Roman"/>
          <w:szCs w:val="24"/>
        </w:rPr>
        <w:t xml:space="preserve"> </w:t>
      </w:r>
      <w:r w:rsidRPr="00EA3361">
        <w:rPr>
          <w:rFonts w:eastAsia="Times New Roman" w:cs="Times New Roman"/>
          <w:szCs w:val="24"/>
        </w:rPr>
        <w:t>, pero simultáneamente dificultó la fase de integración de la retroalimentación cuando no se articuló con mecanismos de validación humana. La resistencia manifestada por los participantes hacia nuevas plataformas tecnológicas no se configuró como una barrera psicológica individual o como una expresión genérica de resistencia al cambio, sino como una respuesta racional basada en experiencias previas de fatiga digital post‑pandemia y en la percepción de que el LMS podría operar más como un dispositivo de vigilancia que como un sistema de soporte al desempeño.</w:t>
      </w:r>
    </w:p>
    <w:p w14:paraId="196DE54A" w14:textId="55C36CE5" w:rsidR="00EA3361" w:rsidRPr="00EA3361" w:rsidRDefault="00EA3361" w:rsidP="007214E1">
      <w:pPr>
        <w:spacing w:after="0"/>
        <w:ind w:firstLine="0"/>
        <w:rPr>
          <w:rFonts w:eastAsia="Times New Roman" w:cs="Times New Roman"/>
          <w:b/>
          <w:bCs/>
          <w:szCs w:val="24"/>
        </w:rPr>
      </w:pPr>
      <w:r w:rsidRPr="00D362F5">
        <w:rPr>
          <w:rFonts w:eastAsia="Times New Roman" w:cs="Times New Roman"/>
          <w:b/>
          <w:bCs/>
          <w:szCs w:val="24"/>
        </w:rPr>
        <w:t>5.1. Implicaciones teóricas: hacia una reconceptualización de la transferencia mediada tecnológicamente</w:t>
      </w:r>
    </w:p>
    <w:p w14:paraId="2802136A" w14:textId="77777777" w:rsidR="00EA3361" w:rsidRPr="00EA3361" w:rsidRDefault="00EA3361" w:rsidP="00243175">
      <w:pPr>
        <w:spacing w:after="0"/>
        <w:rPr>
          <w:rFonts w:eastAsia="Times New Roman" w:cs="Times New Roman"/>
          <w:szCs w:val="24"/>
        </w:rPr>
      </w:pPr>
      <w:r w:rsidRPr="00EA3361">
        <w:rPr>
          <w:rFonts w:eastAsia="Times New Roman" w:cs="Times New Roman"/>
          <w:szCs w:val="24"/>
        </w:rPr>
        <w:t xml:space="preserve">Los hallazgos del estudio no confirmaron de forma lineal los supuestos de los modelos clásicos de transferencia del aprendizaje, sino que evidenciaron matices críticos cuando dichos modelos fueron aplicados a entornos formativos mediados por tecnología. El modelo de Baldwin y Ford (1988) conceptualizó el entorno laboral como un facilitador externo de la transferencia; sin embargo, los datos sugirieron que, en contextos de formación automatizada, el “entorno” tendió a </w:t>
      </w:r>
      <w:r w:rsidRPr="00EA3361">
        <w:rPr>
          <w:rFonts w:eastAsia="Times New Roman" w:cs="Times New Roman"/>
          <w:szCs w:val="24"/>
        </w:rPr>
        <w:lastRenderedPageBreak/>
        <w:t>internalizarse en la propia arquitectura del LMS. En este escenario, la retroalimentación dejó de ser exclusivamente interpersonal para volverse parcial o predominantemente algorítmica y asincrónica.</w:t>
      </w:r>
    </w:p>
    <w:p w14:paraId="72AF8094" w14:textId="034F80C5" w:rsidR="00EA3361" w:rsidRPr="00EA3361" w:rsidRDefault="00EA3361" w:rsidP="00243175">
      <w:pPr>
        <w:spacing w:after="0"/>
        <w:rPr>
          <w:rFonts w:eastAsia="Times New Roman" w:cs="Times New Roman"/>
          <w:szCs w:val="24"/>
        </w:rPr>
      </w:pPr>
      <w:r w:rsidRPr="00EA3361">
        <w:rPr>
          <w:rFonts w:eastAsia="Times New Roman" w:cs="Times New Roman"/>
          <w:szCs w:val="24"/>
        </w:rPr>
        <w:t>Este desplazamiento exigió una reconfiguración del clima de transferencia, incorporando la noción de un clima tecno‑pedagógico, en el que variables como la usabilidad del sistema, la densidad de refuerzos, la visibilidad de la trazabilidad del desempeño y la rapidez de la validación adquirieron un rol mediador central (Holton, 2005).</w:t>
      </w:r>
    </w:p>
    <w:p w14:paraId="51E49B03" w14:textId="1C0BAF27" w:rsidR="00EA3361" w:rsidRPr="00EA3361" w:rsidRDefault="00EA3361" w:rsidP="00243175">
      <w:pPr>
        <w:spacing w:after="0"/>
        <w:rPr>
          <w:rFonts w:eastAsia="Times New Roman" w:cs="Times New Roman"/>
          <w:szCs w:val="24"/>
        </w:rPr>
      </w:pPr>
      <w:r w:rsidRPr="00EA3361">
        <w:rPr>
          <w:rFonts w:eastAsia="Times New Roman" w:cs="Times New Roman"/>
          <w:szCs w:val="24"/>
        </w:rPr>
        <w:t>La interpretación de los hallazgos se vio enriquecida al articularlos con el modelo 70:20</w:t>
      </w:r>
      <w:r w:rsidRPr="00552631">
        <w:rPr>
          <w:rFonts w:eastAsia="Times New Roman" w:cs="Times New Roman"/>
          <w:szCs w:val="24"/>
        </w:rPr>
        <w:t>:10 (McCall, Lombardo &amp; Morrison, 1988; Lombardo &amp; Eichinger, 1996),</w:t>
      </w:r>
      <w:r w:rsidRPr="00EA3361">
        <w:rPr>
          <w:rFonts w:eastAsia="Times New Roman" w:cs="Times New Roman"/>
          <w:szCs w:val="24"/>
        </w:rPr>
        <w:t xml:space="preserve"> ampliamente utilizado en el campo del aprendizaje organizacional. Este modelo sostuvo que, en organizaciones de alto desempeño, aproximadamente el 70 % del aprendizaje significativo ocurrió en el puesto de trabajo, el 20 % a través de interacciones sociales (mentores, pares, supervisores) y solo el 10 % mediante formación formal estructurada. </w:t>
      </w:r>
    </w:p>
    <w:p w14:paraId="4A1B957C" w14:textId="32EA1188" w:rsidR="00EA3361" w:rsidRPr="00EA3361" w:rsidRDefault="00EA3361" w:rsidP="00243175">
      <w:pPr>
        <w:spacing w:after="0"/>
        <w:rPr>
          <w:rFonts w:eastAsia="Times New Roman" w:cs="Times New Roman"/>
          <w:szCs w:val="24"/>
        </w:rPr>
      </w:pPr>
      <w:r w:rsidRPr="00EA3361">
        <w:rPr>
          <w:rFonts w:eastAsia="Times New Roman" w:cs="Times New Roman"/>
          <w:szCs w:val="24"/>
        </w:rPr>
        <w:t>Este patrón no constituyó un déficit organizacional, sino una confirmación empírica del modelo 70:20:10 en un contexto de alta presión operativa. La implicación teórica fue clara: un LMS configurado exclusivamente como repositorio de contenidos formales solo podía aspirar a incidir de manera marginal</w:t>
      </w:r>
      <w:r w:rsidR="00743DA2">
        <w:rPr>
          <w:rFonts w:eastAsia="Times New Roman" w:cs="Times New Roman"/>
          <w:szCs w:val="24"/>
        </w:rPr>
        <w:t xml:space="preserve"> </w:t>
      </w:r>
      <w:r w:rsidRPr="00EA3361">
        <w:rPr>
          <w:rFonts w:eastAsia="Times New Roman" w:cs="Times New Roman"/>
          <w:szCs w:val="24"/>
        </w:rPr>
        <w:t>aproximadamente sobre el 10 %</w:t>
      </w:r>
      <w:r w:rsidR="00743DA2">
        <w:rPr>
          <w:rFonts w:eastAsia="Times New Roman" w:cs="Times New Roman"/>
          <w:szCs w:val="24"/>
        </w:rPr>
        <w:t xml:space="preserve"> </w:t>
      </w:r>
      <w:r w:rsidRPr="00EA3361">
        <w:rPr>
          <w:rFonts w:eastAsia="Times New Roman" w:cs="Times New Roman"/>
          <w:szCs w:val="24"/>
        </w:rPr>
        <w:t>del aprendizaje efectivo de los empleados. La pertinencia del diseño propuesto</w:t>
      </w:r>
      <w:r w:rsidR="00743DA2">
        <w:rPr>
          <w:rFonts w:eastAsia="Times New Roman" w:cs="Times New Roman"/>
          <w:szCs w:val="24"/>
        </w:rPr>
        <w:t xml:space="preserve"> </w:t>
      </w:r>
      <w:r w:rsidRPr="00EA3361">
        <w:rPr>
          <w:rFonts w:eastAsia="Times New Roman" w:cs="Times New Roman"/>
          <w:szCs w:val="24"/>
        </w:rPr>
        <w:t xml:space="preserve">un Performance </w:t>
      </w:r>
      <w:proofErr w:type="spellStart"/>
      <w:r w:rsidRPr="00EA3361">
        <w:rPr>
          <w:rFonts w:eastAsia="Times New Roman" w:cs="Times New Roman"/>
          <w:szCs w:val="24"/>
        </w:rPr>
        <w:t>Support</w:t>
      </w:r>
      <w:proofErr w:type="spellEnd"/>
      <w:r w:rsidRPr="00EA3361">
        <w:rPr>
          <w:rFonts w:eastAsia="Times New Roman" w:cs="Times New Roman"/>
          <w:szCs w:val="24"/>
        </w:rPr>
        <w:t xml:space="preserve"> </w:t>
      </w:r>
      <w:proofErr w:type="spellStart"/>
      <w:r w:rsidRPr="00EA3361">
        <w:rPr>
          <w:rFonts w:eastAsia="Times New Roman" w:cs="Times New Roman"/>
          <w:szCs w:val="24"/>
        </w:rPr>
        <w:t>System</w:t>
      </w:r>
      <w:proofErr w:type="spellEnd"/>
      <w:r w:rsidRPr="00EA3361">
        <w:rPr>
          <w:rFonts w:eastAsia="Times New Roman" w:cs="Times New Roman"/>
          <w:szCs w:val="24"/>
        </w:rPr>
        <w:t xml:space="preserve"> integrado al flujo de trabajo y complementado con mentoría escalonada</w:t>
      </w:r>
      <w:r w:rsidR="00743DA2">
        <w:rPr>
          <w:rFonts w:eastAsia="Times New Roman" w:cs="Times New Roman"/>
          <w:szCs w:val="24"/>
        </w:rPr>
        <w:t xml:space="preserve"> </w:t>
      </w:r>
      <w:r w:rsidRPr="00EA3361">
        <w:rPr>
          <w:rFonts w:eastAsia="Times New Roman" w:cs="Times New Roman"/>
          <w:szCs w:val="24"/>
        </w:rPr>
        <w:t>residió precisamente en su capacidad para potenciar también el componente social (20 %) y el aprendizaje situado en la tarea (70 %), aproximándose de manera más integral al ecosistema real de aprendizaje organizacional.</w:t>
      </w:r>
    </w:p>
    <w:p w14:paraId="1F429642" w14:textId="77777777" w:rsidR="00EA3361" w:rsidRPr="00EA3361" w:rsidRDefault="00EA3361" w:rsidP="00243175">
      <w:pPr>
        <w:spacing w:after="0"/>
        <w:rPr>
          <w:rFonts w:eastAsia="Times New Roman" w:cs="Times New Roman"/>
          <w:szCs w:val="24"/>
        </w:rPr>
      </w:pPr>
      <w:r w:rsidRPr="00EA3361">
        <w:rPr>
          <w:rFonts w:eastAsia="Times New Roman" w:cs="Times New Roman"/>
          <w:szCs w:val="24"/>
        </w:rPr>
        <w:t>En relación con el DTM‑CF, el estudio ilustró que el ciclo intención‑aplicación‑retroalimentación tendió a acelerarse con la digitalización, pero se fragmentó cuando no existió un umbral mínimo de acompañamiento humano. La evidencia empírica mostró que la intención de transferir fue elevada en la fase inicial de acceso digital, pero decayó de manera progresiva en ausencia de oportunidades de práctica supervisada y validación social. Este hallazgo sugirió que los modelos dinámicos de transferencia subestimaron, en su formulación original, la función del andamiaje sociotécnico como variable crítica de mantenimiento de la transferencia.</w:t>
      </w:r>
    </w:p>
    <w:p w14:paraId="588B1E25" w14:textId="77777777" w:rsidR="00EA3361" w:rsidRPr="00EA3361" w:rsidRDefault="00EA3361" w:rsidP="00243175">
      <w:pPr>
        <w:spacing w:after="0"/>
        <w:rPr>
          <w:rFonts w:eastAsia="Times New Roman" w:cs="Times New Roman"/>
          <w:szCs w:val="24"/>
        </w:rPr>
      </w:pPr>
      <w:r w:rsidRPr="00EA3361">
        <w:rPr>
          <w:rFonts w:eastAsia="Times New Roman" w:cs="Times New Roman"/>
          <w:szCs w:val="24"/>
        </w:rPr>
        <w:t xml:space="preserve">En consecuencia, el estudio no cerró el debate teórico sobre la transferencia del aprendizaje en contextos automatizados, sino que lo reposicionó: la transferencia mediada tecnológicamente emergió como un fenómeno distribuido entre la arquitectura instruccional, las métricas de uso del </w:t>
      </w:r>
      <w:r w:rsidRPr="00EA3361">
        <w:rPr>
          <w:rFonts w:eastAsia="Times New Roman" w:cs="Times New Roman"/>
          <w:szCs w:val="24"/>
        </w:rPr>
        <w:lastRenderedPageBreak/>
        <w:t>sistema y la cultura organizacional de aprendizaje, y no como un proceso predominantemente psicológico‑individual.</w:t>
      </w:r>
    </w:p>
    <w:p w14:paraId="56D79E76" w14:textId="76C9744F" w:rsidR="00EA3361" w:rsidRPr="00EA3361" w:rsidRDefault="00EA3361" w:rsidP="007214E1">
      <w:pPr>
        <w:spacing w:after="0"/>
        <w:ind w:firstLine="0"/>
        <w:rPr>
          <w:rFonts w:eastAsia="Times New Roman" w:cs="Times New Roman"/>
          <w:b/>
          <w:bCs/>
          <w:szCs w:val="24"/>
        </w:rPr>
      </w:pPr>
      <w:r w:rsidRPr="00EA3361">
        <w:rPr>
          <w:rFonts w:eastAsia="Times New Roman" w:cs="Times New Roman"/>
          <w:b/>
          <w:bCs/>
          <w:szCs w:val="24"/>
        </w:rPr>
        <w:t>5.2. Implicaciones prácticas: hacia una implementación condicionada</w:t>
      </w:r>
    </w:p>
    <w:p w14:paraId="28E6F514" w14:textId="77777777" w:rsidR="00EA3361" w:rsidRPr="00EA3361" w:rsidRDefault="00EA3361" w:rsidP="00243175">
      <w:pPr>
        <w:spacing w:after="0"/>
        <w:rPr>
          <w:rFonts w:eastAsia="Times New Roman" w:cs="Times New Roman"/>
          <w:szCs w:val="24"/>
        </w:rPr>
      </w:pPr>
      <w:r w:rsidRPr="00EA3361">
        <w:rPr>
          <w:rFonts w:eastAsia="Times New Roman" w:cs="Times New Roman"/>
          <w:szCs w:val="24"/>
        </w:rPr>
        <w:t>Los resultados evidenciaron que la efectividad de un sistema de formación automatizada no dependió exclusivamente de su capacidad técnica, sino de su integración orgánica con las prácticas de trabajo y con la cultura organizacional. La propuesta diseñada no pudo ser entendida como una solución definitiva, sino como una intervención sujeta a ajustes continuos en función de los moderadores identificados empíricamente.</w:t>
      </w:r>
    </w:p>
    <w:p w14:paraId="3F54BC6F" w14:textId="4DA8A669" w:rsidR="00EA3361" w:rsidRPr="00EA3361" w:rsidRDefault="00EA3361" w:rsidP="00243175">
      <w:pPr>
        <w:spacing w:after="0"/>
        <w:rPr>
          <w:rFonts w:eastAsia="Times New Roman" w:cs="Times New Roman"/>
          <w:szCs w:val="24"/>
        </w:rPr>
      </w:pPr>
      <w:r w:rsidRPr="00EA3361">
        <w:rPr>
          <w:rFonts w:eastAsia="Times New Roman" w:cs="Times New Roman"/>
          <w:szCs w:val="24"/>
        </w:rPr>
        <w:t>Desde la práctica profesional, se destacó la necesidad de articular la automatización con estrategias de acompañamiento humano. La asignación de tutores o mentores para la resolución de casos complejos se identificó como un mecanismo clave para el desarrollo gradual de autonomía y confianza laboral. De manera complementaria, se consideró fundamental establecer sistemas de seguimiento del desempeño que incorporaran indicadores conductuales</w:t>
      </w:r>
      <w:r w:rsidR="00603EEB">
        <w:rPr>
          <w:rFonts w:eastAsia="Times New Roman" w:cs="Times New Roman"/>
          <w:szCs w:val="24"/>
        </w:rPr>
        <w:t>,</w:t>
      </w:r>
      <w:r w:rsidR="00743DA2">
        <w:rPr>
          <w:rFonts w:eastAsia="Times New Roman" w:cs="Times New Roman"/>
          <w:szCs w:val="24"/>
        </w:rPr>
        <w:t xml:space="preserve"> </w:t>
      </w:r>
      <w:r w:rsidRPr="00EA3361">
        <w:rPr>
          <w:rFonts w:eastAsia="Times New Roman" w:cs="Times New Roman"/>
          <w:szCs w:val="24"/>
        </w:rPr>
        <w:t>patrones de error, tiempos de resolución, recurrencia de fallas</w:t>
      </w:r>
      <w:r w:rsidR="00743DA2">
        <w:rPr>
          <w:rFonts w:eastAsia="Times New Roman" w:cs="Times New Roman"/>
          <w:szCs w:val="24"/>
        </w:rPr>
        <w:t xml:space="preserve"> </w:t>
      </w:r>
      <w:r w:rsidRPr="00EA3361">
        <w:rPr>
          <w:rFonts w:eastAsia="Times New Roman" w:cs="Times New Roman"/>
          <w:szCs w:val="24"/>
        </w:rPr>
        <w:t>más allá de métricas instrumentales de completitud de contenidos, utilizando dicha información para retroalimentar tanto a los empleados como al diseño de los programas formativos automatizados.</w:t>
      </w:r>
    </w:p>
    <w:p w14:paraId="30CDC2B2" w14:textId="77777777" w:rsidR="00EA3361" w:rsidRPr="00EA3361" w:rsidRDefault="00EA3361" w:rsidP="00243175">
      <w:pPr>
        <w:spacing w:after="0"/>
        <w:rPr>
          <w:rFonts w:eastAsia="Times New Roman" w:cs="Times New Roman"/>
          <w:szCs w:val="24"/>
        </w:rPr>
      </w:pPr>
      <w:r w:rsidRPr="00EA3361">
        <w:rPr>
          <w:rFonts w:eastAsia="Times New Roman" w:cs="Times New Roman"/>
          <w:szCs w:val="24"/>
        </w:rPr>
        <w:t>Asimismo, se subrayó la importancia de promover una cultura institucional que diferenciara explícitamente las plataformas de aprendizaje de los sistemas de control. La inversión en tecnología formativa requirió estar acompañada de políticas internas que incentivaran el uso estratégico del LMS como herramienta de desarrollo y aprendizaje permanente, y no como mecanismo de vigilancia administrativa.</w:t>
      </w:r>
    </w:p>
    <w:p w14:paraId="4B6F85D5" w14:textId="1E6D4ED6" w:rsidR="00EA3361" w:rsidRPr="00EA3361" w:rsidRDefault="00EA3361" w:rsidP="007214E1">
      <w:pPr>
        <w:spacing w:after="0"/>
        <w:ind w:firstLine="0"/>
        <w:rPr>
          <w:rFonts w:eastAsia="Times New Roman" w:cs="Times New Roman"/>
          <w:b/>
          <w:bCs/>
          <w:szCs w:val="24"/>
        </w:rPr>
      </w:pPr>
      <w:r w:rsidRPr="00EA3361">
        <w:rPr>
          <w:rFonts w:eastAsia="Times New Roman" w:cs="Times New Roman"/>
          <w:b/>
          <w:bCs/>
          <w:szCs w:val="24"/>
        </w:rPr>
        <w:t>5.3. Limitaciones del estudio y líneas de investigación futura</w:t>
      </w:r>
    </w:p>
    <w:p w14:paraId="106E159F" w14:textId="77777777" w:rsidR="00EA3361" w:rsidRPr="00EA3361" w:rsidRDefault="00EA3361" w:rsidP="00243175">
      <w:pPr>
        <w:spacing w:after="0"/>
        <w:rPr>
          <w:rFonts w:eastAsia="Times New Roman" w:cs="Times New Roman"/>
          <w:szCs w:val="24"/>
        </w:rPr>
      </w:pPr>
      <w:r w:rsidRPr="00EA3361">
        <w:rPr>
          <w:rFonts w:eastAsia="Times New Roman" w:cs="Times New Roman"/>
          <w:szCs w:val="24"/>
        </w:rPr>
        <w:t>El estudio presentó limitaciones que debieron ser consideradas al interpretar sus resultados. En primer lugar, el diseño de caso único restringió la posibilidad de generalización estadística; los hallazgos debieron ser entendidos como evidencia de mecanismos analíticos contextualizados, y no como leyes universales de la automatización formativa.</w:t>
      </w:r>
    </w:p>
    <w:p w14:paraId="6A40350C" w14:textId="2E588B53" w:rsidR="00EA3361" w:rsidRPr="00EA3361" w:rsidRDefault="00EA3361" w:rsidP="00243175">
      <w:pPr>
        <w:spacing w:after="0"/>
        <w:rPr>
          <w:rFonts w:eastAsia="Times New Roman" w:cs="Times New Roman"/>
          <w:szCs w:val="24"/>
        </w:rPr>
      </w:pPr>
      <w:r w:rsidRPr="00EA3361">
        <w:rPr>
          <w:rFonts w:eastAsia="Times New Roman" w:cs="Times New Roman"/>
          <w:szCs w:val="24"/>
        </w:rPr>
        <w:t xml:space="preserve">Adicionalmente, se identificaron limitaciones analíticas específicas. El análisis no exploró de manera sistemática la variación interna entre los seis empleados operativos: aunque todos reportaron experiencias de brecha de andamiaje y aprendizaje por adivinación, el estudio no indagó en profundidad por qué algunos pudieron lograr una transferencia relativamente más exitosa que otros, ni qué estrategias individuales o relacionales compensaron parcialmente la ausencia de </w:t>
      </w:r>
      <w:r w:rsidRPr="00EA3361">
        <w:rPr>
          <w:rFonts w:eastAsia="Times New Roman" w:cs="Times New Roman"/>
          <w:szCs w:val="24"/>
        </w:rPr>
        <w:lastRenderedPageBreak/>
        <w:t>andamiaje formal. La ausencia de análisis de casos desviantes</w:t>
      </w:r>
      <w:r w:rsidR="00743DA2">
        <w:rPr>
          <w:rFonts w:eastAsia="Times New Roman" w:cs="Times New Roman"/>
          <w:szCs w:val="24"/>
        </w:rPr>
        <w:t xml:space="preserve"> </w:t>
      </w:r>
      <w:r w:rsidRPr="00EA3361">
        <w:rPr>
          <w:rFonts w:eastAsia="Times New Roman" w:cs="Times New Roman"/>
          <w:szCs w:val="24"/>
        </w:rPr>
        <w:t>aquellos que funcionaron a pesar de condiciones adversas</w:t>
      </w:r>
      <w:r w:rsidR="00743DA2">
        <w:rPr>
          <w:rFonts w:eastAsia="Times New Roman" w:cs="Times New Roman"/>
          <w:szCs w:val="24"/>
        </w:rPr>
        <w:t xml:space="preserve"> </w:t>
      </w:r>
      <w:r w:rsidRPr="00EA3361">
        <w:rPr>
          <w:rFonts w:eastAsia="Times New Roman" w:cs="Times New Roman"/>
          <w:szCs w:val="24"/>
        </w:rPr>
        <w:t>limitó la identificación de factores de resiliencia del aprendizaje.</w:t>
      </w:r>
    </w:p>
    <w:p w14:paraId="3C4007B8" w14:textId="77777777" w:rsidR="00EA3361" w:rsidRPr="00EA3361" w:rsidRDefault="00EA3361" w:rsidP="00243175">
      <w:pPr>
        <w:spacing w:after="0"/>
        <w:rPr>
          <w:rFonts w:eastAsia="Times New Roman" w:cs="Times New Roman"/>
          <w:szCs w:val="24"/>
        </w:rPr>
      </w:pPr>
      <w:r w:rsidRPr="00EA3361">
        <w:rPr>
          <w:rFonts w:eastAsia="Times New Roman" w:cs="Times New Roman"/>
          <w:szCs w:val="24"/>
        </w:rPr>
        <w:t>En segundo lugar, el estudio no pudo determinar si la inducción informal basada en modelaje (“aprender sobre la marcha”) funcionó de manera efectiva en algún momento ni bajo qué condiciones específicas, lo que habría permitido identificar qué componentes de dicha práctica informal debían ser preservados o integrados en la propuesta automatizada, en lugar de ser simplemente reemplazados. Estas cuestiones se plantearon como líneas prioritarias para investigaciones futuras que adoptaran diseños de casos múltiples y análisis comparativos sistemáticos (Yin, 2018).</w:t>
      </w:r>
    </w:p>
    <w:p w14:paraId="7F74E911" w14:textId="5BF3538A" w:rsidR="00EA3361" w:rsidRPr="00EA3361" w:rsidRDefault="00EA3361" w:rsidP="00243175">
      <w:pPr>
        <w:spacing w:after="0"/>
        <w:rPr>
          <w:rFonts w:eastAsia="Times New Roman" w:cs="Times New Roman"/>
          <w:szCs w:val="24"/>
        </w:rPr>
      </w:pPr>
      <w:r w:rsidRPr="00EA3361">
        <w:rPr>
          <w:rFonts w:eastAsia="Times New Roman" w:cs="Times New Roman"/>
          <w:szCs w:val="24"/>
        </w:rPr>
        <w:t>En tercer lugar, aunque el tamaño muestral fue reducido (ocho participantes), el corpus alcanzó suficiencia interpretativa, dado que las entrevistas posteriores no incorporaron nuevas dimensiones analíticas relevantes a los temas en construcción (Braun &amp; Clarke, 2022). No obstante, el periodo de observación fue limitado, lo que impidió evaluar los efectos de la formación automatizada a medi</w:t>
      </w:r>
      <w:r w:rsidR="00603EEB">
        <w:rPr>
          <w:rFonts w:eastAsia="Times New Roman" w:cs="Times New Roman"/>
          <w:szCs w:val="24"/>
        </w:rPr>
        <w:t>ano</w:t>
      </w:r>
      <w:r w:rsidRPr="00EA3361">
        <w:rPr>
          <w:rFonts w:eastAsia="Times New Roman" w:cs="Times New Roman"/>
          <w:szCs w:val="24"/>
        </w:rPr>
        <w:t xml:space="preserve"> y largo plazo.</w:t>
      </w:r>
    </w:p>
    <w:p w14:paraId="431E3F77" w14:textId="60F9AA4B" w:rsidR="00EA3361" w:rsidRPr="00EA3361" w:rsidRDefault="00EA3361" w:rsidP="00243175">
      <w:pPr>
        <w:spacing w:after="0"/>
        <w:rPr>
          <w:rFonts w:eastAsia="Times New Roman" w:cs="Times New Roman"/>
          <w:szCs w:val="24"/>
        </w:rPr>
      </w:pPr>
      <w:r w:rsidRPr="00EA3361">
        <w:rPr>
          <w:rFonts w:eastAsia="Times New Roman" w:cs="Times New Roman"/>
          <w:szCs w:val="24"/>
        </w:rPr>
        <w:t>Como líneas de investigación futura, se sugirió: (a) ampliar el estudio a múltiples organizaciones del sector logístico para contrastar los moderadores contextuales identificados; (b) desarrollar diseños experimentales o cuasi‑experimentales que compararan la efectividad de la propuesta híbrida frente a modelos puramente presenciales o puramente automatizados; y (c) profundizar en el uso de tecnologías emergentes</w:t>
      </w:r>
      <w:r w:rsidR="00743DA2">
        <w:rPr>
          <w:rFonts w:eastAsia="Times New Roman" w:cs="Times New Roman"/>
          <w:szCs w:val="24"/>
        </w:rPr>
        <w:t xml:space="preserve"> </w:t>
      </w:r>
      <w:r w:rsidRPr="00EA3361">
        <w:rPr>
          <w:rFonts w:eastAsia="Times New Roman" w:cs="Times New Roman"/>
          <w:szCs w:val="24"/>
        </w:rPr>
        <w:t xml:space="preserve">como inteligencia artificial adaptativa y </w:t>
      </w:r>
      <w:proofErr w:type="spellStart"/>
      <w:r w:rsidRPr="00EA3361">
        <w:rPr>
          <w:rFonts w:eastAsia="Times New Roman" w:cs="Times New Roman"/>
          <w:szCs w:val="24"/>
        </w:rPr>
        <w:t>learning</w:t>
      </w:r>
      <w:proofErr w:type="spellEnd"/>
      <w:r w:rsidRPr="00EA3361">
        <w:rPr>
          <w:rFonts w:eastAsia="Times New Roman" w:cs="Times New Roman"/>
          <w:szCs w:val="24"/>
        </w:rPr>
        <w:t xml:space="preserve"> </w:t>
      </w:r>
      <w:proofErr w:type="spellStart"/>
      <w:r w:rsidRPr="00EA3361">
        <w:rPr>
          <w:rFonts w:eastAsia="Times New Roman" w:cs="Times New Roman"/>
          <w:szCs w:val="24"/>
        </w:rPr>
        <w:t>analytics</w:t>
      </w:r>
      <w:proofErr w:type="spellEnd"/>
      <w:r w:rsidRPr="00EA3361">
        <w:rPr>
          <w:rFonts w:eastAsia="Times New Roman" w:cs="Times New Roman"/>
          <w:szCs w:val="24"/>
        </w:rPr>
        <w:t xml:space="preserve"> predictivo</w:t>
      </w:r>
      <w:r w:rsidR="00743DA2">
        <w:rPr>
          <w:rFonts w:eastAsia="Times New Roman" w:cs="Times New Roman"/>
          <w:szCs w:val="24"/>
        </w:rPr>
        <w:t xml:space="preserve"> </w:t>
      </w:r>
      <w:r w:rsidRPr="00EA3361">
        <w:rPr>
          <w:rFonts w:eastAsia="Times New Roman" w:cs="Times New Roman"/>
          <w:szCs w:val="24"/>
        </w:rPr>
        <w:t>para la personalización dinámica de rutas formativas.</w:t>
      </w:r>
    </w:p>
    <w:p w14:paraId="348CCBE8" w14:textId="1FC9EF42" w:rsidR="00B75669" w:rsidRDefault="00EA3361" w:rsidP="00243175">
      <w:pPr>
        <w:spacing w:after="0"/>
        <w:rPr>
          <w:rFonts w:eastAsia="Times New Roman" w:cs="Times New Roman"/>
          <w:szCs w:val="24"/>
        </w:rPr>
      </w:pPr>
      <w:r w:rsidRPr="00EA3361">
        <w:rPr>
          <w:rFonts w:eastAsia="Times New Roman" w:cs="Times New Roman"/>
          <w:szCs w:val="24"/>
        </w:rPr>
        <w:t>Finalmente, se consideró pertinente explorar de manera más sistemática el papel del liderazgo y del clima laboral como variables mediadoras de la efectividad de la formación automatizada, así como incorporar la perspectiva de empleados que abandonaron la organización durante su proceso de inducción, cuya ausencia constituyó una muestra censurada que podría aportar información crítica sobre barreras no identificadas en el presente estudio.</w:t>
      </w:r>
    </w:p>
    <w:p w14:paraId="20EC69B5" w14:textId="7C64C65E" w:rsidR="0054600D" w:rsidRPr="00552631" w:rsidRDefault="0054600D" w:rsidP="007214E1">
      <w:pPr>
        <w:pStyle w:val="Ttulo2"/>
        <w:numPr>
          <w:ilvl w:val="0"/>
          <w:numId w:val="31"/>
        </w:numPr>
        <w:spacing w:before="0" w:after="0"/>
        <w:ind w:left="0" w:firstLine="0"/>
      </w:pPr>
      <w:r w:rsidRPr="00552631">
        <w:t>Propuesta de implementación</w:t>
      </w:r>
    </w:p>
    <w:p w14:paraId="74C62C24" w14:textId="13E1B627" w:rsidR="00125110" w:rsidRPr="00830BAC" w:rsidRDefault="006D736C" w:rsidP="007214E1">
      <w:pPr>
        <w:pStyle w:val="Ttulo2"/>
        <w:keepNext w:val="0"/>
        <w:keepLines w:val="0"/>
        <w:numPr>
          <w:ilvl w:val="1"/>
          <w:numId w:val="31"/>
        </w:numPr>
        <w:spacing w:before="0" w:after="0"/>
        <w:ind w:left="0" w:firstLine="0"/>
        <w:jc w:val="left"/>
        <w:rPr>
          <w:rFonts w:eastAsia="Times New Roman" w:cs="Times New Roman"/>
          <w:szCs w:val="24"/>
        </w:rPr>
      </w:pPr>
      <w:r w:rsidRPr="00830BAC">
        <w:rPr>
          <w:rFonts w:eastAsia="Times New Roman" w:cs="Times New Roman"/>
          <w:szCs w:val="24"/>
        </w:rPr>
        <w:t>Propuesta de Intervención Formativa: Derivación Aplicada de los Hallazgos</w:t>
      </w:r>
    </w:p>
    <w:p w14:paraId="7F548615" w14:textId="5002E5CF" w:rsidR="00830BAC" w:rsidRPr="00830BAC" w:rsidRDefault="00830BAC" w:rsidP="00243175">
      <w:pPr>
        <w:spacing w:after="0"/>
        <w:rPr>
          <w:rFonts w:eastAsia="Times New Roman" w:cs="Times New Roman"/>
          <w:szCs w:val="24"/>
        </w:rPr>
      </w:pPr>
      <w:r w:rsidRPr="00830BAC">
        <w:rPr>
          <w:rFonts w:eastAsia="Times New Roman" w:cs="Times New Roman"/>
          <w:szCs w:val="24"/>
        </w:rPr>
        <w:t xml:space="preserve">La presente propuesta de intervención se concibió como un conjunto de lineamientos fundamentados y no como un diseño instruccional validado empíricamente. Sus componentes se derivaron directamente de los hallazgos del análisis temático reflexivo (Capítulo 4) y de los marcos teóricos desarrollados en el Capítulo 2; sin embargo, no fueron sometidos a una evaluación </w:t>
      </w:r>
      <w:r w:rsidRPr="00830BAC">
        <w:rPr>
          <w:rFonts w:eastAsia="Times New Roman" w:cs="Times New Roman"/>
          <w:szCs w:val="24"/>
        </w:rPr>
        <w:lastRenderedPageBreak/>
        <w:t>sistemática de necesidades formativas, a un análisis instruccional de tareas (</w:t>
      </w:r>
      <w:proofErr w:type="spellStart"/>
      <w:r w:rsidRPr="00830BAC">
        <w:rPr>
          <w:rFonts w:eastAsia="Times New Roman" w:cs="Times New Roman"/>
          <w:szCs w:val="24"/>
        </w:rPr>
        <w:t>task</w:t>
      </w:r>
      <w:proofErr w:type="spellEnd"/>
      <w:r w:rsidRPr="00830BAC">
        <w:rPr>
          <w:rFonts w:eastAsia="Times New Roman" w:cs="Times New Roman"/>
          <w:szCs w:val="24"/>
        </w:rPr>
        <w:t xml:space="preserve"> </w:t>
      </w:r>
      <w:proofErr w:type="spellStart"/>
      <w:r w:rsidRPr="00830BAC">
        <w:rPr>
          <w:rFonts w:eastAsia="Times New Roman" w:cs="Times New Roman"/>
          <w:szCs w:val="24"/>
        </w:rPr>
        <w:t>analysis</w:t>
      </w:r>
      <w:proofErr w:type="spellEnd"/>
      <w:r w:rsidRPr="00830BAC">
        <w:rPr>
          <w:rFonts w:eastAsia="Times New Roman" w:cs="Times New Roman"/>
          <w:szCs w:val="24"/>
        </w:rPr>
        <w:t>) ni a una prueba piloto. En consecuencia, los elementos propuestos</w:t>
      </w:r>
      <w:r w:rsidR="00743DA2">
        <w:rPr>
          <w:rFonts w:eastAsia="Times New Roman" w:cs="Times New Roman"/>
          <w:szCs w:val="24"/>
        </w:rPr>
        <w:t xml:space="preserve"> </w:t>
      </w:r>
      <w:r w:rsidRPr="00830BAC">
        <w:rPr>
          <w:rFonts w:eastAsia="Times New Roman" w:cs="Times New Roman"/>
          <w:szCs w:val="24"/>
        </w:rPr>
        <w:t>la arquitectura modular del LMS, el esquema de mentoría escalonada de 30‑60‑90 días y la integración con ZOHO CRM</w:t>
      </w:r>
      <w:r w:rsidR="00743DA2">
        <w:rPr>
          <w:rFonts w:eastAsia="Times New Roman" w:cs="Times New Roman"/>
          <w:szCs w:val="24"/>
        </w:rPr>
        <w:t xml:space="preserve"> </w:t>
      </w:r>
      <w:r w:rsidRPr="00830BAC">
        <w:rPr>
          <w:rFonts w:eastAsia="Times New Roman" w:cs="Times New Roman"/>
          <w:szCs w:val="24"/>
        </w:rPr>
        <w:t>constituyeron hipótesis de diseño plausibles y teóricamente fundamentadas, cuya validez práctica quedó sujeta a verificación en una fase posterior de implementación y evaluación.</w:t>
      </w:r>
    </w:p>
    <w:p w14:paraId="68A8D1A8" w14:textId="77777777" w:rsidR="00830BAC" w:rsidRPr="00830BAC" w:rsidRDefault="00830BAC" w:rsidP="00243175">
      <w:pPr>
        <w:spacing w:after="0"/>
        <w:rPr>
          <w:rFonts w:eastAsia="Times New Roman" w:cs="Times New Roman"/>
          <w:szCs w:val="24"/>
        </w:rPr>
      </w:pPr>
      <w:r w:rsidRPr="00830BAC">
        <w:rPr>
          <w:rFonts w:eastAsia="Times New Roman" w:cs="Times New Roman"/>
          <w:szCs w:val="24"/>
        </w:rPr>
        <w:t>Esta delimitación no redujo el valor de la propuesta; por el contrario, la posicionó con claridad como el primer momento de un ciclo de investigación‑acción que excedió el alcance del presente estudio. A lo largo del capítulo, los elementos directamente respaldados por los datos cualitativos fueron identificados explícitamente mediante la expresión (hallazgo directo), mientras que aquellos sustentados en la literatura especializada se señalaron como (fundamento teórico).</w:t>
      </w:r>
    </w:p>
    <w:p w14:paraId="461BADF9" w14:textId="3CDFE731" w:rsidR="00830BAC" w:rsidRPr="00830BAC" w:rsidRDefault="00830BAC" w:rsidP="00243175">
      <w:pPr>
        <w:pStyle w:val="Ttulo3"/>
      </w:pPr>
      <w:r w:rsidRPr="008030D8">
        <w:t>6.</w:t>
      </w:r>
      <w:r w:rsidR="0054600D" w:rsidRPr="008030D8">
        <w:t>2</w:t>
      </w:r>
      <w:r w:rsidRPr="008030D8">
        <w:t>. Fundamentación empírica y articulación con el DTM‑CF</w:t>
      </w:r>
    </w:p>
    <w:p w14:paraId="7EC46C77" w14:textId="6F0F7B58" w:rsidR="00830BAC" w:rsidRPr="00830BAC" w:rsidRDefault="00830BAC" w:rsidP="00243175">
      <w:pPr>
        <w:spacing w:after="0"/>
        <w:rPr>
          <w:rFonts w:eastAsia="Times New Roman" w:cs="Times New Roman"/>
          <w:szCs w:val="24"/>
        </w:rPr>
      </w:pPr>
      <w:r w:rsidRPr="00830BAC">
        <w:rPr>
          <w:rFonts w:eastAsia="Times New Roman" w:cs="Times New Roman"/>
          <w:szCs w:val="24"/>
        </w:rPr>
        <w:t>La propuesta de intervención se derivó directamente de las tensiones identificadas en el análisis de resultados</w:t>
      </w:r>
      <w:r w:rsidR="008030D8">
        <w:rPr>
          <w:rFonts w:eastAsia="Times New Roman" w:cs="Times New Roman"/>
          <w:szCs w:val="24"/>
        </w:rPr>
        <w:t xml:space="preserve">, </w:t>
      </w:r>
      <w:r w:rsidRPr="00830BAC">
        <w:rPr>
          <w:rFonts w:eastAsia="Times New Roman" w:cs="Times New Roman"/>
          <w:szCs w:val="24"/>
        </w:rPr>
        <w:t>operacionalizando el DTM‑CF como arquitectura de diseño instruccional. La lógica de la intervención consistió en configurar el LMS no como un repositorio de contenidos, sino como un sistema sociotécnico orientado a mediar las tres fases del ciclo de transferencia:</w:t>
      </w:r>
    </w:p>
    <w:p w14:paraId="508200A6" w14:textId="4D55A00F" w:rsidR="00830BAC" w:rsidRPr="00830BAC" w:rsidRDefault="00830BAC" w:rsidP="00243175">
      <w:pPr>
        <w:pStyle w:val="Prrafodelista"/>
        <w:numPr>
          <w:ilvl w:val="0"/>
          <w:numId w:val="23"/>
        </w:numPr>
        <w:spacing w:after="0"/>
        <w:ind w:left="0" w:firstLine="720"/>
        <w:rPr>
          <w:rFonts w:eastAsia="Times New Roman" w:cs="Times New Roman"/>
          <w:szCs w:val="24"/>
        </w:rPr>
      </w:pPr>
      <w:r w:rsidRPr="00830BAC">
        <w:rPr>
          <w:rFonts w:eastAsia="Times New Roman" w:cs="Times New Roman"/>
          <w:szCs w:val="24"/>
        </w:rPr>
        <w:t>fortalecimiento de la intención mediante la reducción de la carga cognitiva inicial;</w:t>
      </w:r>
    </w:p>
    <w:p w14:paraId="265FBE0B" w14:textId="1AEAA31A" w:rsidR="00830BAC" w:rsidRPr="00830BAC" w:rsidRDefault="00830BAC" w:rsidP="00243175">
      <w:pPr>
        <w:pStyle w:val="Prrafodelista"/>
        <w:numPr>
          <w:ilvl w:val="0"/>
          <w:numId w:val="23"/>
        </w:numPr>
        <w:spacing w:after="0"/>
        <w:ind w:left="0" w:firstLine="720"/>
        <w:rPr>
          <w:rFonts w:eastAsia="Times New Roman" w:cs="Times New Roman"/>
          <w:szCs w:val="24"/>
        </w:rPr>
      </w:pPr>
      <w:r w:rsidRPr="00830BAC">
        <w:rPr>
          <w:rFonts w:eastAsia="Times New Roman" w:cs="Times New Roman"/>
          <w:szCs w:val="24"/>
        </w:rPr>
        <w:t>facilitación de los intentos de aplicación mediante herramientas integradas al flujo de trabajo y simulaciones de escenarios reales; y</w:t>
      </w:r>
    </w:p>
    <w:p w14:paraId="420A6863" w14:textId="2B102CB9" w:rsidR="00830BAC" w:rsidRPr="00830BAC" w:rsidRDefault="00830BAC" w:rsidP="00243175">
      <w:pPr>
        <w:pStyle w:val="Prrafodelista"/>
        <w:numPr>
          <w:ilvl w:val="0"/>
          <w:numId w:val="23"/>
        </w:numPr>
        <w:spacing w:after="0"/>
        <w:ind w:left="0" w:firstLine="720"/>
        <w:rPr>
          <w:rFonts w:eastAsia="Times New Roman" w:cs="Times New Roman"/>
          <w:szCs w:val="24"/>
        </w:rPr>
      </w:pPr>
      <w:r w:rsidRPr="00830BAC">
        <w:rPr>
          <w:rFonts w:eastAsia="Times New Roman" w:cs="Times New Roman"/>
          <w:szCs w:val="24"/>
        </w:rPr>
        <w:t>garantía de retroalimentación a través de mecanismos híbridos</w:t>
      </w:r>
      <w:r w:rsidR="00743DA2">
        <w:rPr>
          <w:rFonts w:eastAsia="Times New Roman" w:cs="Times New Roman"/>
          <w:szCs w:val="24"/>
        </w:rPr>
        <w:t xml:space="preserve"> </w:t>
      </w:r>
      <w:r w:rsidRPr="00830BAC">
        <w:rPr>
          <w:rFonts w:eastAsia="Times New Roman" w:cs="Times New Roman"/>
          <w:szCs w:val="24"/>
        </w:rPr>
        <w:t>algorítmicos y humanos</w:t>
      </w:r>
      <w:r w:rsidR="00743DA2">
        <w:rPr>
          <w:rFonts w:eastAsia="Times New Roman" w:cs="Times New Roman"/>
          <w:szCs w:val="24"/>
        </w:rPr>
        <w:t xml:space="preserve"> </w:t>
      </w:r>
      <w:r w:rsidRPr="00830BAC">
        <w:rPr>
          <w:rFonts w:eastAsia="Times New Roman" w:cs="Times New Roman"/>
          <w:szCs w:val="24"/>
        </w:rPr>
        <w:t xml:space="preserve">orientados a superar el </w:t>
      </w:r>
      <w:proofErr w:type="spellStart"/>
      <w:r w:rsidRPr="00830BAC">
        <w:rPr>
          <w:rFonts w:eastAsia="Times New Roman" w:cs="Times New Roman"/>
          <w:szCs w:val="24"/>
        </w:rPr>
        <w:t>scaffolding</w:t>
      </w:r>
      <w:proofErr w:type="spellEnd"/>
      <w:r w:rsidRPr="00830BAC">
        <w:rPr>
          <w:rFonts w:eastAsia="Times New Roman" w:cs="Times New Roman"/>
          <w:szCs w:val="24"/>
        </w:rPr>
        <w:t xml:space="preserve"> </w:t>
      </w:r>
      <w:proofErr w:type="spellStart"/>
      <w:r w:rsidRPr="00830BAC">
        <w:rPr>
          <w:rFonts w:eastAsia="Times New Roman" w:cs="Times New Roman"/>
          <w:szCs w:val="24"/>
        </w:rPr>
        <w:t>lag</w:t>
      </w:r>
      <w:proofErr w:type="spellEnd"/>
      <w:r w:rsidRPr="00830BAC">
        <w:rPr>
          <w:rFonts w:eastAsia="Times New Roman" w:cs="Times New Roman"/>
          <w:szCs w:val="24"/>
        </w:rPr>
        <w:t xml:space="preserve"> identificado en la operación cotidiana.</w:t>
      </w:r>
    </w:p>
    <w:p w14:paraId="337810DE" w14:textId="04A5F0E7" w:rsidR="00830BAC" w:rsidRPr="00830BAC" w:rsidRDefault="00830BAC" w:rsidP="007214E1">
      <w:pPr>
        <w:spacing w:after="0"/>
        <w:ind w:firstLine="0"/>
        <w:rPr>
          <w:rFonts w:eastAsia="Times New Roman" w:cs="Times New Roman"/>
          <w:b/>
          <w:bCs/>
          <w:szCs w:val="24"/>
        </w:rPr>
      </w:pPr>
      <w:r w:rsidRPr="00830BAC">
        <w:rPr>
          <w:rFonts w:eastAsia="Times New Roman" w:cs="Times New Roman"/>
          <w:b/>
          <w:bCs/>
          <w:szCs w:val="24"/>
        </w:rPr>
        <w:t>6.</w:t>
      </w:r>
      <w:r w:rsidR="0054600D">
        <w:rPr>
          <w:rFonts w:eastAsia="Times New Roman" w:cs="Times New Roman"/>
          <w:b/>
          <w:bCs/>
          <w:szCs w:val="24"/>
        </w:rPr>
        <w:t>3</w:t>
      </w:r>
      <w:r w:rsidRPr="00830BAC">
        <w:rPr>
          <w:rFonts w:eastAsia="Times New Roman" w:cs="Times New Roman"/>
          <w:b/>
          <w:bCs/>
          <w:szCs w:val="24"/>
        </w:rPr>
        <w:t>. Diseño instruccional y arquitectura del sistema</w:t>
      </w:r>
    </w:p>
    <w:p w14:paraId="63DA4DE4" w14:textId="77777777" w:rsidR="00830BAC" w:rsidRPr="00830BAC" w:rsidRDefault="00830BAC" w:rsidP="00243175">
      <w:pPr>
        <w:spacing w:after="0"/>
        <w:rPr>
          <w:rFonts w:eastAsia="Times New Roman" w:cs="Times New Roman"/>
          <w:szCs w:val="24"/>
        </w:rPr>
      </w:pPr>
      <w:r w:rsidRPr="00830BAC">
        <w:rPr>
          <w:rFonts w:eastAsia="Times New Roman" w:cs="Times New Roman"/>
          <w:szCs w:val="24"/>
        </w:rPr>
        <w:t>La formación automatizada propuesta presentó diferencias sustanciales frente a los LMS corporativos tradicionales, especialmente en su orientación explícita hacia la transferencia del aprendizaje. Mientras los LMS convencionales organizaron los contenidos de manera lineal y temática, la propuesta se estructuró en micro‑módulos basados en escenarios reales de trabajo, favoreciendo un aprendizaje contextualizado (Merrill, 2009).</w:t>
      </w:r>
    </w:p>
    <w:p w14:paraId="48EAFD71" w14:textId="7CE953EA" w:rsidR="00830BAC" w:rsidRDefault="00830BAC" w:rsidP="00243175">
      <w:pPr>
        <w:spacing w:after="0"/>
        <w:rPr>
          <w:rFonts w:eastAsia="Times New Roman" w:cs="Times New Roman"/>
          <w:szCs w:val="24"/>
        </w:rPr>
      </w:pPr>
      <w:r w:rsidRPr="00830BAC">
        <w:rPr>
          <w:rFonts w:eastAsia="Times New Roman" w:cs="Times New Roman"/>
          <w:szCs w:val="24"/>
        </w:rPr>
        <w:t xml:space="preserve">En términos de retroalimentación, los sistemas tradicionales privilegiaron cuestionarios finales con calificación, mientras que la propuesta incorporó retroalimentación inmediata y explicativa, permitiendo al colaborador identificar y comprender sus errores en el momento de la ejecución (Ericsson, 1993). Asimismo, se integraron herramientas de apoyo al desempeño y micro‑refuerzos espaciados, en contraste con los repositorios estáticos (PDF), y la evaluación se </w:t>
      </w:r>
      <w:r w:rsidRPr="00830BAC">
        <w:rPr>
          <w:rFonts w:eastAsia="Times New Roman" w:cs="Times New Roman"/>
          <w:szCs w:val="24"/>
        </w:rPr>
        <w:lastRenderedPageBreak/>
        <w:t>orientó a indicadores de transferencia efectiva</w:t>
      </w:r>
      <w:r w:rsidR="00743DA2">
        <w:rPr>
          <w:rFonts w:eastAsia="Times New Roman" w:cs="Times New Roman"/>
          <w:szCs w:val="24"/>
        </w:rPr>
        <w:t xml:space="preserve"> </w:t>
      </w:r>
      <w:r w:rsidRPr="00830BAC">
        <w:rPr>
          <w:rFonts w:eastAsia="Times New Roman" w:cs="Times New Roman"/>
          <w:szCs w:val="24"/>
        </w:rPr>
        <w:t>reducción de errores documentales y tiempos de resolución</w:t>
      </w:r>
      <w:r w:rsidR="00743DA2">
        <w:rPr>
          <w:rFonts w:eastAsia="Times New Roman" w:cs="Times New Roman"/>
          <w:szCs w:val="24"/>
        </w:rPr>
        <w:t xml:space="preserve"> </w:t>
      </w:r>
      <w:r w:rsidRPr="00830BAC">
        <w:rPr>
          <w:rFonts w:eastAsia="Times New Roman" w:cs="Times New Roman"/>
          <w:szCs w:val="24"/>
        </w:rPr>
        <w:t>en lugar de métricas de completitud, siguiendo el modelo de Holton et al. (2000).</w:t>
      </w:r>
    </w:p>
    <w:p w14:paraId="1E453E22" w14:textId="616D5738" w:rsidR="003930E4" w:rsidRDefault="003930E4" w:rsidP="00243175">
      <w:pPr>
        <w:spacing w:after="0"/>
        <w:rPr>
          <w:rFonts w:eastAsia="Times New Roman" w:cs="Times New Roman"/>
          <w:szCs w:val="24"/>
        </w:rPr>
      </w:pPr>
    </w:p>
    <w:p w14:paraId="3AB7FA60" w14:textId="3F0D1875" w:rsidR="003930E4" w:rsidRDefault="003930E4" w:rsidP="00243175">
      <w:pPr>
        <w:spacing w:after="0"/>
        <w:rPr>
          <w:rFonts w:eastAsia="Times New Roman" w:cs="Times New Roman"/>
          <w:szCs w:val="24"/>
        </w:rPr>
      </w:pPr>
    </w:p>
    <w:p w14:paraId="74700356" w14:textId="77777777" w:rsidR="003930E4" w:rsidRPr="00830BAC" w:rsidRDefault="003930E4" w:rsidP="00243175">
      <w:pPr>
        <w:spacing w:after="0"/>
        <w:rPr>
          <w:rFonts w:eastAsia="Times New Roman" w:cs="Times New Roman"/>
          <w:szCs w:val="24"/>
        </w:rPr>
      </w:pPr>
    </w:p>
    <w:p w14:paraId="625EB976" w14:textId="344C9247" w:rsidR="00830BAC" w:rsidRPr="00830BAC" w:rsidRDefault="00830BAC" w:rsidP="007214E1">
      <w:pPr>
        <w:spacing w:after="0"/>
        <w:ind w:firstLine="0"/>
        <w:rPr>
          <w:rFonts w:eastAsia="Times New Roman" w:cs="Times New Roman"/>
          <w:b/>
          <w:bCs/>
          <w:szCs w:val="24"/>
        </w:rPr>
      </w:pPr>
      <w:r w:rsidRPr="00830BAC">
        <w:rPr>
          <w:rFonts w:eastAsia="Times New Roman" w:cs="Times New Roman"/>
          <w:b/>
          <w:bCs/>
          <w:szCs w:val="24"/>
        </w:rPr>
        <w:t>6.</w:t>
      </w:r>
      <w:r w:rsidR="0054600D">
        <w:rPr>
          <w:rFonts w:eastAsia="Times New Roman" w:cs="Times New Roman"/>
          <w:b/>
          <w:bCs/>
          <w:szCs w:val="24"/>
        </w:rPr>
        <w:t>4</w:t>
      </w:r>
      <w:r w:rsidRPr="00830BAC">
        <w:rPr>
          <w:rFonts w:eastAsia="Times New Roman" w:cs="Times New Roman"/>
          <w:b/>
          <w:bCs/>
          <w:szCs w:val="24"/>
        </w:rPr>
        <w:t>. Estrategia de implementación</w:t>
      </w:r>
    </w:p>
    <w:p w14:paraId="333AAE33" w14:textId="58196B02" w:rsidR="00830BAC" w:rsidRPr="00830BAC" w:rsidRDefault="00830BAC" w:rsidP="00243175">
      <w:pPr>
        <w:spacing w:after="0"/>
        <w:rPr>
          <w:rFonts w:eastAsia="Times New Roman" w:cs="Times New Roman"/>
          <w:szCs w:val="24"/>
        </w:rPr>
      </w:pPr>
      <w:r w:rsidRPr="00830BAC">
        <w:rPr>
          <w:rFonts w:eastAsia="Times New Roman" w:cs="Times New Roman"/>
          <w:szCs w:val="24"/>
        </w:rPr>
        <w:t>La estrategia de implementación se estructuró en fases secuenciales, combinando principios derivados de los hallazgos empíricos con decisiones de diseño instruccional fundamentadas en la literatura.</w:t>
      </w:r>
    </w:p>
    <w:p w14:paraId="6D399797" w14:textId="77777777" w:rsidR="00830BAC" w:rsidRPr="00830BAC" w:rsidRDefault="00830BAC" w:rsidP="00243175">
      <w:pPr>
        <w:spacing w:after="0"/>
        <w:rPr>
          <w:rFonts w:eastAsia="Times New Roman" w:cs="Times New Roman"/>
          <w:szCs w:val="24"/>
        </w:rPr>
      </w:pPr>
      <w:r w:rsidRPr="00830BAC">
        <w:rPr>
          <w:rFonts w:eastAsia="Times New Roman" w:cs="Times New Roman"/>
          <w:szCs w:val="24"/>
        </w:rPr>
        <w:t xml:space="preserve">La fase inicial consistió en un periodo de inducción intensiva de diez días hábiles, distribuido en bloques temáticos de complejidad creciente: </w:t>
      </w:r>
      <w:proofErr w:type="spellStart"/>
      <w:r w:rsidRPr="00830BAC">
        <w:rPr>
          <w:rFonts w:eastAsia="Times New Roman" w:cs="Times New Roman"/>
          <w:szCs w:val="24"/>
        </w:rPr>
        <w:t>onboarding</w:t>
      </w:r>
      <w:proofErr w:type="spellEnd"/>
      <w:r w:rsidRPr="00830BAC">
        <w:rPr>
          <w:rFonts w:eastAsia="Times New Roman" w:cs="Times New Roman"/>
          <w:szCs w:val="24"/>
        </w:rPr>
        <w:t xml:space="preserve"> organizacional, operaciones </w:t>
      </w:r>
      <w:proofErr w:type="spellStart"/>
      <w:r w:rsidRPr="00830BAC">
        <w:rPr>
          <w:rFonts w:eastAsia="Times New Roman" w:cs="Times New Roman"/>
          <w:szCs w:val="24"/>
        </w:rPr>
        <w:t>inland</w:t>
      </w:r>
      <w:proofErr w:type="spellEnd"/>
      <w:r w:rsidRPr="00830BAC">
        <w:rPr>
          <w:rFonts w:eastAsia="Times New Roman" w:cs="Times New Roman"/>
          <w:szCs w:val="24"/>
        </w:rPr>
        <w:t xml:space="preserve">, envíos </w:t>
      </w:r>
      <w:proofErr w:type="spellStart"/>
      <w:r w:rsidRPr="00830BAC">
        <w:rPr>
          <w:rFonts w:eastAsia="Times New Roman" w:cs="Times New Roman"/>
          <w:szCs w:val="24"/>
        </w:rPr>
        <w:t>overseas</w:t>
      </w:r>
      <w:proofErr w:type="spellEnd"/>
      <w:r w:rsidRPr="00830BAC">
        <w:rPr>
          <w:rFonts w:eastAsia="Times New Roman" w:cs="Times New Roman"/>
          <w:szCs w:val="24"/>
        </w:rPr>
        <w:t xml:space="preserve"> y carga suelta. Esta secuencia respetó principios de espaciado para la retención (Cepeda et al., 2006) y permitió intervalos de consolidación entre contenidos.</w:t>
      </w:r>
    </w:p>
    <w:p w14:paraId="55797D7B" w14:textId="77777777" w:rsidR="00830BAC" w:rsidRPr="00830BAC" w:rsidRDefault="00830BAC" w:rsidP="00243175">
      <w:pPr>
        <w:spacing w:after="0"/>
        <w:rPr>
          <w:rFonts w:eastAsia="Times New Roman" w:cs="Times New Roman"/>
          <w:szCs w:val="24"/>
        </w:rPr>
      </w:pPr>
      <w:r w:rsidRPr="00830BAC">
        <w:rPr>
          <w:rFonts w:eastAsia="Times New Roman" w:cs="Times New Roman"/>
          <w:szCs w:val="24"/>
        </w:rPr>
        <w:t>Los accesos al sistema se plantearon de forma individual y asincrónica, con supervisión del responsable de Talento Humano y escalamiento de consultas técnicas a mentores expertos cuando fuese necesario.</w:t>
      </w:r>
    </w:p>
    <w:p w14:paraId="2C38E393" w14:textId="75F8D9F3" w:rsidR="00830BAC" w:rsidRPr="00830BAC" w:rsidRDefault="00830BAC" w:rsidP="007214E1">
      <w:pPr>
        <w:spacing w:after="0"/>
        <w:ind w:firstLine="0"/>
        <w:rPr>
          <w:rFonts w:eastAsia="Times New Roman" w:cs="Times New Roman"/>
          <w:b/>
          <w:bCs/>
          <w:szCs w:val="24"/>
        </w:rPr>
      </w:pPr>
      <w:r w:rsidRPr="00830BAC">
        <w:rPr>
          <w:rFonts w:eastAsia="Times New Roman" w:cs="Times New Roman"/>
          <w:b/>
          <w:bCs/>
          <w:szCs w:val="24"/>
        </w:rPr>
        <w:t>6.</w:t>
      </w:r>
      <w:r w:rsidR="0054600D">
        <w:rPr>
          <w:rFonts w:eastAsia="Times New Roman" w:cs="Times New Roman"/>
          <w:b/>
          <w:bCs/>
          <w:szCs w:val="24"/>
        </w:rPr>
        <w:t>5</w:t>
      </w:r>
      <w:r w:rsidRPr="00830BAC">
        <w:rPr>
          <w:rFonts w:eastAsia="Times New Roman" w:cs="Times New Roman"/>
          <w:b/>
          <w:bCs/>
          <w:szCs w:val="24"/>
        </w:rPr>
        <w:t>. Evaluación del impacto y seguimiento</w:t>
      </w:r>
    </w:p>
    <w:p w14:paraId="38BC9BF5" w14:textId="1F0AD874" w:rsidR="00830BAC" w:rsidRPr="00830BAC" w:rsidRDefault="00830BAC" w:rsidP="00243175">
      <w:pPr>
        <w:spacing w:after="0"/>
        <w:rPr>
          <w:rFonts w:eastAsia="Times New Roman" w:cs="Times New Roman"/>
          <w:szCs w:val="24"/>
        </w:rPr>
      </w:pPr>
      <w:r w:rsidRPr="00830BAC">
        <w:rPr>
          <w:rFonts w:eastAsia="Times New Roman" w:cs="Times New Roman"/>
          <w:szCs w:val="24"/>
        </w:rPr>
        <w:t xml:space="preserve">La evaluación del impacto se fundamentó </w:t>
      </w:r>
      <w:r w:rsidR="005B5A79">
        <w:rPr>
          <w:rFonts w:eastAsia="Times New Roman" w:cs="Times New Roman"/>
          <w:szCs w:val="24"/>
        </w:rPr>
        <w:t xml:space="preserve">en el </w:t>
      </w:r>
      <w:r w:rsidRPr="00830BAC">
        <w:rPr>
          <w:rFonts w:eastAsia="Times New Roman" w:cs="Times New Roman"/>
          <w:szCs w:val="24"/>
        </w:rPr>
        <w:t>modelo de Kirkpatrick (Kirkpatrick &amp; Kirkpatrick, 2016), operacionalizados a través del DTM‑CF. Se propusieron como indicadores de seguimiento:</w:t>
      </w:r>
    </w:p>
    <w:p w14:paraId="36B7CA1D" w14:textId="3B5493EE" w:rsidR="00830BAC" w:rsidRPr="00830BAC" w:rsidRDefault="00830BAC" w:rsidP="00243175">
      <w:pPr>
        <w:pStyle w:val="Prrafodelista"/>
        <w:numPr>
          <w:ilvl w:val="0"/>
          <w:numId w:val="21"/>
        </w:numPr>
        <w:spacing w:after="0"/>
        <w:ind w:left="0" w:firstLine="720"/>
        <w:rPr>
          <w:rFonts w:eastAsia="Times New Roman" w:cs="Times New Roman"/>
          <w:szCs w:val="24"/>
        </w:rPr>
      </w:pPr>
      <w:r w:rsidRPr="00830BAC">
        <w:rPr>
          <w:rFonts w:eastAsia="Times New Roman" w:cs="Times New Roman"/>
          <w:szCs w:val="24"/>
        </w:rPr>
        <w:t>la tasa de reprocesos como referencia diagnóstica contextual (23 % en 2024);</w:t>
      </w:r>
    </w:p>
    <w:p w14:paraId="43D198A5" w14:textId="471A62CB" w:rsidR="00830BAC" w:rsidRPr="00830BAC" w:rsidRDefault="00830BAC" w:rsidP="00243175">
      <w:pPr>
        <w:pStyle w:val="Prrafodelista"/>
        <w:numPr>
          <w:ilvl w:val="0"/>
          <w:numId w:val="21"/>
        </w:numPr>
        <w:spacing w:after="0"/>
        <w:ind w:left="0" w:firstLine="720"/>
        <w:rPr>
          <w:rFonts w:eastAsia="Times New Roman" w:cs="Times New Roman"/>
          <w:szCs w:val="24"/>
        </w:rPr>
      </w:pPr>
      <w:r w:rsidRPr="00830BAC">
        <w:rPr>
          <w:rFonts w:eastAsia="Times New Roman" w:cs="Times New Roman"/>
          <w:szCs w:val="24"/>
        </w:rPr>
        <w:t>el tiempo promedio de adaptación autónoma al cargo; y</w:t>
      </w:r>
    </w:p>
    <w:p w14:paraId="5AD9D12D" w14:textId="77DFC1D5" w:rsidR="00830BAC" w:rsidRPr="00830BAC" w:rsidRDefault="00830BAC" w:rsidP="00243175">
      <w:pPr>
        <w:pStyle w:val="Prrafodelista"/>
        <w:numPr>
          <w:ilvl w:val="0"/>
          <w:numId w:val="21"/>
        </w:numPr>
        <w:spacing w:after="0"/>
        <w:ind w:left="0" w:firstLine="720"/>
        <w:rPr>
          <w:rFonts w:eastAsia="Times New Roman" w:cs="Times New Roman"/>
          <w:szCs w:val="24"/>
        </w:rPr>
      </w:pPr>
      <w:r w:rsidRPr="00830BAC">
        <w:rPr>
          <w:rFonts w:eastAsia="Times New Roman" w:cs="Times New Roman"/>
          <w:szCs w:val="24"/>
        </w:rPr>
        <w:t xml:space="preserve">la frecuencia de uso de </w:t>
      </w:r>
      <w:r w:rsidR="005B5A79">
        <w:rPr>
          <w:rFonts w:eastAsia="Times New Roman" w:cs="Times New Roman"/>
          <w:szCs w:val="24"/>
        </w:rPr>
        <w:t>herramientas de apoyo</w:t>
      </w:r>
      <w:r w:rsidRPr="00830BAC">
        <w:rPr>
          <w:rFonts w:eastAsia="Times New Roman" w:cs="Times New Roman"/>
          <w:szCs w:val="24"/>
        </w:rPr>
        <w:t xml:space="preserve"> integrados como proxy de transferencia situada.</w:t>
      </w:r>
    </w:p>
    <w:p w14:paraId="713A8004" w14:textId="083CFB59" w:rsidR="00830BAC" w:rsidRDefault="00830BAC" w:rsidP="00243175">
      <w:pPr>
        <w:spacing w:after="0"/>
        <w:rPr>
          <w:rFonts w:eastAsia="Times New Roman" w:cs="Times New Roman"/>
          <w:szCs w:val="24"/>
        </w:rPr>
      </w:pPr>
      <w:r w:rsidRPr="00830BAC">
        <w:rPr>
          <w:rFonts w:eastAsia="Times New Roman" w:cs="Times New Roman"/>
          <w:szCs w:val="24"/>
        </w:rPr>
        <w:t>Se establecieron ciclos de evaluación a los 30, 60 y 90 días, coherentes con las fases de mantenimiento de la transferencia descritas por Blume et al. (2010), permitiendo intervenciones tempranas ante señales de decaimiento.</w:t>
      </w:r>
    </w:p>
    <w:p w14:paraId="2683379C" w14:textId="77777777" w:rsidR="003930E4" w:rsidRPr="00830BAC" w:rsidRDefault="003930E4" w:rsidP="00243175">
      <w:pPr>
        <w:spacing w:after="0"/>
        <w:rPr>
          <w:rFonts w:eastAsia="Times New Roman" w:cs="Times New Roman"/>
          <w:szCs w:val="24"/>
        </w:rPr>
      </w:pPr>
    </w:p>
    <w:p w14:paraId="06F1052F" w14:textId="119FA0D9" w:rsidR="00830BAC" w:rsidRPr="00830BAC" w:rsidRDefault="00830BAC" w:rsidP="007214E1">
      <w:pPr>
        <w:spacing w:after="0"/>
        <w:ind w:firstLine="0"/>
        <w:rPr>
          <w:rFonts w:eastAsia="Times New Roman" w:cs="Times New Roman"/>
          <w:b/>
          <w:bCs/>
          <w:szCs w:val="24"/>
        </w:rPr>
      </w:pPr>
      <w:r w:rsidRPr="00830BAC">
        <w:rPr>
          <w:rFonts w:eastAsia="Times New Roman" w:cs="Times New Roman"/>
          <w:b/>
          <w:bCs/>
          <w:szCs w:val="24"/>
        </w:rPr>
        <w:t>6.</w:t>
      </w:r>
      <w:r w:rsidR="0054600D">
        <w:rPr>
          <w:rFonts w:eastAsia="Times New Roman" w:cs="Times New Roman"/>
          <w:b/>
          <w:bCs/>
          <w:szCs w:val="24"/>
        </w:rPr>
        <w:t>6</w:t>
      </w:r>
      <w:r w:rsidRPr="00830BAC">
        <w:rPr>
          <w:rFonts w:eastAsia="Times New Roman" w:cs="Times New Roman"/>
          <w:b/>
          <w:bCs/>
          <w:szCs w:val="24"/>
        </w:rPr>
        <w:t>. Sostenibilidad y mejora continua</w:t>
      </w:r>
    </w:p>
    <w:p w14:paraId="7FA0982F" w14:textId="77777777" w:rsidR="00830BAC" w:rsidRPr="00830BAC" w:rsidRDefault="00830BAC" w:rsidP="00243175">
      <w:pPr>
        <w:spacing w:after="0"/>
        <w:rPr>
          <w:rFonts w:eastAsia="Times New Roman" w:cs="Times New Roman"/>
          <w:szCs w:val="24"/>
        </w:rPr>
      </w:pPr>
      <w:r w:rsidRPr="00830BAC">
        <w:rPr>
          <w:rFonts w:eastAsia="Times New Roman" w:cs="Times New Roman"/>
          <w:szCs w:val="24"/>
        </w:rPr>
        <w:t>Con el fin de asegurar la pertinencia del sistema frente a la volatilidad normativa del sector, se propuso un proceso de revisión periódica basado en ciclos PDCA (Plan‑Do‑</w:t>
      </w:r>
      <w:proofErr w:type="spellStart"/>
      <w:r w:rsidRPr="00830BAC">
        <w:rPr>
          <w:rFonts w:eastAsia="Times New Roman" w:cs="Times New Roman"/>
          <w:szCs w:val="24"/>
        </w:rPr>
        <w:t>Check</w:t>
      </w:r>
      <w:proofErr w:type="spellEnd"/>
      <w:r w:rsidRPr="00830BAC">
        <w:rPr>
          <w:rFonts w:eastAsia="Times New Roman" w:cs="Times New Roman"/>
          <w:szCs w:val="24"/>
        </w:rPr>
        <w:t>‑</w:t>
      </w:r>
      <w:proofErr w:type="spellStart"/>
      <w:r w:rsidRPr="00830BAC">
        <w:rPr>
          <w:rFonts w:eastAsia="Times New Roman" w:cs="Times New Roman"/>
          <w:szCs w:val="24"/>
        </w:rPr>
        <w:t>Act</w:t>
      </w:r>
      <w:proofErr w:type="spellEnd"/>
      <w:r w:rsidRPr="00830BAC">
        <w:rPr>
          <w:rFonts w:eastAsia="Times New Roman" w:cs="Times New Roman"/>
          <w:szCs w:val="24"/>
        </w:rPr>
        <w:t xml:space="preserve">). La </w:t>
      </w:r>
      <w:r w:rsidRPr="00830BAC">
        <w:rPr>
          <w:rFonts w:eastAsia="Times New Roman" w:cs="Times New Roman"/>
          <w:szCs w:val="24"/>
        </w:rPr>
        <w:lastRenderedPageBreak/>
        <w:t>información proveniente de indicadores de desempeño, retroalimentación de participantes y observaciones de supervisores alimentó ajustes progresivos en contenidos, metodología y recursos, garantizando la alineación continua entre formación y desempeño operativo.</w:t>
      </w:r>
    </w:p>
    <w:p w14:paraId="50F59183" w14:textId="541124A1" w:rsidR="0006260A" w:rsidRPr="00905DB0" w:rsidRDefault="008A06B3" w:rsidP="007214E1">
      <w:pPr>
        <w:pStyle w:val="Ttulo2"/>
        <w:numPr>
          <w:ilvl w:val="0"/>
          <w:numId w:val="31"/>
        </w:numPr>
        <w:spacing w:before="0" w:after="0"/>
        <w:ind w:left="0" w:firstLine="0"/>
      </w:pPr>
      <w:r w:rsidRPr="00905DB0">
        <w:t>Conclusiones</w:t>
      </w:r>
    </w:p>
    <w:p w14:paraId="0784A61A" w14:textId="087EEF85" w:rsidR="00830BAC" w:rsidRPr="00830BAC" w:rsidRDefault="00830BAC" w:rsidP="00243175">
      <w:pPr>
        <w:spacing w:after="0"/>
        <w:rPr>
          <w:rFonts w:eastAsia="Times New Roman" w:cs="Times New Roman"/>
          <w:szCs w:val="24"/>
        </w:rPr>
      </w:pPr>
      <w:r w:rsidRPr="00830BAC">
        <w:rPr>
          <w:rFonts w:eastAsia="Times New Roman" w:cs="Times New Roman"/>
          <w:szCs w:val="24"/>
        </w:rPr>
        <w:t>Las implicaciones que se presentaron a continuación se leyeron bajo el criterio epistemológico de la transferibilidad cualitativa (Lincoln &amp; Guba, 1985), el cual se diferenció sustancialmente de la generalización estadística. En un estudio de caso instrumental de caso único, con una muestra intencional de ocho participantes, no fue metodológicamente posible ni pretendido formular afirmaciones de validez universal. Lo que el estudio aportó fueron proposiciones teóricamente fundamentadas y empíricamente ancladas en un contexto organizacional específico, cuya utilidad para otros entornos constituyó una cuestión que el lector, con conocimiento de su propio contexto, se encontró mejor posicionado para evaluar que el propio investigador. En este sentido, las proposiciones derivadas del análisis se configuraron como hipótesis de trabajo para investigaciones futuras y como marcos de referencia orientativos para profesionales del área de Gestión del Talento Humano, más que como prescripciones validadas de aplicación general.</w:t>
      </w:r>
    </w:p>
    <w:p w14:paraId="06E4F071" w14:textId="77777777" w:rsidR="00830BAC" w:rsidRPr="00830BAC" w:rsidRDefault="00830BAC" w:rsidP="00243175">
      <w:pPr>
        <w:spacing w:after="0"/>
        <w:rPr>
          <w:rFonts w:eastAsia="Times New Roman" w:cs="Times New Roman"/>
          <w:szCs w:val="24"/>
        </w:rPr>
      </w:pPr>
      <w:r w:rsidRPr="00830BAC">
        <w:rPr>
          <w:rFonts w:eastAsia="Times New Roman" w:cs="Times New Roman"/>
          <w:szCs w:val="24"/>
        </w:rPr>
        <w:t xml:space="preserve">El presente estudio tuvo como propósito analizar cómo la mediación tecnológica de la formación configuró la transferencia del aprendizaje en contextos caracterizados por alta incertidumbre normativa y asincronía temporal, examinando las tensiones entre la lógica de eficiencia de la automatización y la lógica de sentido del aprendizaje situado. A partir del análisis cualitativo realizado en Car </w:t>
      </w:r>
      <w:proofErr w:type="spellStart"/>
      <w:r w:rsidRPr="00830BAC">
        <w:rPr>
          <w:rFonts w:eastAsia="Times New Roman" w:cs="Times New Roman"/>
          <w:szCs w:val="24"/>
        </w:rPr>
        <w:t>Freight</w:t>
      </w:r>
      <w:proofErr w:type="spellEnd"/>
      <w:r w:rsidRPr="00830BAC">
        <w:rPr>
          <w:rFonts w:eastAsia="Times New Roman" w:cs="Times New Roman"/>
          <w:szCs w:val="24"/>
        </w:rPr>
        <w:t xml:space="preserve"> </w:t>
      </w:r>
      <w:proofErr w:type="spellStart"/>
      <w:r w:rsidRPr="00830BAC">
        <w:rPr>
          <w:rFonts w:eastAsia="Times New Roman" w:cs="Times New Roman"/>
          <w:szCs w:val="24"/>
        </w:rPr>
        <w:t>Shipping</w:t>
      </w:r>
      <w:proofErr w:type="spellEnd"/>
      <w:r w:rsidRPr="00830BAC">
        <w:rPr>
          <w:rFonts w:eastAsia="Times New Roman" w:cs="Times New Roman"/>
          <w:szCs w:val="24"/>
        </w:rPr>
        <w:t xml:space="preserve"> Company, se derivaron las siguientes conclusiones.</w:t>
      </w:r>
    </w:p>
    <w:p w14:paraId="17E8CCFC" w14:textId="04914976" w:rsidR="00830BAC" w:rsidRPr="00830BAC" w:rsidRDefault="00830BAC" w:rsidP="00243175">
      <w:pPr>
        <w:spacing w:after="0"/>
        <w:rPr>
          <w:rFonts w:eastAsia="Times New Roman" w:cs="Times New Roman"/>
          <w:szCs w:val="24"/>
        </w:rPr>
      </w:pPr>
      <w:r w:rsidRPr="00830BAC">
        <w:rPr>
          <w:rFonts w:eastAsia="Times New Roman" w:cs="Times New Roman"/>
          <w:szCs w:val="24"/>
        </w:rPr>
        <w:t xml:space="preserve">En primer lugar, los resultados evidenciaron que la automatización operó como una herramienta ambivalente para la gestión del talento humano en operaciones logísticas transnacionales. Si bien facilitó el acceso permanente a la información y contribuyó a la estandarización de contenidos, su efectividad se encontró mediada por la capacidad del sistema para sostener el ciclo dinámico de la transferencia del aprendizaje (intención–intento–retroalimentación). De manera específica, el estudio generó la categoría analítica de </w:t>
      </w:r>
      <w:proofErr w:type="spellStart"/>
      <w:r w:rsidRPr="00830BAC">
        <w:rPr>
          <w:rFonts w:eastAsia="Times New Roman" w:cs="Times New Roman"/>
          <w:szCs w:val="24"/>
        </w:rPr>
        <w:t>scaffolding</w:t>
      </w:r>
      <w:proofErr w:type="spellEnd"/>
      <w:r w:rsidRPr="00830BAC">
        <w:rPr>
          <w:rFonts w:eastAsia="Times New Roman" w:cs="Times New Roman"/>
          <w:szCs w:val="24"/>
        </w:rPr>
        <w:t xml:space="preserve"> </w:t>
      </w:r>
      <w:proofErr w:type="spellStart"/>
      <w:r w:rsidRPr="00830BAC">
        <w:rPr>
          <w:rFonts w:eastAsia="Times New Roman" w:cs="Times New Roman"/>
          <w:szCs w:val="24"/>
        </w:rPr>
        <w:t>lag</w:t>
      </w:r>
      <w:proofErr w:type="spellEnd"/>
      <w:r w:rsidRPr="00830BAC">
        <w:rPr>
          <w:rFonts w:eastAsia="Times New Roman" w:cs="Times New Roman"/>
          <w:szCs w:val="24"/>
        </w:rPr>
        <w:t xml:space="preserve"> a partir de relatos retrospectivos de seis empleados en un contexto organizacional particular. El estatus de dicha categoría fue el de una hipótesis conceptual con anclaje empírico contextualizado, y no el de un fenómeno documentado con validez generalizada. La distancia temporal entre los eventos narrados (2024) y la realización de las entrevistas (octubre de 2025), introdujo un riesgo de sesgo retrospectivo que no pudo descartarse por completo, aun con la aplicación de estrategias </w:t>
      </w:r>
      <w:r w:rsidRPr="00830BAC">
        <w:rPr>
          <w:rFonts w:eastAsia="Times New Roman" w:cs="Times New Roman"/>
          <w:szCs w:val="24"/>
        </w:rPr>
        <w:lastRenderedPageBreak/>
        <w:t xml:space="preserve">de anclaje en incidentes críticos en el protocolo de entrevista (Flanagan, 1954). La formalización del </w:t>
      </w:r>
      <w:proofErr w:type="spellStart"/>
      <w:r w:rsidRPr="00830BAC">
        <w:rPr>
          <w:rFonts w:eastAsia="Times New Roman" w:cs="Times New Roman"/>
          <w:szCs w:val="24"/>
        </w:rPr>
        <w:t>scaffolding</w:t>
      </w:r>
      <w:proofErr w:type="spellEnd"/>
      <w:r w:rsidRPr="00830BAC">
        <w:rPr>
          <w:rFonts w:eastAsia="Times New Roman" w:cs="Times New Roman"/>
          <w:szCs w:val="24"/>
        </w:rPr>
        <w:t xml:space="preserve"> </w:t>
      </w:r>
      <w:proofErr w:type="spellStart"/>
      <w:r w:rsidRPr="00830BAC">
        <w:rPr>
          <w:rFonts w:eastAsia="Times New Roman" w:cs="Times New Roman"/>
          <w:szCs w:val="24"/>
        </w:rPr>
        <w:t>lag</w:t>
      </w:r>
      <w:proofErr w:type="spellEnd"/>
      <w:r w:rsidRPr="00830BAC">
        <w:rPr>
          <w:rFonts w:eastAsia="Times New Roman" w:cs="Times New Roman"/>
          <w:szCs w:val="24"/>
        </w:rPr>
        <w:t xml:space="preserve"> como constructo de investigación requirió, por tanto, estudios que capturaran la transferencia del aprendizaje en tiempo real, idealmente mediante el uso combinado de diarios de aprendizaje, métricas del LMS y entrevistas aplicadas en puntos temporales definidos post‑formación.</w:t>
      </w:r>
    </w:p>
    <w:p w14:paraId="590CA049" w14:textId="3E1B5C63" w:rsidR="00830BAC" w:rsidRPr="00830BAC" w:rsidRDefault="00830BAC" w:rsidP="00243175">
      <w:pPr>
        <w:spacing w:after="0"/>
        <w:rPr>
          <w:rFonts w:eastAsia="Times New Roman" w:cs="Times New Roman"/>
          <w:szCs w:val="24"/>
        </w:rPr>
      </w:pPr>
      <w:r w:rsidRPr="00830BAC">
        <w:rPr>
          <w:rFonts w:eastAsia="Times New Roman" w:cs="Times New Roman"/>
          <w:szCs w:val="24"/>
        </w:rPr>
        <w:t>En segundo lugar, el Modelo de Transferencia Dinámica Contextualizada (DTM‑CF), utilizado como marco analítico, permitió interpretar las paradojas identificadas sin pretensión de generalización universal. El modelo evidenció que la intención de transferir el aprendizaje fue elevada en la fase inicial de inducción digital, pero experimentó un decaimiento acelerado cuando los nuevos empleados se enfrentaron a excepciones no contempladas en los módulos estandarizados. Este hallazgo aportó a la teoría de la transferencia la noción de que, en contextos de alta volatilidad regulatoria</w:t>
      </w:r>
      <w:r w:rsidR="00743DA2">
        <w:rPr>
          <w:rFonts w:eastAsia="Times New Roman" w:cs="Times New Roman"/>
          <w:szCs w:val="24"/>
        </w:rPr>
        <w:t xml:space="preserve"> </w:t>
      </w:r>
      <w:r w:rsidRPr="00830BAC">
        <w:rPr>
          <w:rFonts w:eastAsia="Times New Roman" w:cs="Times New Roman"/>
          <w:szCs w:val="24"/>
        </w:rPr>
        <w:t>característicos del sector de la logística internacional</w:t>
      </w:r>
      <w:r w:rsidR="00743DA2">
        <w:rPr>
          <w:rFonts w:eastAsia="Times New Roman" w:cs="Times New Roman"/>
          <w:szCs w:val="24"/>
        </w:rPr>
        <w:t xml:space="preserve"> </w:t>
      </w:r>
      <w:r w:rsidRPr="00830BAC">
        <w:rPr>
          <w:rFonts w:eastAsia="Times New Roman" w:cs="Times New Roman"/>
          <w:szCs w:val="24"/>
        </w:rPr>
        <w:t>, la automatización formativa requirió configurarse como un sistema de soporte al desempeño integrado al flujo de trabajo, y no como un repositorio unidireccional de contenidos.</w:t>
      </w:r>
    </w:p>
    <w:p w14:paraId="546DE7F6" w14:textId="77777777" w:rsidR="00830BAC" w:rsidRPr="00830BAC" w:rsidRDefault="00830BAC" w:rsidP="00243175">
      <w:pPr>
        <w:spacing w:after="0"/>
        <w:rPr>
          <w:rFonts w:eastAsia="Times New Roman" w:cs="Times New Roman"/>
          <w:szCs w:val="24"/>
        </w:rPr>
      </w:pPr>
      <w:r w:rsidRPr="00830BAC">
        <w:rPr>
          <w:rFonts w:eastAsia="Times New Roman" w:cs="Times New Roman"/>
          <w:szCs w:val="24"/>
        </w:rPr>
        <w:t>Desde una perspectiva práctica, la investigación estableció que la implementación de sistemas de formación automatizada demandó una estrategia híbrida que combinara: (a) micro‑módulos de baja carga cognitiva (inferiores a ocho minutos) con simulaciones de alta fidelidad; (b) recursos de consulta integrados en el CRM operativo (ZOHO) para reducir la fricción asociada al cambio de contexto; y (c) esquemas de mentoría escalonada (30‑60‑90 días) orientados a garantizar un umbral mínimo de densidad relacional. La propuesta de intervención diseñada se constituyó como una contribución metodológica potencialmente transferible a otras organizaciones del sector, siempre que se consideraran los moderadores contextuales identificados, tales como el nivel de madurez digital, la cultura organizacional frente al error, la rotación del personal y la composición multicultural de los equipos.</w:t>
      </w:r>
    </w:p>
    <w:p w14:paraId="1768A13C" w14:textId="3EE3F8CA" w:rsidR="00830BAC" w:rsidRPr="00830BAC" w:rsidRDefault="00830BAC" w:rsidP="00243175">
      <w:pPr>
        <w:spacing w:after="0"/>
        <w:rPr>
          <w:rFonts w:eastAsia="Times New Roman" w:cs="Times New Roman"/>
          <w:szCs w:val="24"/>
        </w:rPr>
      </w:pPr>
      <w:r w:rsidRPr="00830BAC">
        <w:rPr>
          <w:rFonts w:eastAsia="Times New Roman" w:cs="Times New Roman"/>
          <w:szCs w:val="24"/>
        </w:rPr>
        <w:t>Finalmente, el estudio aportó evidencia empírica contextualizada desde un nicho organizacional escasamente representado en la literatura existente</w:t>
      </w:r>
      <w:r w:rsidR="00743DA2">
        <w:rPr>
          <w:rFonts w:eastAsia="Times New Roman" w:cs="Times New Roman"/>
          <w:szCs w:val="24"/>
        </w:rPr>
        <w:t xml:space="preserve"> </w:t>
      </w:r>
      <w:r w:rsidRPr="00830BAC">
        <w:rPr>
          <w:rFonts w:eastAsia="Times New Roman" w:cs="Times New Roman"/>
          <w:szCs w:val="24"/>
        </w:rPr>
        <w:t xml:space="preserve">operadores </w:t>
      </w:r>
      <w:r w:rsidR="00F65FCC">
        <w:rPr>
          <w:rFonts w:eastAsia="Times New Roman" w:cs="Times New Roman"/>
          <w:szCs w:val="24"/>
        </w:rPr>
        <w:t>logísticos</w:t>
      </w:r>
      <w:r w:rsidRPr="00830BAC">
        <w:rPr>
          <w:rFonts w:eastAsia="Times New Roman" w:cs="Times New Roman"/>
          <w:szCs w:val="24"/>
        </w:rPr>
        <w:t xml:space="preserve"> de pequeño tamaño con operaciones </w:t>
      </w:r>
      <w:proofErr w:type="spellStart"/>
      <w:r w:rsidRPr="00830BAC">
        <w:rPr>
          <w:rFonts w:eastAsia="Times New Roman" w:cs="Times New Roman"/>
          <w:szCs w:val="24"/>
        </w:rPr>
        <w:t>multijurisdiccionales</w:t>
      </w:r>
      <w:proofErr w:type="spellEnd"/>
      <w:r w:rsidR="00743DA2">
        <w:rPr>
          <w:rFonts w:eastAsia="Times New Roman" w:cs="Times New Roman"/>
          <w:szCs w:val="24"/>
        </w:rPr>
        <w:t xml:space="preserve"> </w:t>
      </w:r>
      <w:r w:rsidRPr="00830BAC">
        <w:rPr>
          <w:rFonts w:eastAsia="Times New Roman" w:cs="Times New Roman"/>
          <w:szCs w:val="24"/>
        </w:rPr>
        <w:t xml:space="preserve">, la cual resultó consistente con las proposiciones de la literatura </w:t>
      </w:r>
      <w:proofErr w:type="spellStart"/>
      <w:r w:rsidRPr="00830BAC">
        <w:rPr>
          <w:rFonts w:eastAsia="Times New Roman" w:cs="Times New Roman"/>
          <w:szCs w:val="24"/>
        </w:rPr>
        <w:t>sociomaterial</w:t>
      </w:r>
      <w:proofErr w:type="spellEnd"/>
      <w:r w:rsidRPr="00830BAC">
        <w:rPr>
          <w:rFonts w:eastAsia="Times New Roman" w:cs="Times New Roman"/>
          <w:szCs w:val="24"/>
        </w:rPr>
        <w:t xml:space="preserve"> (</w:t>
      </w:r>
      <w:proofErr w:type="spellStart"/>
      <w:r w:rsidRPr="00830BAC">
        <w:rPr>
          <w:rFonts w:eastAsia="Times New Roman" w:cs="Times New Roman"/>
          <w:szCs w:val="24"/>
        </w:rPr>
        <w:t>Orlikowski</w:t>
      </w:r>
      <w:proofErr w:type="spellEnd"/>
      <w:r w:rsidRPr="00830BAC">
        <w:rPr>
          <w:rFonts w:eastAsia="Times New Roman" w:cs="Times New Roman"/>
          <w:szCs w:val="24"/>
        </w:rPr>
        <w:t xml:space="preserve">, 2007) y de los modelos sistémicos de transferencia del aprendizaje (Holton, 2005; Blume et al., 2010), al tiempo que las matizó bajo condiciones específicas no contempladas por los modelos clásicos. En el contexto particular de Car </w:t>
      </w:r>
      <w:proofErr w:type="spellStart"/>
      <w:r w:rsidRPr="00830BAC">
        <w:rPr>
          <w:rFonts w:eastAsia="Times New Roman" w:cs="Times New Roman"/>
          <w:szCs w:val="24"/>
        </w:rPr>
        <w:t>Freight</w:t>
      </w:r>
      <w:proofErr w:type="spellEnd"/>
      <w:r w:rsidRPr="00830BAC">
        <w:rPr>
          <w:rFonts w:eastAsia="Times New Roman" w:cs="Times New Roman"/>
          <w:szCs w:val="24"/>
        </w:rPr>
        <w:t xml:space="preserve"> </w:t>
      </w:r>
      <w:proofErr w:type="spellStart"/>
      <w:r w:rsidRPr="00830BAC">
        <w:rPr>
          <w:rFonts w:eastAsia="Times New Roman" w:cs="Times New Roman"/>
          <w:szCs w:val="24"/>
        </w:rPr>
        <w:t>Shipping</w:t>
      </w:r>
      <w:proofErr w:type="spellEnd"/>
      <w:r w:rsidRPr="00830BAC">
        <w:rPr>
          <w:rFonts w:eastAsia="Times New Roman" w:cs="Times New Roman"/>
          <w:szCs w:val="24"/>
        </w:rPr>
        <w:t xml:space="preserve"> Company, la transferencia del aprendizaje se manifestó claramente como un </w:t>
      </w:r>
      <w:r w:rsidRPr="00830BAC">
        <w:rPr>
          <w:rFonts w:eastAsia="Times New Roman" w:cs="Times New Roman"/>
          <w:szCs w:val="24"/>
        </w:rPr>
        <w:lastRenderedPageBreak/>
        <w:t>fenómeno distribuido entre la arquitectura instruccional del LMS, las prácticas situadas de uso y la cultura organizacional, antes que como un proceso predominantemente psicológico‑individual. Esta distribución se expresó de manera especialmente nítida en la tensión entre la lógica de estandarización del LMS y la necesidad de validación experta inmediata para la resolución de casos con consecuencias operativas reales. Si bien esta proposición no se derivó exclusivamente de los datos del estudio, el trabajo la ilustró empíricamente en un entorno organizacional poco abordado en la literatura, por lo que su extensión a otros contextos requirió investigación comparativa adicional.</w:t>
      </w:r>
    </w:p>
    <w:p w14:paraId="23FE3E9C" w14:textId="5C924F56" w:rsidR="00830BAC" w:rsidRPr="00830BAC" w:rsidRDefault="00830BAC" w:rsidP="00243175">
      <w:pPr>
        <w:spacing w:after="0"/>
        <w:rPr>
          <w:rFonts w:eastAsia="Times New Roman" w:cs="Times New Roman"/>
          <w:szCs w:val="24"/>
        </w:rPr>
      </w:pPr>
      <w:r w:rsidRPr="00830BAC">
        <w:rPr>
          <w:rFonts w:eastAsia="Times New Roman" w:cs="Times New Roman"/>
          <w:szCs w:val="24"/>
        </w:rPr>
        <w:t>Las limitaciones del estudio de caso único, tamaño muestral reducido y periodo de observación acotado</w:t>
      </w:r>
      <w:r w:rsidR="00743DA2">
        <w:rPr>
          <w:rFonts w:eastAsia="Times New Roman" w:cs="Times New Roman"/>
          <w:szCs w:val="24"/>
        </w:rPr>
        <w:t xml:space="preserve"> </w:t>
      </w:r>
      <w:r w:rsidRPr="00830BAC">
        <w:rPr>
          <w:rFonts w:eastAsia="Times New Roman" w:cs="Times New Roman"/>
          <w:szCs w:val="24"/>
        </w:rPr>
        <w:t>se interpretaron como oportunidades para investigaciones futuras de carácter longitudinal</w:t>
      </w:r>
      <w:r w:rsidR="00F65FCC">
        <w:rPr>
          <w:rFonts w:eastAsia="Times New Roman" w:cs="Times New Roman"/>
          <w:szCs w:val="24"/>
        </w:rPr>
        <w:t>,</w:t>
      </w:r>
      <w:r w:rsidRPr="00830BAC">
        <w:rPr>
          <w:rFonts w:eastAsia="Times New Roman" w:cs="Times New Roman"/>
          <w:szCs w:val="24"/>
        </w:rPr>
        <w:t xml:space="preserve"> que evaluaran la sostenibilidad de la transferencia del aprendizaje a medio y largo plazo. </w:t>
      </w:r>
    </w:p>
    <w:p w14:paraId="6BB4A8E8" w14:textId="7E5F7F86" w:rsidR="00830BAC" w:rsidRPr="00830BAC" w:rsidRDefault="00830BAC" w:rsidP="00243175">
      <w:pPr>
        <w:spacing w:after="0"/>
        <w:rPr>
          <w:rFonts w:eastAsia="Times New Roman" w:cs="Times New Roman"/>
          <w:szCs w:val="24"/>
        </w:rPr>
      </w:pPr>
      <w:r w:rsidRPr="00830BAC">
        <w:rPr>
          <w:rFonts w:eastAsia="Times New Roman" w:cs="Times New Roman"/>
          <w:szCs w:val="24"/>
        </w:rPr>
        <w:t>Fue necesario precisar, además, el estatus epistemológico del DTM‑CF respecto a los resultados del estudio. El modelo fue construido con anterioridad al trabajo de campo como marco analítico orientador, y no como una hipótesis emergente de los datos. En consecuencia, su utilidad fue evaluada en términos de coherencia interpretativa</w:t>
      </w:r>
      <w:r w:rsidR="00743DA2">
        <w:rPr>
          <w:rFonts w:eastAsia="Times New Roman" w:cs="Times New Roman"/>
          <w:szCs w:val="24"/>
        </w:rPr>
        <w:t xml:space="preserve"> </w:t>
      </w:r>
      <w:r w:rsidRPr="00830BAC">
        <w:rPr>
          <w:rFonts w:eastAsia="Times New Roman" w:cs="Times New Roman"/>
          <w:szCs w:val="24"/>
        </w:rPr>
        <w:t>esto es, su capacidad para capturar adecuadamente los fenómenos observados</w:t>
      </w:r>
      <w:r w:rsidR="00743DA2">
        <w:rPr>
          <w:rFonts w:eastAsia="Times New Roman" w:cs="Times New Roman"/>
          <w:szCs w:val="24"/>
        </w:rPr>
        <w:t xml:space="preserve"> </w:t>
      </w:r>
      <w:r w:rsidRPr="00830BAC">
        <w:rPr>
          <w:rFonts w:eastAsia="Times New Roman" w:cs="Times New Roman"/>
          <w:szCs w:val="24"/>
        </w:rPr>
        <w:t>y no en términos de poder explicativo comparado frente a marcos alternativos como la Teoría de la Actividad o el modelo de Broad y Newstrom. La validación del DTM‑CF como marco teórico de mayor alcance requirió su aplicación en múltiples casos comparables y su contraste sistemático con modelos alternativos, lo que constituyó una agenda explícita para investigaciones posteriores.</w:t>
      </w:r>
    </w:p>
    <w:p w14:paraId="1B4586EE" w14:textId="17DB72C1" w:rsidR="008870BF" w:rsidRPr="00E33BDE" w:rsidRDefault="00830BAC" w:rsidP="007214E1">
      <w:pPr>
        <w:spacing w:after="0"/>
        <w:rPr>
          <w:rFonts w:eastAsia="Times New Roman" w:cs="Times New Roman"/>
          <w:szCs w:val="24"/>
        </w:rPr>
      </w:pPr>
      <w:r w:rsidRPr="00830BAC">
        <w:rPr>
          <w:rFonts w:eastAsia="Times New Roman" w:cs="Times New Roman"/>
          <w:szCs w:val="24"/>
        </w:rPr>
        <w:t>La contribución de este estudio al campo de la Gestión del Talento Humano y la formación organizacional no residió en la formulación de proposiciones teóricas universales</w:t>
      </w:r>
      <w:r w:rsidR="00743DA2">
        <w:rPr>
          <w:rFonts w:eastAsia="Times New Roman" w:cs="Times New Roman"/>
          <w:szCs w:val="24"/>
        </w:rPr>
        <w:t xml:space="preserve"> </w:t>
      </w:r>
      <w:r w:rsidRPr="003A6D70">
        <w:rPr>
          <w:rFonts w:eastAsia="Times New Roman" w:cs="Times New Roman"/>
          <w:szCs w:val="24"/>
        </w:rPr>
        <w:t>que un estudio de caso único no podía sostener</w:t>
      </w:r>
      <w:r w:rsidR="00743DA2" w:rsidRPr="003A6D70">
        <w:rPr>
          <w:rFonts w:eastAsia="Times New Roman" w:cs="Times New Roman"/>
          <w:szCs w:val="24"/>
        </w:rPr>
        <w:t xml:space="preserve"> </w:t>
      </w:r>
      <w:r w:rsidRPr="003A6D70">
        <w:rPr>
          <w:rFonts w:eastAsia="Times New Roman" w:cs="Times New Roman"/>
          <w:szCs w:val="24"/>
        </w:rPr>
        <w:t xml:space="preserve">, sino en tres aportaciones específicas y verificables: (1) evidencia empírica contextualizada sobre las tensiones entre automatización formativa y aprendizaje situado en un nicho organizacional poco representado en la literatura; (2) la formulación del </w:t>
      </w:r>
      <w:proofErr w:type="spellStart"/>
      <w:r w:rsidRPr="003A6D70">
        <w:rPr>
          <w:rFonts w:eastAsia="Times New Roman" w:cs="Times New Roman"/>
          <w:szCs w:val="24"/>
        </w:rPr>
        <w:t>scaffolding</w:t>
      </w:r>
      <w:proofErr w:type="spellEnd"/>
      <w:r w:rsidRPr="003A6D70">
        <w:rPr>
          <w:rFonts w:eastAsia="Times New Roman" w:cs="Times New Roman"/>
          <w:szCs w:val="24"/>
        </w:rPr>
        <w:t xml:space="preserve"> </w:t>
      </w:r>
      <w:proofErr w:type="spellStart"/>
      <w:r w:rsidRPr="003A6D70">
        <w:rPr>
          <w:rFonts w:eastAsia="Times New Roman" w:cs="Times New Roman"/>
          <w:szCs w:val="24"/>
        </w:rPr>
        <w:t>lag</w:t>
      </w:r>
      <w:proofErr w:type="spellEnd"/>
      <w:r w:rsidRPr="003A6D70">
        <w:rPr>
          <w:rFonts w:eastAsia="Times New Roman" w:cs="Times New Roman"/>
          <w:szCs w:val="24"/>
        </w:rPr>
        <w:t xml:space="preserve"> como categoría analítica emergente con potencial de formalización en estudios posteriores de mayor escala; y (3) el desarrollo de un marco heurístico (DTM‑CF) que extendió el modelo de Baldwin y Ford (1988) hacia condiciones de asincronía tecnológica y distribución </w:t>
      </w:r>
      <w:proofErr w:type="spellStart"/>
      <w:r w:rsidRPr="003A6D70">
        <w:rPr>
          <w:rFonts w:eastAsia="Times New Roman" w:cs="Times New Roman"/>
          <w:szCs w:val="24"/>
        </w:rPr>
        <w:t>multijurisdiccional</w:t>
      </w:r>
      <w:proofErr w:type="spellEnd"/>
      <w:r w:rsidRPr="003A6D70">
        <w:rPr>
          <w:rFonts w:eastAsia="Times New Roman" w:cs="Times New Roman"/>
          <w:szCs w:val="24"/>
        </w:rPr>
        <w:t xml:space="preserve">, cuya validez requirió evaluación mediante replicación en contextos comparables. </w:t>
      </w:r>
    </w:p>
    <w:p w14:paraId="3DB43C76" w14:textId="2597C4C7" w:rsidR="008D5520" w:rsidRPr="00E33BDE" w:rsidRDefault="001B12A2" w:rsidP="007214E1">
      <w:pPr>
        <w:pStyle w:val="Ttulo2"/>
        <w:numPr>
          <w:ilvl w:val="0"/>
          <w:numId w:val="31"/>
        </w:numPr>
        <w:spacing w:before="0" w:after="0"/>
        <w:ind w:left="0" w:firstLine="0"/>
        <w:rPr>
          <w:rFonts w:cs="Times New Roman"/>
          <w:szCs w:val="24"/>
        </w:rPr>
      </w:pPr>
      <w:r w:rsidRPr="00E33BDE">
        <w:rPr>
          <w:rFonts w:cs="Times New Roman"/>
          <w:szCs w:val="24"/>
        </w:rPr>
        <w:lastRenderedPageBreak/>
        <w:t>Referencias.</w:t>
      </w:r>
    </w:p>
    <w:p w14:paraId="4A64CE00" w14:textId="7BBC67FC" w:rsidR="00E33BDE" w:rsidRPr="00357374" w:rsidRDefault="00E33BDE" w:rsidP="005D037E">
      <w:pPr>
        <w:spacing w:after="0"/>
        <w:ind w:left="567" w:hanging="567"/>
        <w:rPr>
          <w:rFonts w:cs="Times New Roman"/>
          <w:lang w:val="en-US"/>
        </w:rPr>
      </w:pPr>
      <w:proofErr w:type="spellStart"/>
      <w:r w:rsidRPr="00357374">
        <w:rPr>
          <w:rFonts w:cs="Times New Roman"/>
          <w:lang w:val="en-US"/>
        </w:rPr>
        <w:t>Beege</w:t>
      </w:r>
      <w:proofErr w:type="spellEnd"/>
      <w:r w:rsidRPr="00357374">
        <w:rPr>
          <w:rFonts w:cs="Times New Roman"/>
          <w:lang w:val="en-US"/>
        </w:rPr>
        <w:t xml:space="preserve">, M., </w:t>
      </w:r>
      <w:proofErr w:type="spellStart"/>
      <w:r w:rsidRPr="00357374">
        <w:rPr>
          <w:rFonts w:cs="Times New Roman"/>
          <w:lang w:val="en-US"/>
        </w:rPr>
        <w:t>Nebel</w:t>
      </w:r>
      <w:proofErr w:type="spellEnd"/>
      <w:r w:rsidRPr="00357374">
        <w:rPr>
          <w:rFonts w:cs="Times New Roman"/>
          <w:lang w:val="en-US"/>
        </w:rPr>
        <w:t>, S., Schneider, S., &amp; Rey, G. D. (2021). The effect of signaling in dependence on the extraneous cognitive load in learning environments. Cognitive Processing, 22(2), 209–225. https://doi.org/10.1007/s10339-020-01002-5</w:t>
      </w:r>
    </w:p>
    <w:p w14:paraId="2FF9BAED" w14:textId="77777777" w:rsidR="00132053" w:rsidRPr="00357374" w:rsidRDefault="00132053" w:rsidP="005D037E">
      <w:pPr>
        <w:spacing w:after="0"/>
        <w:ind w:left="567" w:hanging="567"/>
        <w:rPr>
          <w:rFonts w:eastAsia="Times New Roman" w:cs="Times New Roman"/>
          <w:szCs w:val="24"/>
          <w:lang w:val="en-US" w:eastAsia="es-MX"/>
        </w:rPr>
      </w:pPr>
      <w:r w:rsidRPr="00357374">
        <w:rPr>
          <w:rFonts w:eastAsia="Times New Roman" w:cs="Times New Roman"/>
          <w:szCs w:val="24"/>
          <w:lang w:val="en-US" w:eastAsia="es-MX"/>
        </w:rPr>
        <w:t xml:space="preserve">Baldwin, T. T., &amp; Ford, J. K. (1988). Transfer of training: A review and directions for future research. </w:t>
      </w:r>
      <w:r w:rsidRPr="00357374">
        <w:rPr>
          <w:rFonts w:eastAsia="Times New Roman" w:cs="Times New Roman"/>
          <w:i/>
          <w:iCs/>
          <w:szCs w:val="24"/>
          <w:lang w:val="en-US" w:eastAsia="es-MX"/>
        </w:rPr>
        <w:t>Personnel Psychology, 41</w:t>
      </w:r>
      <w:r w:rsidRPr="00357374">
        <w:rPr>
          <w:rFonts w:eastAsia="Times New Roman" w:cs="Times New Roman"/>
          <w:szCs w:val="24"/>
          <w:lang w:val="en-US" w:eastAsia="es-MX"/>
        </w:rPr>
        <w:t>(1), 63–105. https://doi.org/10.1111/j.1744-6570.1988.tb00632.x</w:t>
      </w:r>
    </w:p>
    <w:p w14:paraId="1A84E3A7" w14:textId="77777777" w:rsidR="00132053" w:rsidRPr="00357374" w:rsidRDefault="00132053" w:rsidP="005D037E">
      <w:pPr>
        <w:spacing w:after="0"/>
        <w:ind w:left="567" w:hanging="567"/>
        <w:rPr>
          <w:rFonts w:eastAsia="Times New Roman" w:cs="Times New Roman"/>
          <w:szCs w:val="24"/>
          <w:lang w:val="en-US" w:eastAsia="es-MX"/>
        </w:rPr>
      </w:pPr>
      <w:proofErr w:type="spellStart"/>
      <w:r w:rsidRPr="00357374">
        <w:rPr>
          <w:rFonts w:eastAsia="Times New Roman" w:cs="Times New Roman"/>
          <w:szCs w:val="24"/>
          <w:lang w:val="en-US" w:eastAsia="es-MX"/>
        </w:rPr>
        <w:t>Billett</w:t>
      </w:r>
      <w:proofErr w:type="spellEnd"/>
      <w:r w:rsidRPr="00357374">
        <w:rPr>
          <w:rFonts w:eastAsia="Times New Roman" w:cs="Times New Roman"/>
          <w:szCs w:val="24"/>
          <w:lang w:val="en-US" w:eastAsia="es-MX"/>
        </w:rPr>
        <w:t xml:space="preserve">, S. (2004). Workplace participatory practices: </w:t>
      </w:r>
      <w:proofErr w:type="spellStart"/>
      <w:r w:rsidRPr="00357374">
        <w:rPr>
          <w:rFonts w:eastAsia="Times New Roman" w:cs="Times New Roman"/>
          <w:szCs w:val="24"/>
          <w:lang w:val="en-US" w:eastAsia="es-MX"/>
        </w:rPr>
        <w:t>Conceptualising</w:t>
      </w:r>
      <w:proofErr w:type="spellEnd"/>
      <w:r w:rsidRPr="00357374">
        <w:rPr>
          <w:rFonts w:eastAsia="Times New Roman" w:cs="Times New Roman"/>
          <w:szCs w:val="24"/>
          <w:lang w:val="en-US" w:eastAsia="es-MX"/>
        </w:rPr>
        <w:t xml:space="preserve"> workplaces as learning environments. </w:t>
      </w:r>
      <w:r w:rsidRPr="00357374">
        <w:rPr>
          <w:rFonts w:eastAsia="Times New Roman" w:cs="Times New Roman"/>
          <w:i/>
          <w:iCs/>
          <w:szCs w:val="24"/>
          <w:lang w:val="en-US" w:eastAsia="es-MX"/>
        </w:rPr>
        <w:t>Journal of Workplace Learning, 16</w:t>
      </w:r>
      <w:r w:rsidRPr="00357374">
        <w:rPr>
          <w:rFonts w:eastAsia="Times New Roman" w:cs="Times New Roman"/>
          <w:szCs w:val="24"/>
          <w:lang w:val="en-US" w:eastAsia="es-MX"/>
        </w:rPr>
        <w:t>(6), 312–324. https://doi.org/10.1108/13665620410550295</w:t>
      </w:r>
    </w:p>
    <w:p w14:paraId="5C4D4A3E" w14:textId="77777777" w:rsidR="00132053" w:rsidRPr="00357374" w:rsidRDefault="00132053" w:rsidP="005D037E">
      <w:pPr>
        <w:spacing w:after="0"/>
        <w:ind w:left="567" w:hanging="567"/>
        <w:rPr>
          <w:rFonts w:eastAsia="Times New Roman" w:cs="Times New Roman"/>
          <w:szCs w:val="24"/>
          <w:lang w:val="en-US" w:eastAsia="es-MX"/>
        </w:rPr>
      </w:pPr>
      <w:r w:rsidRPr="00357374">
        <w:rPr>
          <w:rFonts w:eastAsia="Times New Roman" w:cs="Times New Roman"/>
          <w:szCs w:val="24"/>
          <w:lang w:val="en-US" w:eastAsia="es-MX"/>
        </w:rPr>
        <w:t xml:space="preserve">Blume, B. D., Ford, J. K., Baldwin, T. T., &amp; Huang, J. L. (2010). Transfer of training: A meta-analytic review. </w:t>
      </w:r>
      <w:r w:rsidRPr="00357374">
        <w:rPr>
          <w:rFonts w:eastAsia="Times New Roman" w:cs="Times New Roman"/>
          <w:i/>
          <w:iCs/>
          <w:szCs w:val="24"/>
          <w:lang w:val="en-US" w:eastAsia="es-MX"/>
        </w:rPr>
        <w:t>Journal of Management, 36</w:t>
      </w:r>
      <w:r w:rsidRPr="00357374">
        <w:rPr>
          <w:rFonts w:eastAsia="Times New Roman" w:cs="Times New Roman"/>
          <w:szCs w:val="24"/>
          <w:lang w:val="en-US" w:eastAsia="es-MX"/>
        </w:rPr>
        <w:t>(4), 1065–1105. https://doi.org/10.1177/0149206309352880</w:t>
      </w:r>
    </w:p>
    <w:p w14:paraId="1C260A1D" w14:textId="77777777" w:rsidR="00132053" w:rsidRPr="00357374" w:rsidRDefault="00132053" w:rsidP="005D037E">
      <w:pPr>
        <w:spacing w:after="0"/>
        <w:ind w:left="567" w:hanging="567"/>
        <w:rPr>
          <w:rFonts w:eastAsia="Times New Roman" w:cs="Times New Roman"/>
          <w:szCs w:val="24"/>
          <w:lang w:val="en-US" w:eastAsia="es-MX"/>
        </w:rPr>
      </w:pPr>
      <w:r w:rsidRPr="00357374">
        <w:rPr>
          <w:rFonts w:eastAsia="Times New Roman" w:cs="Times New Roman"/>
          <w:szCs w:val="24"/>
          <w:lang w:val="en-US" w:eastAsia="es-MX"/>
        </w:rPr>
        <w:t xml:space="preserve">Braun, V., &amp; Clarke, V. (2006). Using thematic analysis in psychology. </w:t>
      </w:r>
      <w:r w:rsidRPr="00357374">
        <w:rPr>
          <w:rFonts w:eastAsia="Times New Roman" w:cs="Times New Roman"/>
          <w:i/>
          <w:iCs/>
          <w:szCs w:val="24"/>
          <w:lang w:val="en-US" w:eastAsia="es-MX"/>
        </w:rPr>
        <w:t>Qualitative Research in Psychology, 3</w:t>
      </w:r>
      <w:r w:rsidRPr="00357374">
        <w:rPr>
          <w:rFonts w:eastAsia="Times New Roman" w:cs="Times New Roman"/>
          <w:szCs w:val="24"/>
          <w:lang w:val="en-US" w:eastAsia="es-MX"/>
        </w:rPr>
        <w:t>(2), 77–101. https://doi.org/10.1191/1478088706qp063oa</w:t>
      </w:r>
    </w:p>
    <w:p w14:paraId="7A5EA8FD" w14:textId="77777777" w:rsidR="00132053" w:rsidRPr="00357374" w:rsidRDefault="00132053" w:rsidP="005D037E">
      <w:pPr>
        <w:spacing w:after="0"/>
        <w:ind w:left="567" w:hanging="567"/>
        <w:rPr>
          <w:rFonts w:eastAsia="Times New Roman" w:cs="Times New Roman"/>
          <w:szCs w:val="24"/>
          <w:lang w:val="en-US" w:eastAsia="es-MX"/>
        </w:rPr>
      </w:pPr>
      <w:r w:rsidRPr="00357374">
        <w:rPr>
          <w:rFonts w:eastAsia="Times New Roman" w:cs="Times New Roman"/>
          <w:szCs w:val="24"/>
          <w:lang w:val="en-US" w:eastAsia="es-MX"/>
        </w:rPr>
        <w:t xml:space="preserve">Braun, V., &amp; Clarke, V. (2022). </w:t>
      </w:r>
      <w:r w:rsidRPr="00357374">
        <w:rPr>
          <w:rFonts w:eastAsia="Times New Roman" w:cs="Times New Roman"/>
          <w:i/>
          <w:iCs/>
          <w:szCs w:val="24"/>
          <w:lang w:val="en-US" w:eastAsia="es-MX"/>
        </w:rPr>
        <w:t>Thematic analysis: A practical guide</w:t>
      </w:r>
      <w:r w:rsidRPr="00357374">
        <w:rPr>
          <w:rFonts w:eastAsia="Times New Roman" w:cs="Times New Roman"/>
          <w:szCs w:val="24"/>
          <w:lang w:val="en-US" w:eastAsia="es-MX"/>
        </w:rPr>
        <w:t>. SAGE Publications.</w:t>
      </w:r>
    </w:p>
    <w:p w14:paraId="1C85E36E" w14:textId="77777777" w:rsidR="00132053" w:rsidRPr="003A6D70" w:rsidRDefault="00132053" w:rsidP="005D037E">
      <w:pPr>
        <w:spacing w:after="0"/>
        <w:ind w:left="567" w:hanging="567"/>
        <w:rPr>
          <w:rFonts w:eastAsia="Times New Roman" w:cs="Times New Roman"/>
          <w:szCs w:val="24"/>
          <w:lang w:eastAsia="es-MX"/>
        </w:rPr>
      </w:pPr>
      <w:r w:rsidRPr="00357374">
        <w:rPr>
          <w:rFonts w:eastAsia="Times New Roman" w:cs="Times New Roman"/>
          <w:szCs w:val="24"/>
          <w:lang w:val="en-US" w:eastAsia="es-MX"/>
        </w:rPr>
        <w:t xml:space="preserve">Broad, M. L., &amp; </w:t>
      </w:r>
      <w:proofErr w:type="spellStart"/>
      <w:r w:rsidRPr="00357374">
        <w:rPr>
          <w:rFonts w:eastAsia="Times New Roman" w:cs="Times New Roman"/>
          <w:szCs w:val="24"/>
          <w:lang w:val="en-US" w:eastAsia="es-MX"/>
        </w:rPr>
        <w:t>Newstrom</w:t>
      </w:r>
      <w:proofErr w:type="spellEnd"/>
      <w:r w:rsidRPr="00357374">
        <w:rPr>
          <w:rFonts w:eastAsia="Times New Roman" w:cs="Times New Roman"/>
          <w:szCs w:val="24"/>
          <w:lang w:val="en-US" w:eastAsia="es-MX"/>
        </w:rPr>
        <w:t xml:space="preserve">, J. W. (1992). </w:t>
      </w:r>
      <w:r w:rsidRPr="00357374">
        <w:rPr>
          <w:rFonts w:eastAsia="Times New Roman" w:cs="Times New Roman"/>
          <w:i/>
          <w:iCs/>
          <w:szCs w:val="24"/>
          <w:lang w:val="en-US" w:eastAsia="es-MX"/>
        </w:rPr>
        <w:t>Transfer of training: Action-packed strategies to ensure high payoff from training investments</w:t>
      </w:r>
      <w:r w:rsidRPr="00357374">
        <w:rPr>
          <w:rFonts w:eastAsia="Times New Roman" w:cs="Times New Roman"/>
          <w:szCs w:val="24"/>
          <w:lang w:val="en-US" w:eastAsia="es-MX"/>
        </w:rPr>
        <w:t xml:space="preserve">. </w:t>
      </w:r>
      <w:r w:rsidRPr="003A6D70">
        <w:rPr>
          <w:rFonts w:eastAsia="Times New Roman" w:cs="Times New Roman"/>
          <w:szCs w:val="24"/>
          <w:lang w:eastAsia="es-MX"/>
        </w:rPr>
        <w:t>Addison-Wesley.</w:t>
      </w:r>
    </w:p>
    <w:p w14:paraId="5772ADA1" w14:textId="77777777" w:rsidR="00132053" w:rsidRPr="00357374" w:rsidRDefault="00132053" w:rsidP="005D037E">
      <w:pPr>
        <w:spacing w:after="0"/>
        <w:ind w:left="567" w:hanging="567"/>
        <w:rPr>
          <w:rFonts w:eastAsia="Times New Roman" w:cs="Times New Roman"/>
          <w:szCs w:val="24"/>
          <w:lang w:val="en-US" w:eastAsia="es-MX"/>
        </w:rPr>
      </w:pPr>
      <w:r w:rsidRPr="003A6D70">
        <w:rPr>
          <w:rFonts w:eastAsia="Times New Roman" w:cs="Times New Roman"/>
          <w:szCs w:val="24"/>
          <w:lang w:eastAsia="es-MX"/>
        </w:rPr>
        <w:t xml:space="preserve">Car </w:t>
      </w:r>
      <w:proofErr w:type="spellStart"/>
      <w:r w:rsidRPr="003A6D70">
        <w:rPr>
          <w:rFonts w:eastAsia="Times New Roman" w:cs="Times New Roman"/>
          <w:szCs w:val="24"/>
          <w:lang w:eastAsia="es-MX"/>
        </w:rPr>
        <w:t>Freight</w:t>
      </w:r>
      <w:proofErr w:type="spellEnd"/>
      <w:r w:rsidRPr="003A6D70">
        <w:rPr>
          <w:rFonts w:eastAsia="Times New Roman" w:cs="Times New Roman"/>
          <w:szCs w:val="24"/>
          <w:lang w:eastAsia="es-MX"/>
        </w:rPr>
        <w:t xml:space="preserve"> </w:t>
      </w:r>
      <w:proofErr w:type="spellStart"/>
      <w:r w:rsidRPr="003A6D70">
        <w:rPr>
          <w:rFonts w:eastAsia="Times New Roman" w:cs="Times New Roman"/>
          <w:szCs w:val="24"/>
          <w:lang w:eastAsia="es-MX"/>
        </w:rPr>
        <w:t>Shipping</w:t>
      </w:r>
      <w:proofErr w:type="spellEnd"/>
      <w:r w:rsidRPr="003A6D70">
        <w:rPr>
          <w:rFonts w:eastAsia="Times New Roman" w:cs="Times New Roman"/>
          <w:szCs w:val="24"/>
          <w:lang w:eastAsia="es-MX"/>
        </w:rPr>
        <w:t xml:space="preserve"> Company, Área de Operaciones. (2024). </w:t>
      </w:r>
      <w:r w:rsidRPr="003A6D70">
        <w:rPr>
          <w:rFonts w:eastAsia="Times New Roman" w:cs="Times New Roman"/>
          <w:i/>
          <w:iCs/>
          <w:szCs w:val="24"/>
          <w:lang w:eastAsia="es-MX"/>
        </w:rPr>
        <w:t xml:space="preserve">Reporte de indicadores de reproceso documental: Embarques </w:t>
      </w:r>
      <w:proofErr w:type="spellStart"/>
      <w:r w:rsidRPr="003A6D70">
        <w:rPr>
          <w:rFonts w:eastAsia="Times New Roman" w:cs="Times New Roman"/>
          <w:i/>
          <w:iCs/>
          <w:szCs w:val="24"/>
          <w:lang w:eastAsia="es-MX"/>
        </w:rPr>
        <w:t>overseas</w:t>
      </w:r>
      <w:proofErr w:type="spellEnd"/>
      <w:r w:rsidRPr="003A6D70">
        <w:rPr>
          <w:rFonts w:eastAsia="Times New Roman" w:cs="Times New Roman"/>
          <w:i/>
          <w:iCs/>
          <w:szCs w:val="24"/>
          <w:lang w:eastAsia="es-MX"/>
        </w:rPr>
        <w:t xml:space="preserve"> enero–diciembre 2024</w:t>
      </w:r>
      <w:r w:rsidRPr="003A6D70">
        <w:rPr>
          <w:rFonts w:eastAsia="Times New Roman" w:cs="Times New Roman"/>
          <w:szCs w:val="24"/>
          <w:lang w:eastAsia="es-MX"/>
        </w:rPr>
        <w:t xml:space="preserve"> (Documento interno no publicado). </w:t>
      </w:r>
      <w:r w:rsidRPr="00357374">
        <w:rPr>
          <w:rFonts w:eastAsia="Times New Roman" w:cs="Times New Roman"/>
          <w:szCs w:val="24"/>
          <w:lang w:val="en-US" w:eastAsia="es-MX"/>
        </w:rPr>
        <w:t>Car Freight Shipping Company.</w:t>
      </w:r>
    </w:p>
    <w:p w14:paraId="657BDBF1" w14:textId="77777777" w:rsidR="00132053" w:rsidRPr="00357374" w:rsidRDefault="00132053" w:rsidP="005D037E">
      <w:pPr>
        <w:spacing w:after="0"/>
        <w:ind w:left="567" w:hanging="567"/>
        <w:rPr>
          <w:rFonts w:eastAsia="Times New Roman" w:cs="Times New Roman"/>
          <w:szCs w:val="24"/>
          <w:lang w:val="en-US" w:eastAsia="es-MX"/>
        </w:rPr>
      </w:pPr>
      <w:r w:rsidRPr="00357374">
        <w:rPr>
          <w:rFonts w:eastAsia="Times New Roman" w:cs="Times New Roman"/>
          <w:szCs w:val="24"/>
          <w:lang w:val="en-US" w:eastAsia="es-MX"/>
        </w:rPr>
        <w:t xml:space="preserve">Cepeda, N. J., </w:t>
      </w:r>
      <w:proofErr w:type="spellStart"/>
      <w:r w:rsidRPr="00357374">
        <w:rPr>
          <w:rFonts w:eastAsia="Times New Roman" w:cs="Times New Roman"/>
          <w:szCs w:val="24"/>
          <w:lang w:val="en-US" w:eastAsia="es-MX"/>
        </w:rPr>
        <w:t>Pashler</w:t>
      </w:r>
      <w:proofErr w:type="spellEnd"/>
      <w:r w:rsidRPr="00357374">
        <w:rPr>
          <w:rFonts w:eastAsia="Times New Roman" w:cs="Times New Roman"/>
          <w:szCs w:val="24"/>
          <w:lang w:val="en-US" w:eastAsia="es-MX"/>
        </w:rPr>
        <w:t xml:space="preserve">, H., </w:t>
      </w:r>
      <w:proofErr w:type="spellStart"/>
      <w:r w:rsidRPr="00357374">
        <w:rPr>
          <w:rFonts w:eastAsia="Times New Roman" w:cs="Times New Roman"/>
          <w:szCs w:val="24"/>
          <w:lang w:val="en-US" w:eastAsia="es-MX"/>
        </w:rPr>
        <w:t>Vul</w:t>
      </w:r>
      <w:proofErr w:type="spellEnd"/>
      <w:r w:rsidRPr="00357374">
        <w:rPr>
          <w:rFonts w:eastAsia="Times New Roman" w:cs="Times New Roman"/>
          <w:szCs w:val="24"/>
          <w:lang w:val="en-US" w:eastAsia="es-MX"/>
        </w:rPr>
        <w:t xml:space="preserve">, E., </w:t>
      </w:r>
      <w:proofErr w:type="spellStart"/>
      <w:r w:rsidRPr="00357374">
        <w:rPr>
          <w:rFonts w:eastAsia="Times New Roman" w:cs="Times New Roman"/>
          <w:szCs w:val="24"/>
          <w:lang w:val="en-US" w:eastAsia="es-MX"/>
        </w:rPr>
        <w:t>Wixted</w:t>
      </w:r>
      <w:proofErr w:type="spellEnd"/>
      <w:r w:rsidRPr="00357374">
        <w:rPr>
          <w:rFonts w:eastAsia="Times New Roman" w:cs="Times New Roman"/>
          <w:szCs w:val="24"/>
          <w:lang w:val="en-US" w:eastAsia="es-MX"/>
        </w:rPr>
        <w:t xml:space="preserve">, J. T., &amp; Rohrer, D. (2006). Distributed practice in verbal recall tasks: A review and quantitative synthesis. </w:t>
      </w:r>
      <w:r w:rsidRPr="00357374">
        <w:rPr>
          <w:rFonts w:eastAsia="Times New Roman" w:cs="Times New Roman"/>
          <w:i/>
          <w:iCs/>
          <w:szCs w:val="24"/>
          <w:lang w:val="en-US" w:eastAsia="es-MX"/>
        </w:rPr>
        <w:t>Psychological Bulletin, 132</w:t>
      </w:r>
      <w:r w:rsidRPr="00357374">
        <w:rPr>
          <w:rFonts w:eastAsia="Times New Roman" w:cs="Times New Roman"/>
          <w:szCs w:val="24"/>
          <w:lang w:val="en-US" w:eastAsia="es-MX"/>
        </w:rPr>
        <w:t>(3), 354–380. https://doi.org/10.1037/0033-2909.132.3.354</w:t>
      </w:r>
    </w:p>
    <w:p w14:paraId="5BB1A050" w14:textId="77777777" w:rsidR="00132053" w:rsidRPr="00357374" w:rsidRDefault="00132053" w:rsidP="005D037E">
      <w:pPr>
        <w:spacing w:after="0"/>
        <w:ind w:left="567" w:hanging="567"/>
        <w:rPr>
          <w:rFonts w:eastAsia="Times New Roman" w:cs="Times New Roman"/>
          <w:szCs w:val="24"/>
          <w:lang w:val="en-US" w:eastAsia="es-MX"/>
        </w:rPr>
      </w:pPr>
      <w:r w:rsidRPr="00357374">
        <w:rPr>
          <w:rFonts w:eastAsia="Times New Roman" w:cs="Times New Roman"/>
          <w:szCs w:val="24"/>
          <w:lang w:val="en-US" w:eastAsia="es-MX"/>
        </w:rPr>
        <w:t xml:space="preserve">Cohn, K. L., &amp; Hibbert, R. A. (2021). </w:t>
      </w:r>
      <w:r w:rsidRPr="00357374">
        <w:rPr>
          <w:rFonts w:eastAsia="Times New Roman" w:cs="Times New Roman"/>
          <w:i/>
          <w:iCs/>
          <w:szCs w:val="24"/>
          <w:lang w:val="en-US" w:eastAsia="es-MX"/>
        </w:rPr>
        <w:t>Digital learning in the workplace</w:t>
      </w:r>
      <w:r w:rsidRPr="00357374">
        <w:rPr>
          <w:rFonts w:eastAsia="Times New Roman" w:cs="Times New Roman"/>
          <w:szCs w:val="24"/>
          <w:lang w:val="en-US" w:eastAsia="es-MX"/>
        </w:rPr>
        <w:t>. Oxford University Press.</w:t>
      </w:r>
    </w:p>
    <w:p w14:paraId="48600F41" w14:textId="77777777" w:rsidR="00132053" w:rsidRPr="00357374" w:rsidRDefault="00132053" w:rsidP="005D037E">
      <w:pPr>
        <w:spacing w:after="0"/>
        <w:ind w:left="567" w:hanging="567"/>
        <w:rPr>
          <w:rFonts w:eastAsia="Times New Roman" w:cs="Times New Roman"/>
          <w:szCs w:val="24"/>
          <w:lang w:val="en-US" w:eastAsia="es-MX"/>
        </w:rPr>
      </w:pPr>
      <w:r w:rsidRPr="00357374">
        <w:rPr>
          <w:rFonts w:eastAsia="Times New Roman" w:cs="Times New Roman"/>
          <w:szCs w:val="24"/>
          <w:lang w:val="en-US" w:eastAsia="es-MX"/>
        </w:rPr>
        <w:t xml:space="preserve">Colquitt, J. A., </w:t>
      </w:r>
      <w:proofErr w:type="spellStart"/>
      <w:r w:rsidRPr="00357374">
        <w:rPr>
          <w:rFonts w:eastAsia="Times New Roman" w:cs="Times New Roman"/>
          <w:szCs w:val="24"/>
          <w:lang w:val="en-US" w:eastAsia="es-MX"/>
        </w:rPr>
        <w:t>LePine</w:t>
      </w:r>
      <w:proofErr w:type="spellEnd"/>
      <w:r w:rsidRPr="00357374">
        <w:rPr>
          <w:rFonts w:eastAsia="Times New Roman" w:cs="Times New Roman"/>
          <w:szCs w:val="24"/>
          <w:lang w:val="en-US" w:eastAsia="es-MX"/>
        </w:rPr>
        <w:t xml:space="preserve">, J. A., &amp; Noe, R. A. (2000). Toward an integrative theory of training motivation: A meta-analytic path analysis of 20 years of research. </w:t>
      </w:r>
      <w:r w:rsidRPr="00357374">
        <w:rPr>
          <w:rFonts w:eastAsia="Times New Roman" w:cs="Times New Roman"/>
          <w:i/>
          <w:iCs/>
          <w:szCs w:val="24"/>
          <w:lang w:val="en-US" w:eastAsia="es-MX"/>
        </w:rPr>
        <w:t>Journal of Applied Psychology, 85</w:t>
      </w:r>
      <w:r w:rsidRPr="00357374">
        <w:rPr>
          <w:rFonts w:eastAsia="Times New Roman" w:cs="Times New Roman"/>
          <w:szCs w:val="24"/>
          <w:lang w:val="en-US" w:eastAsia="es-MX"/>
        </w:rPr>
        <w:t>(5), 678–707. https://doi.org/10.1037/0021-9010.85.5.678</w:t>
      </w:r>
    </w:p>
    <w:p w14:paraId="3B3361B6" w14:textId="77777777" w:rsidR="00132053" w:rsidRPr="00357374" w:rsidRDefault="00132053" w:rsidP="005D037E">
      <w:pPr>
        <w:spacing w:after="0"/>
        <w:ind w:left="567" w:hanging="567"/>
        <w:rPr>
          <w:rFonts w:eastAsia="Times New Roman" w:cs="Times New Roman"/>
          <w:szCs w:val="24"/>
          <w:lang w:val="en-US" w:eastAsia="es-MX"/>
        </w:rPr>
      </w:pPr>
      <w:r w:rsidRPr="00357374">
        <w:rPr>
          <w:rFonts w:eastAsia="Times New Roman" w:cs="Times New Roman"/>
          <w:szCs w:val="24"/>
          <w:lang w:val="en-US" w:eastAsia="es-MX"/>
        </w:rPr>
        <w:t xml:space="preserve">Creswell, J. W., &amp; Poth, C. N. (2018). </w:t>
      </w:r>
      <w:r w:rsidRPr="00357374">
        <w:rPr>
          <w:rFonts w:eastAsia="Times New Roman" w:cs="Times New Roman"/>
          <w:i/>
          <w:iCs/>
          <w:szCs w:val="24"/>
          <w:lang w:val="en-US" w:eastAsia="es-MX"/>
        </w:rPr>
        <w:t>Qualitative inquiry and research design: Choosing among five approaches</w:t>
      </w:r>
      <w:r w:rsidRPr="00357374">
        <w:rPr>
          <w:rFonts w:eastAsia="Times New Roman" w:cs="Times New Roman"/>
          <w:szCs w:val="24"/>
          <w:lang w:val="en-US" w:eastAsia="es-MX"/>
        </w:rPr>
        <w:t xml:space="preserve"> (4th ed.). SAGE Publications.</w:t>
      </w:r>
    </w:p>
    <w:p w14:paraId="3D385803" w14:textId="77777777" w:rsidR="00132053" w:rsidRPr="00357374" w:rsidRDefault="00132053" w:rsidP="005D037E">
      <w:pPr>
        <w:spacing w:after="0"/>
        <w:ind w:left="567" w:hanging="567"/>
        <w:rPr>
          <w:rFonts w:eastAsia="Times New Roman" w:cs="Times New Roman"/>
          <w:szCs w:val="24"/>
          <w:lang w:val="en-US" w:eastAsia="es-MX"/>
        </w:rPr>
      </w:pPr>
      <w:r w:rsidRPr="00357374">
        <w:rPr>
          <w:rFonts w:eastAsia="Times New Roman" w:cs="Times New Roman"/>
          <w:szCs w:val="24"/>
          <w:lang w:val="en-US" w:eastAsia="es-MX"/>
        </w:rPr>
        <w:lastRenderedPageBreak/>
        <w:t xml:space="preserve">Davenport, T. H., &amp; </w:t>
      </w:r>
      <w:proofErr w:type="spellStart"/>
      <w:r w:rsidRPr="00357374">
        <w:rPr>
          <w:rFonts w:eastAsia="Times New Roman" w:cs="Times New Roman"/>
          <w:szCs w:val="24"/>
          <w:lang w:val="en-US" w:eastAsia="es-MX"/>
        </w:rPr>
        <w:t>Ronanki</w:t>
      </w:r>
      <w:proofErr w:type="spellEnd"/>
      <w:r w:rsidRPr="00357374">
        <w:rPr>
          <w:rFonts w:eastAsia="Times New Roman" w:cs="Times New Roman"/>
          <w:szCs w:val="24"/>
          <w:lang w:val="en-US" w:eastAsia="es-MX"/>
        </w:rPr>
        <w:t xml:space="preserve">, R. (2018). Artificial intelligence for the real world. </w:t>
      </w:r>
      <w:r w:rsidRPr="00357374">
        <w:rPr>
          <w:rFonts w:eastAsia="Times New Roman" w:cs="Times New Roman"/>
          <w:i/>
          <w:iCs/>
          <w:szCs w:val="24"/>
          <w:lang w:val="en-US" w:eastAsia="es-MX"/>
        </w:rPr>
        <w:t>Harvard Business Review, 96</w:t>
      </w:r>
      <w:r w:rsidRPr="00357374">
        <w:rPr>
          <w:rFonts w:eastAsia="Times New Roman" w:cs="Times New Roman"/>
          <w:szCs w:val="24"/>
          <w:lang w:val="en-US" w:eastAsia="es-MX"/>
        </w:rPr>
        <w:t>(1), 108–116. https://hbr.org/2018/01/artificial-intelligence-for-the-real-world</w:t>
      </w:r>
    </w:p>
    <w:p w14:paraId="35953D36" w14:textId="77777777" w:rsidR="00132053" w:rsidRPr="00357374" w:rsidRDefault="00132053" w:rsidP="005D037E">
      <w:pPr>
        <w:spacing w:after="0"/>
        <w:ind w:left="567" w:hanging="567"/>
        <w:rPr>
          <w:rFonts w:eastAsia="Times New Roman" w:cs="Times New Roman"/>
          <w:szCs w:val="24"/>
          <w:lang w:val="en-US" w:eastAsia="es-MX"/>
        </w:rPr>
      </w:pPr>
      <w:proofErr w:type="spellStart"/>
      <w:r w:rsidRPr="00357374">
        <w:rPr>
          <w:rFonts w:eastAsia="Times New Roman" w:cs="Times New Roman"/>
          <w:szCs w:val="24"/>
          <w:lang w:val="en-US" w:eastAsia="es-MX"/>
        </w:rPr>
        <w:t>Engeström</w:t>
      </w:r>
      <w:proofErr w:type="spellEnd"/>
      <w:r w:rsidRPr="00357374">
        <w:rPr>
          <w:rFonts w:eastAsia="Times New Roman" w:cs="Times New Roman"/>
          <w:szCs w:val="24"/>
          <w:lang w:val="en-US" w:eastAsia="es-MX"/>
        </w:rPr>
        <w:t xml:space="preserve">, Y. (1987). </w:t>
      </w:r>
      <w:r w:rsidRPr="00357374">
        <w:rPr>
          <w:rFonts w:eastAsia="Times New Roman" w:cs="Times New Roman"/>
          <w:i/>
          <w:iCs/>
          <w:szCs w:val="24"/>
          <w:lang w:val="en-US" w:eastAsia="es-MX"/>
        </w:rPr>
        <w:t>Learning by expanding: An activity-theoretical approach to developmental research</w:t>
      </w:r>
      <w:r w:rsidRPr="00357374">
        <w:rPr>
          <w:rFonts w:eastAsia="Times New Roman" w:cs="Times New Roman"/>
          <w:szCs w:val="24"/>
          <w:lang w:val="en-US" w:eastAsia="es-MX"/>
        </w:rPr>
        <w:t xml:space="preserve">. </w:t>
      </w:r>
      <w:proofErr w:type="spellStart"/>
      <w:r w:rsidRPr="00357374">
        <w:rPr>
          <w:rFonts w:eastAsia="Times New Roman" w:cs="Times New Roman"/>
          <w:szCs w:val="24"/>
          <w:lang w:val="en-US" w:eastAsia="es-MX"/>
        </w:rPr>
        <w:t>Orienta-Konsultit</w:t>
      </w:r>
      <w:proofErr w:type="spellEnd"/>
      <w:r w:rsidRPr="00357374">
        <w:rPr>
          <w:rFonts w:eastAsia="Times New Roman" w:cs="Times New Roman"/>
          <w:szCs w:val="24"/>
          <w:lang w:val="en-US" w:eastAsia="es-MX"/>
        </w:rPr>
        <w:t>.</w:t>
      </w:r>
    </w:p>
    <w:p w14:paraId="395A1D74" w14:textId="77777777" w:rsidR="00132053" w:rsidRPr="00357374" w:rsidRDefault="00132053" w:rsidP="005D037E">
      <w:pPr>
        <w:spacing w:after="0"/>
        <w:ind w:left="567" w:hanging="567"/>
        <w:rPr>
          <w:rFonts w:eastAsia="Times New Roman" w:cs="Times New Roman"/>
          <w:szCs w:val="24"/>
          <w:lang w:val="en-US" w:eastAsia="es-MX"/>
        </w:rPr>
      </w:pPr>
      <w:proofErr w:type="spellStart"/>
      <w:r w:rsidRPr="00357374">
        <w:rPr>
          <w:rFonts w:eastAsia="Times New Roman" w:cs="Times New Roman"/>
          <w:szCs w:val="24"/>
          <w:lang w:val="en-US" w:eastAsia="es-MX"/>
        </w:rPr>
        <w:t>Engeström</w:t>
      </w:r>
      <w:proofErr w:type="spellEnd"/>
      <w:r w:rsidRPr="00357374">
        <w:rPr>
          <w:rFonts w:eastAsia="Times New Roman" w:cs="Times New Roman"/>
          <w:szCs w:val="24"/>
          <w:lang w:val="en-US" w:eastAsia="es-MX"/>
        </w:rPr>
        <w:t xml:space="preserve">, Y. (2001). Expansive learning at work: Toward an activity theoretical reconceptualization. </w:t>
      </w:r>
      <w:r w:rsidRPr="00357374">
        <w:rPr>
          <w:rFonts w:eastAsia="Times New Roman" w:cs="Times New Roman"/>
          <w:i/>
          <w:iCs/>
          <w:szCs w:val="24"/>
          <w:lang w:val="en-US" w:eastAsia="es-MX"/>
        </w:rPr>
        <w:t>Journal of Education and Work, 14</w:t>
      </w:r>
      <w:r w:rsidRPr="00357374">
        <w:rPr>
          <w:rFonts w:eastAsia="Times New Roman" w:cs="Times New Roman"/>
          <w:szCs w:val="24"/>
          <w:lang w:val="en-US" w:eastAsia="es-MX"/>
        </w:rPr>
        <w:t>(1), 133–156. https://doi.org/10.1080/13639080020028747</w:t>
      </w:r>
    </w:p>
    <w:p w14:paraId="5128C701" w14:textId="77777777" w:rsidR="00132053" w:rsidRPr="00357374" w:rsidRDefault="00132053" w:rsidP="005D037E">
      <w:pPr>
        <w:spacing w:after="0"/>
        <w:ind w:left="567" w:hanging="567"/>
        <w:rPr>
          <w:rFonts w:eastAsia="Times New Roman" w:cs="Times New Roman"/>
          <w:szCs w:val="24"/>
          <w:lang w:val="en-US" w:eastAsia="es-MX"/>
        </w:rPr>
      </w:pPr>
      <w:proofErr w:type="spellStart"/>
      <w:r w:rsidRPr="00357374">
        <w:rPr>
          <w:rFonts w:eastAsia="Times New Roman" w:cs="Times New Roman"/>
          <w:szCs w:val="24"/>
          <w:lang w:val="en-US" w:eastAsia="es-MX"/>
        </w:rPr>
        <w:t>Eraut</w:t>
      </w:r>
      <w:proofErr w:type="spellEnd"/>
      <w:r w:rsidRPr="00357374">
        <w:rPr>
          <w:rFonts w:eastAsia="Times New Roman" w:cs="Times New Roman"/>
          <w:szCs w:val="24"/>
          <w:lang w:val="en-US" w:eastAsia="es-MX"/>
        </w:rPr>
        <w:t xml:space="preserve">, M. (2004). Informal learning in the workplace. </w:t>
      </w:r>
      <w:r w:rsidRPr="00357374">
        <w:rPr>
          <w:rFonts w:eastAsia="Times New Roman" w:cs="Times New Roman"/>
          <w:i/>
          <w:iCs/>
          <w:szCs w:val="24"/>
          <w:lang w:val="en-US" w:eastAsia="es-MX"/>
        </w:rPr>
        <w:t>Studies in Continuing Education, 26</w:t>
      </w:r>
      <w:r w:rsidRPr="00357374">
        <w:rPr>
          <w:rFonts w:eastAsia="Times New Roman" w:cs="Times New Roman"/>
          <w:szCs w:val="24"/>
          <w:lang w:val="en-US" w:eastAsia="es-MX"/>
        </w:rPr>
        <w:t>(2), 247–273. https://doi.org/10.1080/158037042000225245</w:t>
      </w:r>
    </w:p>
    <w:p w14:paraId="24673F5E" w14:textId="09AB90AB" w:rsidR="00132053" w:rsidRPr="00357374" w:rsidRDefault="00132053" w:rsidP="005D037E">
      <w:pPr>
        <w:spacing w:after="0"/>
        <w:ind w:left="567" w:hanging="567"/>
        <w:rPr>
          <w:rFonts w:eastAsia="Times New Roman" w:cs="Times New Roman"/>
          <w:szCs w:val="24"/>
          <w:lang w:val="en-US" w:eastAsia="es-MX"/>
        </w:rPr>
      </w:pPr>
      <w:r w:rsidRPr="00357374">
        <w:rPr>
          <w:rFonts w:eastAsia="Times New Roman" w:cs="Times New Roman"/>
          <w:szCs w:val="24"/>
          <w:lang w:val="en-US" w:eastAsia="es-MX"/>
        </w:rPr>
        <w:t xml:space="preserve">Ericsson, K. A. (1993). The role of deliberate practice in the acquisition of expert performance. </w:t>
      </w:r>
      <w:r w:rsidRPr="00357374">
        <w:rPr>
          <w:rFonts w:eastAsia="Times New Roman" w:cs="Times New Roman"/>
          <w:i/>
          <w:iCs/>
          <w:szCs w:val="24"/>
          <w:lang w:val="en-US" w:eastAsia="es-MX"/>
        </w:rPr>
        <w:t>Psychological Review, 100</w:t>
      </w:r>
      <w:r w:rsidRPr="00357374">
        <w:rPr>
          <w:rFonts w:eastAsia="Times New Roman" w:cs="Times New Roman"/>
          <w:szCs w:val="24"/>
          <w:lang w:val="en-US" w:eastAsia="es-MX"/>
        </w:rPr>
        <w:t xml:space="preserve">(3), 363–406. </w:t>
      </w:r>
      <w:hyperlink r:id="rId18" w:history="1">
        <w:r w:rsidR="00BE7757" w:rsidRPr="00357374">
          <w:rPr>
            <w:rStyle w:val="Hipervnculo"/>
            <w:rFonts w:eastAsia="Times New Roman" w:cs="Times New Roman"/>
            <w:szCs w:val="24"/>
            <w:lang w:val="en-US" w:eastAsia="es-MX"/>
          </w:rPr>
          <w:t>https://doi.org/10.1037/0033-295X.100.3.363</w:t>
        </w:r>
      </w:hyperlink>
    </w:p>
    <w:p w14:paraId="2ABAAC82" w14:textId="64E3F5DC" w:rsidR="00BE7757" w:rsidRPr="00357374" w:rsidRDefault="00BE7757" w:rsidP="005D037E">
      <w:pPr>
        <w:spacing w:after="0"/>
        <w:ind w:left="567" w:hanging="567"/>
        <w:rPr>
          <w:rFonts w:eastAsia="Times New Roman" w:cs="Times New Roman"/>
          <w:szCs w:val="24"/>
          <w:lang w:val="en-US" w:eastAsia="es-MX"/>
        </w:rPr>
      </w:pPr>
      <w:proofErr w:type="spellStart"/>
      <w:r w:rsidRPr="00357374">
        <w:rPr>
          <w:rFonts w:eastAsia="Times New Roman" w:cs="Times New Roman"/>
          <w:szCs w:val="24"/>
          <w:lang w:val="en-US" w:eastAsia="es-MX"/>
        </w:rPr>
        <w:t>Eubrics</w:t>
      </w:r>
      <w:proofErr w:type="spellEnd"/>
      <w:r w:rsidRPr="00357374">
        <w:rPr>
          <w:rFonts w:eastAsia="Times New Roman" w:cs="Times New Roman"/>
          <w:szCs w:val="24"/>
          <w:lang w:val="en-US" w:eastAsia="es-MX"/>
        </w:rPr>
        <w:t xml:space="preserve">. (2026). 4 reasons your corporate training </w:t>
      </w:r>
      <w:proofErr w:type="spellStart"/>
      <w:r w:rsidRPr="00357374">
        <w:rPr>
          <w:rFonts w:eastAsia="Times New Roman" w:cs="Times New Roman"/>
          <w:szCs w:val="24"/>
          <w:lang w:val="en-US" w:eastAsia="es-MX"/>
        </w:rPr>
        <w:t>programme</w:t>
      </w:r>
      <w:proofErr w:type="spellEnd"/>
      <w:r w:rsidRPr="00357374">
        <w:rPr>
          <w:rFonts w:eastAsia="Times New Roman" w:cs="Times New Roman"/>
          <w:szCs w:val="24"/>
          <w:lang w:val="en-US" w:eastAsia="es-MX"/>
        </w:rPr>
        <w:t xml:space="preserve"> isn't changing </w:t>
      </w:r>
      <w:proofErr w:type="spellStart"/>
      <w:r w:rsidRPr="00357374">
        <w:rPr>
          <w:rFonts w:eastAsia="Times New Roman" w:cs="Times New Roman"/>
          <w:szCs w:val="24"/>
          <w:lang w:val="en-US" w:eastAsia="es-MX"/>
        </w:rPr>
        <w:t>behaviour</w:t>
      </w:r>
      <w:proofErr w:type="spellEnd"/>
      <w:r w:rsidRPr="00357374">
        <w:rPr>
          <w:rFonts w:eastAsia="Times New Roman" w:cs="Times New Roman"/>
          <w:szCs w:val="24"/>
          <w:lang w:val="en-US" w:eastAsia="es-MX"/>
        </w:rPr>
        <w:t xml:space="preserve"> (and what to do instead). </w:t>
      </w:r>
      <w:hyperlink r:id="rId19" w:history="1">
        <w:r w:rsidR="008A69FA" w:rsidRPr="00357374">
          <w:rPr>
            <w:rStyle w:val="Hipervnculo"/>
            <w:rFonts w:eastAsia="Times New Roman" w:cs="Times New Roman"/>
            <w:szCs w:val="24"/>
            <w:lang w:val="en-US" w:eastAsia="es-MX"/>
          </w:rPr>
          <w:t>https://www.eubrics.com/blogs/corporate-training-program-tips</w:t>
        </w:r>
      </w:hyperlink>
    </w:p>
    <w:p w14:paraId="2E830B96" w14:textId="01829E4D" w:rsidR="008A69FA" w:rsidRPr="00357374" w:rsidRDefault="008A69FA" w:rsidP="005D037E">
      <w:pPr>
        <w:spacing w:after="0"/>
        <w:ind w:left="567" w:hanging="567"/>
        <w:rPr>
          <w:rFonts w:eastAsia="Times New Roman" w:cs="Times New Roman"/>
          <w:szCs w:val="24"/>
          <w:lang w:val="en-US" w:eastAsia="es-MX"/>
        </w:rPr>
      </w:pPr>
      <w:proofErr w:type="spellStart"/>
      <w:r w:rsidRPr="00357374">
        <w:rPr>
          <w:rFonts w:eastAsia="Times New Roman" w:cs="Times New Roman"/>
          <w:szCs w:val="24"/>
          <w:lang w:val="en-US" w:eastAsia="es-MX"/>
        </w:rPr>
        <w:t>Fereday</w:t>
      </w:r>
      <w:proofErr w:type="spellEnd"/>
      <w:r w:rsidRPr="00357374">
        <w:rPr>
          <w:rFonts w:eastAsia="Times New Roman" w:cs="Times New Roman"/>
          <w:szCs w:val="24"/>
          <w:lang w:val="en-US" w:eastAsia="es-MX"/>
        </w:rPr>
        <w:t>, J., &amp; Muir-Cochrane, E. (2006). Demonstrating rigor using thematic analysis: A hybrid approach of inductive and deductive coding and theme development. International Journal of Qualitative Methods, 5(1), 80–92. https://doi.org/10.1177/160940690600500107</w:t>
      </w:r>
    </w:p>
    <w:p w14:paraId="15A54B7C" w14:textId="5901B695" w:rsidR="00C54FBE" w:rsidRPr="00357374" w:rsidRDefault="00132053" w:rsidP="005D037E">
      <w:pPr>
        <w:spacing w:after="0"/>
        <w:ind w:left="567" w:hanging="567"/>
        <w:rPr>
          <w:rFonts w:eastAsia="Times New Roman" w:cs="Times New Roman"/>
          <w:szCs w:val="24"/>
          <w:lang w:val="en-US" w:eastAsia="es-MX"/>
        </w:rPr>
      </w:pPr>
      <w:r w:rsidRPr="00357374">
        <w:rPr>
          <w:rFonts w:eastAsia="Times New Roman" w:cs="Times New Roman"/>
          <w:szCs w:val="24"/>
          <w:lang w:val="en-US" w:eastAsia="es-MX"/>
        </w:rPr>
        <w:t xml:space="preserve">Flanagan, J. C. (1954). The critical incident technique. </w:t>
      </w:r>
      <w:r w:rsidRPr="00357374">
        <w:rPr>
          <w:rFonts w:eastAsia="Times New Roman" w:cs="Times New Roman"/>
          <w:i/>
          <w:iCs/>
          <w:szCs w:val="24"/>
          <w:lang w:val="en-US" w:eastAsia="es-MX"/>
        </w:rPr>
        <w:t>Psychological Bulletin, 51</w:t>
      </w:r>
      <w:r w:rsidRPr="00357374">
        <w:rPr>
          <w:rFonts w:eastAsia="Times New Roman" w:cs="Times New Roman"/>
          <w:szCs w:val="24"/>
          <w:lang w:val="en-US" w:eastAsia="es-MX"/>
        </w:rPr>
        <w:t xml:space="preserve">(4), 327–358. </w:t>
      </w:r>
      <w:hyperlink r:id="rId20" w:history="1">
        <w:r w:rsidR="00C54FBE" w:rsidRPr="00357374">
          <w:rPr>
            <w:rStyle w:val="Hipervnculo"/>
            <w:rFonts w:eastAsia="Times New Roman" w:cs="Times New Roman"/>
            <w:szCs w:val="24"/>
            <w:lang w:val="en-US" w:eastAsia="es-MX"/>
          </w:rPr>
          <w:t>https://doi.org/10.1037/h0061470</w:t>
        </w:r>
      </w:hyperlink>
    </w:p>
    <w:p w14:paraId="3DCAA1FA" w14:textId="31C65868" w:rsidR="00132053" w:rsidRPr="00357374" w:rsidRDefault="00132053" w:rsidP="005D037E">
      <w:pPr>
        <w:spacing w:after="0"/>
        <w:ind w:left="567" w:hanging="567"/>
        <w:rPr>
          <w:rFonts w:eastAsia="Times New Roman" w:cs="Times New Roman"/>
          <w:szCs w:val="24"/>
          <w:lang w:val="en-US" w:eastAsia="es-MX"/>
        </w:rPr>
      </w:pPr>
      <w:proofErr w:type="spellStart"/>
      <w:r w:rsidRPr="00357374">
        <w:rPr>
          <w:rFonts w:eastAsia="Times New Roman" w:cs="Times New Roman"/>
          <w:szCs w:val="24"/>
          <w:lang w:val="en-US" w:eastAsia="es-MX"/>
        </w:rPr>
        <w:t>Gery</w:t>
      </w:r>
      <w:proofErr w:type="spellEnd"/>
      <w:r w:rsidRPr="00357374">
        <w:rPr>
          <w:rFonts w:eastAsia="Times New Roman" w:cs="Times New Roman"/>
          <w:szCs w:val="24"/>
          <w:lang w:val="en-US" w:eastAsia="es-MX"/>
        </w:rPr>
        <w:t xml:space="preserve">, G. J. (1991). </w:t>
      </w:r>
      <w:r w:rsidRPr="00357374">
        <w:rPr>
          <w:rFonts w:eastAsia="Times New Roman" w:cs="Times New Roman"/>
          <w:i/>
          <w:iCs/>
          <w:szCs w:val="24"/>
          <w:lang w:val="en-US" w:eastAsia="es-MX"/>
        </w:rPr>
        <w:t>Electronic performance support systems: How and why to remake the workplace through the strategic application of technology</w:t>
      </w:r>
      <w:r w:rsidRPr="00357374">
        <w:rPr>
          <w:rFonts w:eastAsia="Times New Roman" w:cs="Times New Roman"/>
          <w:szCs w:val="24"/>
          <w:lang w:val="en-US" w:eastAsia="es-MX"/>
        </w:rPr>
        <w:t>. Weingarten Publications.</w:t>
      </w:r>
    </w:p>
    <w:p w14:paraId="213A654D" w14:textId="088EF52A" w:rsidR="00C54FBE" w:rsidRDefault="00C54FBE" w:rsidP="005D037E">
      <w:pPr>
        <w:spacing w:after="0"/>
        <w:ind w:left="567" w:hanging="567"/>
        <w:rPr>
          <w:rFonts w:eastAsia="Times New Roman" w:cs="Times New Roman"/>
          <w:szCs w:val="24"/>
          <w:lang w:eastAsia="es-MX"/>
        </w:rPr>
      </w:pPr>
      <w:r w:rsidRPr="00357374">
        <w:rPr>
          <w:rFonts w:eastAsia="Times New Roman" w:cs="Times New Roman"/>
          <w:szCs w:val="24"/>
          <w:lang w:val="en-US" w:eastAsia="es-MX"/>
        </w:rPr>
        <w:t xml:space="preserve">Glaser, B. G., &amp; Strauss, A. L. (1967). The discovery of grounded theory: Strategies for qualitative research. </w:t>
      </w:r>
      <w:r w:rsidRPr="00C54FBE">
        <w:rPr>
          <w:rFonts w:eastAsia="Times New Roman" w:cs="Times New Roman"/>
          <w:szCs w:val="24"/>
          <w:lang w:eastAsia="es-MX"/>
        </w:rPr>
        <w:t>Aldine Publishing Company.</w:t>
      </w:r>
    </w:p>
    <w:p w14:paraId="6F601323" w14:textId="3283453E" w:rsidR="00626ED6" w:rsidRPr="00357374" w:rsidRDefault="00626ED6" w:rsidP="005D037E">
      <w:pPr>
        <w:spacing w:after="0"/>
        <w:ind w:left="567" w:hanging="567"/>
        <w:rPr>
          <w:rFonts w:eastAsia="Times New Roman" w:cs="Times New Roman"/>
          <w:szCs w:val="24"/>
          <w:lang w:val="en-US" w:eastAsia="es-MX"/>
        </w:rPr>
      </w:pPr>
      <w:r w:rsidRPr="00357374">
        <w:rPr>
          <w:rFonts w:eastAsia="Times New Roman" w:cs="Times New Roman"/>
          <w:szCs w:val="24"/>
          <w:lang w:val="en-US" w:eastAsia="es-MX"/>
        </w:rPr>
        <w:t xml:space="preserve">Holton, E. F., III, Bates, R. A., &amp; Ruona, W. E. A. (2000). Development of a generalized learning transfer system inventory. </w:t>
      </w:r>
      <w:r w:rsidRPr="00357374">
        <w:rPr>
          <w:rFonts w:eastAsia="Times New Roman" w:cs="Times New Roman"/>
          <w:i/>
          <w:iCs/>
          <w:szCs w:val="24"/>
          <w:lang w:val="en-US" w:eastAsia="es-MX"/>
        </w:rPr>
        <w:t>Human Resource Development Quarterly, 11</w:t>
      </w:r>
      <w:r w:rsidRPr="00357374">
        <w:rPr>
          <w:rFonts w:eastAsia="Times New Roman" w:cs="Times New Roman"/>
          <w:szCs w:val="24"/>
          <w:lang w:val="en-US" w:eastAsia="es-MX"/>
        </w:rPr>
        <w:t>(4), 333–360. https://doi.org/10.1002/1532-1096(200024)11:4&lt;</w:t>
      </w:r>
      <w:proofErr w:type="gramStart"/>
      <w:r w:rsidRPr="00357374">
        <w:rPr>
          <w:rFonts w:eastAsia="Times New Roman" w:cs="Times New Roman"/>
          <w:szCs w:val="24"/>
          <w:lang w:val="en-US" w:eastAsia="es-MX"/>
        </w:rPr>
        <w:t>333::</w:t>
      </w:r>
      <w:proofErr w:type="gramEnd"/>
      <w:r w:rsidRPr="00357374">
        <w:rPr>
          <w:rFonts w:eastAsia="Times New Roman" w:cs="Times New Roman"/>
          <w:szCs w:val="24"/>
          <w:lang w:val="en-US" w:eastAsia="es-MX"/>
        </w:rPr>
        <w:t>AID-HRDQ2&gt;3.0.CO;2-P</w:t>
      </w:r>
    </w:p>
    <w:p w14:paraId="76FE220F" w14:textId="0E6D7ED5" w:rsidR="00626ED6" w:rsidRPr="00357374" w:rsidRDefault="00132053" w:rsidP="005D037E">
      <w:pPr>
        <w:spacing w:after="0"/>
        <w:ind w:left="567" w:hanging="567"/>
        <w:rPr>
          <w:rFonts w:eastAsia="Times New Roman" w:cs="Times New Roman"/>
          <w:szCs w:val="24"/>
          <w:lang w:val="en-US" w:eastAsia="es-MX"/>
        </w:rPr>
      </w:pPr>
      <w:r w:rsidRPr="00357374">
        <w:rPr>
          <w:rFonts w:eastAsia="Times New Roman" w:cs="Times New Roman"/>
          <w:szCs w:val="24"/>
          <w:lang w:val="en-US" w:eastAsia="es-MX"/>
        </w:rPr>
        <w:t xml:space="preserve">Holton, E. F. (2005). Holton’s evaluation model: New evidence and construct elaborations. </w:t>
      </w:r>
      <w:r w:rsidRPr="00357374">
        <w:rPr>
          <w:rFonts w:eastAsia="Times New Roman" w:cs="Times New Roman"/>
          <w:i/>
          <w:iCs/>
          <w:szCs w:val="24"/>
          <w:lang w:val="en-US" w:eastAsia="es-MX"/>
        </w:rPr>
        <w:t>Advances in Developing Human Resources, 7</w:t>
      </w:r>
      <w:r w:rsidRPr="00357374">
        <w:rPr>
          <w:rFonts w:eastAsia="Times New Roman" w:cs="Times New Roman"/>
          <w:szCs w:val="24"/>
          <w:lang w:val="en-US" w:eastAsia="es-MX"/>
        </w:rPr>
        <w:t>(1), 37–54. https://doi.org/10.1177/1523422304272080</w:t>
      </w:r>
    </w:p>
    <w:p w14:paraId="323907EC" w14:textId="77777777" w:rsidR="00132053" w:rsidRPr="00357374" w:rsidRDefault="00132053" w:rsidP="005D037E">
      <w:pPr>
        <w:spacing w:after="0"/>
        <w:ind w:left="567" w:hanging="567"/>
        <w:rPr>
          <w:rFonts w:eastAsia="Times New Roman" w:cs="Times New Roman"/>
          <w:szCs w:val="24"/>
          <w:lang w:val="en-US" w:eastAsia="es-MX"/>
        </w:rPr>
      </w:pPr>
      <w:proofErr w:type="spellStart"/>
      <w:r w:rsidRPr="00357374">
        <w:rPr>
          <w:rFonts w:eastAsia="Times New Roman" w:cs="Times New Roman"/>
          <w:szCs w:val="24"/>
          <w:lang w:val="en-US" w:eastAsia="es-MX"/>
        </w:rPr>
        <w:t>Jarrahi</w:t>
      </w:r>
      <w:proofErr w:type="spellEnd"/>
      <w:r w:rsidRPr="00357374">
        <w:rPr>
          <w:rFonts w:eastAsia="Times New Roman" w:cs="Times New Roman"/>
          <w:szCs w:val="24"/>
          <w:lang w:val="en-US" w:eastAsia="es-MX"/>
        </w:rPr>
        <w:t xml:space="preserve">, M. H. (2018). Artificial intelligence and the future of work: Human–AI symbiosis in organizational decision making. </w:t>
      </w:r>
      <w:r w:rsidRPr="00357374">
        <w:rPr>
          <w:rFonts w:eastAsia="Times New Roman" w:cs="Times New Roman"/>
          <w:i/>
          <w:iCs/>
          <w:szCs w:val="24"/>
          <w:lang w:val="en-US" w:eastAsia="es-MX"/>
        </w:rPr>
        <w:t>Business Horizons, 61</w:t>
      </w:r>
      <w:r w:rsidRPr="00357374">
        <w:rPr>
          <w:rFonts w:eastAsia="Times New Roman" w:cs="Times New Roman"/>
          <w:szCs w:val="24"/>
          <w:lang w:val="en-US" w:eastAsia="es-MX"/>
        </w:rPr>
        <w:t>(4), 577–586. https://doi.org/10.1016/j.bushor.2018.03.007</w:t>
      </w:r>
    </w:p>
    <w:p w14:paraId="50F1AAD2" w14:textId="77777777" w:rsidR="00132053" w:rsidRPr="00357374" w:rsidRDefault="00132053" w:rsidP="005D037E">
      <w:pPr>
        <w:spacing w:after="0"/>
        <w:ind w:left="567" w:hanging="567"/>
        <w:rPr>
          <w:rFonts w:eastAsia="Times New Roman" w:cs="Times New Roman"/>
          <w:szCs w:val="24"/>
          <w:lang w:val="en-US" w:eastAsia="es-MX"/>
        </w:rPr>
      </w:pPr>
      <w:proofErr w:type="spellStart"/>
      <w:r w:rsidRPr="00357374">
        <w:rPr>
          <w:rFonts w:eastAsia="Times New Roman" w:cs="Times New Roman"/>
          <w:szCs w:val="24"/>
          <w:lang w:val="en-US" w:eastAsia="es-MX"/>
        </w:rPr>
        <w:lastRenderedPageBreak/>
        <w:t>Kapur</w:t>
      </w:r>
      <w:proofErr w:type="spellEnd"/>
      <w:r w:rsidRPr="00357374">
        <w:rPr>
          <w:rFonts w:eastAsia="Times New Roman" w:cs="Times New Roman"/>
          <w:szCs w:val="24"/>
          <w:lang w:val="en-US" w:eastAsia="es-MX"/>
        </w:rPr>
        <w:t xml:space="preserve">, M. (2016). Examining productive failure, productive success, unproductive failure, and unproductive success in learning. </w:t>
      </w:r>
      <w:r w:rsidRPr="00357374">
        <w:rPr>
          <w:rFonts w:eastAsia="Times New Roman" w:cs="Times New Roman"/>
          <w:i/>
          <w:iCs/>
          <w:szCs w:val="24"/>
          <w:lang w:val="en-US" w:eastAsia="es-MX"/>
        </w:rPr>
        <w:t>Educational Psychologist, 51</w:t>
      </w:r>
      <w:r w:rsidRPr="00357374">
        <w:rPr>
          <w:rFonts w:eastAsia="Times New Roman" w:cs="Times New Roman"/>
          <w:szCs w:val="24"/>
          <w:lang w:val="en-US" w:eastAsia="es-MX"/>
        </w:rPr>
        <w:t>(2), 289–299. https://doi.org/10.1080/00461520.2016.1155457</w:t>
      </w:r>
    </w:p>
    <w:p w14:paraId="62331C12" w14:textId="77777777" w:rsidR="00132053" w:rsidRPr="00357374" w:rsidRDefault="00132053" w:rsidP="005D037E">
      <w:pPr>
        <w:spacing w:after="0"/>
        <w:ind w:left="567" w:hanging="567"/>
        <w:rPr>
          <w:rFonts w:eastAsia="Times New Roman" w:cs="Times New Roman"/>
          <w:szCs w:val="24"/>
          <w:lang w:val="en-US" w:eastAsia="es-MX"/>
        </w:rPr>
      </w:pPr>
      <w:r w:rsidRPr="00357374">
        <w:rPr>
          <w:rFonts w:eastAsia="Times New Roman" w:cs="Times New Roman"/>
          <w:szCs w:val="24"/>
          <w:lang w:val="en-US" w:eastAsia="es-MX"/>
        </w:rPr>
        <w:t xml:space="preserve">Kirkpatrick, J. D., &amp; Kirkpatrick, W. K. (2016). </w:t>
      </w:r>
      <w:r w:rsidRPr="00357374">
        <w:rPr>
          <w:rFonts w:eastAsia="Times New Roman" w:cs="Times New Roman"/>
          <w:i/>
          <w:iCs/>
          <w:szCs w:val="24"/>
          <w:lang w:val="en-US" w:eastAsia="es-MX"/>
        </w:rPr>
        <w:t>Kirkpatrick’s four levels of training evaluation</w:t>
      </w:r>
      <w:r w:rsidRPr="00357374">
        <w:rPr>
          <w:rFonts w:eastAsia="Times New Roman" w:cs="Times New Roman"/>
          <w:szCs w:val="24"/>
          <w:lang w:val="en-US" w:eastAsia="es-MX"/>
        </w:rPr>
        <w:t>. ATD Press.</w:t>
      </w:r>
    </w:p>
    <w:p w14:paraId="5DC8B9F3" w14:textId="4AC8CA3D" w:rsidR="00132053" w:rsidRPr="00357374" w:rsidRDefault="00132053" w:rsidP="005D037E">
      <w:pPr>
        <w:spacing w:after="0"/>
        <w:ind w:left="567" w:hanging="567"/>
        <w:rPr>
          <w:rFonts w:eastAsia="Times New Roman" w:cs="Times New Roman"/>
          <w:szCs w:val="24"/>
          <w:lang w:val="en-US" w:eastAsia="es-MX"/>
        </w:rPr>
      </w:pPr>
      <w:r w:rsidRPr="00357374">
        <w:rPr>
          <w:rFonts w:eastAsia="Times New Roman" w:cs="Times New Roman"/>
          <w:szCs w:val="24"/>
          <w:lang w:val="en-US" w:eastAsia="es-MX"/>
        </w:rPr>
        <w:t xml:space="preserve">Kozlowski, S. W. J., &amp; Salas, E. (2010). </w:t>
      </w:r>
      <w:r w:rsidRPr="00357374">
        <w:rPr>
          <w:rFonts w:eastAsia="Times New Roman" w:cs="Times New Roman"/>
          <w:i/>
          <w:iCs/>
          <w:szCs w:val="24"/>
          <w:lang w:val="en-US" w:eastAsia="es-MX"/>
        </w:rPr>
        <w:t>Learning, training, and development in organizations</w:t>
      </w:r>
      <w:r w:rsidRPr="00357374">
        <w:rPr>
          <w:rFonts w:eastAsia="Times New Roman" w:cs="Times New Roman"/>
          <w:szCs w:val="24"/>
          <w:lang w:val="en-US" w:eastAsia="es-MX"/>
        </w:rPr>
        <w:t>. Routledge.</w:t>
      </w:r>
    </w:p>
    <w:p w14:paraId="14036CB4" w14:textId="63CC3331" w:rsidR="008A69FA" w:rsidRPr="00357374" w:rsidRDefault="008A69FA" w:rsidP="005D037E">
      <w:pPr>
        <w:spacing w:after="0"/>
        <w:ind w:left="567" w:hanging="567"/>
        <w:rPr>
          <w:rFonts w:eastAsia="Times New Roman" w:cs="Times New Roman"/>
          <w:szCs w:val="24"/>
          <w:lang w:val="en-US" w:eastAsia="es-MX"/>
        </w:rPr>
      </w:pPr>
      <w:r w:rsidRPr="00357374">
        <w:rPr>
          <w:rFonts w:eastAsia="Times New Roman" w:cs="Times New Roman"/>
          <w:szCs w:val="24"/>
          <w:lang w:val="en-US" w:eastAsia="es-MX"/>
        </w:rPr>
        <w:t>Lev Vygotsky. (1978). Mind in society: The development of higher psychological processes. Harvard University Press.</w:t>
      </w:r>
    </w:p>
    <w:p w14:paraId="78929031" w14:textId="77777777" w:rsidR="00132053" w:rsidRPr="00357374" w:rsidRDefault="00132053" w:rsidP="005D037E">
      <w:pPr>
        <w:spacing w:after="0"/>
        <w:ind w:left="567" w:hanging="567"/>
        <w:rPr>
          <w:rFonts w:eastAsia="Times New Roman" w:cs="Times New Roman"/>
          <w:szCs w:val="24"/>
          <w:lang w:val="en-US" w:eastAsia="es-MX"/>
        </w:rPr>
      </w:pPr>
      <w:r w:rsidRPr="00357374">
        <w:rPr>
          <w:rFonts w:eastAsia="Times New Roman" w:cs="Times New Roman"/>
          <w:szCs w:val="24"/>
          <w:lang w:val="en-US" w:eastAsia="es-MX"/>
        </w:rPr>
        <w:t xml:space="preserve">Lincoln, Y. S., &amp; Guba, E. G. (1985). </w:t>
      </w:r>
      <w:r w:rsidRPr="00357374">
        <w:rPr>
          <w:rFonts w:eastAsia="Times New Roman" w:cs="Times New Roman"/>
          <w:i/>
          <w:iCs/>
          <w:szCs w:val="24"/>
          <w:lang w:val="en-US" w:eastAsia="es-MX"/>
        </w:rPr>
        <w:t>Naturalistic inquiry</w:t>
      </w:r>
      <w:r w:rsidRPr="00357374">
        <w:rPr>
          <w:rFonts w:eastAsia="Times New Roman" w:cs="Times New Roman"/>
          <w:szCs w:val="24"/>
          <w:lang w:val="en-US" w:eastAsia="es-MX"/>
        </w:rPr>
        <w:t>. Sage Publications.</w:t>
      </w:r>
    </w:p>
    <w:p w14:paraId="29B29DBD" w14:textId="6E81A8A3" w:rsidR="00132053" w:rsidRPr="00357374" w:rsidRDefault="00132053" w:rsidP="005D037E">
      <w:pPr>
        <w:spacing w:after="0"/>
        <w:ind w:left="567" w:hanging="567"/>
        <w:rPr>
          <w:rFonts w:eastAsia="Times New Roman" w:cs="Times New Roman"/>
          <w:szCs w:val="24"/>
          <w:lang w:val="en-US" w:eastAsia="es-MX"/>
        </w:rPr>
      </w:pPr>
      <w:r w:rsidRPr="00357374">
        <w:rPr>
          <w:rFonts w:eastAsia="Times New Roman" w:cs="Times New Roman"/>
          <w:szCs w:val="24"/>
          <w:lang w:val="en-US" w:eastAsia="es-MX"/>
        </w:rPr>
        <w:t xml:space="preserve">Littlejohn, A., &amp; </w:t>
      </w:r>
      <w:proofErr w:type="spellStart"/>
      <w:r w:rsidRPr="00357374">
        <w:rPr>
          <w:rFonts w:eastAsia="Times New Roman" w:cs="Times New Roman"/>
          <w:szCs w:val="24"/>
          <w:lang w:val="en-US" w:eastAsia="es-MX"/>
        </w:rPr>
        <w:t>Margaryan</w:t>
      </w:r>
      <w:proofErr w:type="spellEnd"/>
      <w:r w:rsidRPr="00357374">
        <w:rPr>
          <w:rFonts w:eastAsia="Times New Roman" w:cs="Times New Roman"/>
          <w:szCs w:val="24"/>
          <w:lang w:val="en-US" w:eastAsia="es-MX"/>
        </w:rPr>
        <w:t xml:space="preserve">, A. (Eds.). (2014). </w:t>
      </w:r>
      <w:r w:rsidRPr="00357374">
        <w:rPr>
          <w:rFonts w:eastAsia="Times New Roman" w:cs="Times New Roman"/>
          <w:i/>
          <w:iCs/>
          <w:szCs w:val="24"/>
          <w:lang w:val="en-US" w:eastAsia="es-MX"/>
        </w:rPr>
        <w:t>Technology-enhanced professional learning: Processes, practices and tools</w:t>
      </w:r>
      <w:r w:rsidRPr="00357374">
        <w:rPr>
          <w:rFonts w:eastAsia="Times New Roman" w:cs="Times New Roman"/>
          <w:szCs w:val="24"/>
          <w:lang w:val="en-US" w:eastAsia="es-MX"/>
        </w:rPr>
        <w:t>. Routledge.</w:t>
      </w:r>
    </w:p>
    <w:p w14:paraId="7F2F58F1" w14:textId="5671A044" w:rsidR="00552631" w:rsidRPr="00357374" w:rsidRDefault="00552631" w:rsidP="005D037E">
      <w:pPr>
        <w:spacing w:after="0"/>
        <w:ind w:left="567" w:hanging="567"/>
        <w:rPr>
          <w:rFonts w:eastAsia="Times New Roman" w:cs="Times New Roman"/>
          <w:szCs w:val="24"/>
          <w:lang w:val="en-US" w:eastAsia="es-MX"/>
        </w:rPr>
      </w:pPr>
      <w:r w:rsidRPr="00357374">
        <w:rPr>
          <w:rFonts w:eastAsia="Times New Roman" w:cs="Times New Roman"/>
          <w:szCs w:val="24"/>
          <w:lang w:val="en-US" w:eastAsia="es-MX"/>
        </w:rPr>
        <w:t xml:space="preserve">Lombardo, M. M., &amp; </w:t>
      </w:r>
      <w:proofErr w:type="spellStart"/>
      <w:r w:rsidRPr="00357374">
        <w:rPr>
          <w:rFonts w:eastAsia="Times New Roman" w:cs="Times New Roman"/>
          <w:szCs w:val="24"/>
          <w:lang w:val="en-US" w:eastAsia="es-MX"/>
        </w:rPr>
        <w:t>Eichinger</w:t>
      </w:r>
      <w:proofErr w:type="spellEnd"/>
      <w:r w:rsidRPr="00357374">
        <w:rPr>
          <w:rFonts w:eastAsia="Times New Roman" w:cs="Times New Roman"/>
          <w:szCs w:val="24"/>
          <w:lang w:val="en-US" w:eastAsia="es-MX"/>
        </w:rPr>
        <w:t xml:space="preserve">, R. W. (1996). The career architect development planner (1st ed.). </w:t>
      </w:r>
      <w:proofErr w:type="spellStart"/>
      <w:r w:rsidRPr="00357374">
        <w:rPr>
          <w:rFonts w:eastAsia="Times New Roman" w:cs="Times New Roman"/>
          <w:szCs w:val="24"/>
          <w:lang w:val="en-US" w:eastAsia="es-MX"/>
        </w:rPr>
        <w:t>Lominger</w:t>
      </w:r>
      <w:proofErr w:type="spellEnd"/>
      <w:r w:rsidRPr="00357374">
        <w:rPr>
          <w:rFonts w:eastAsia="Times New Roman" w:cs="Times New Roman"/>
          <w:szCs w:val="24"/>
          <w:lang w:val="en-US" w:eastAsia="es-MX"/>
        </w:rPr>
        <w:t xml:space="preserve"> Limited.</w:t>
      </w:r>
    </w:p>
    <w:p w14:paraId="782CF05F" w14:textId="6EC3F457" w:rsidR="00552631" w:rsidRPr="00357374" w:rsidRDefault="00552631" w:rsidP="005D037E">
      <w:pPr>
        <w:spacing w:after="0"/>
        <w:ind w:left="567" w:hanging="567"/>
        <w:rPr>
          <w:rFonts w:eastAsia="Times New Roman" w:cs="Times New Roman"/>
          <w:szCs w:val="24"/>
          <w:lang w:val="en-US" w:eastAsia="es-MX"/>
        </w:rPr>
      </w:pPr>
      <w:r w:rsidRPr="00357374">
        <w:rPr>
          <w:rFonts w:eastAsia="Times New Roman" w:cs="Times New Roman"/>
          <w:szCs w:val="24"/>
          <w:lang w:val="en-US" w:eastAsia="es-MX"/>
        </w:rPr>
        <w:t>McCall, M. W., Jr., Lombardo, M. M., &amp; Morrison, A. M. (1988). The lessons of experience: How successful executives develop on the job. Lexington Books.</w:t>
      </w:r>
    </w:p>
    <w:p w14:paraId="6B564EED" w14:textId="765E6C57" w:rsidR="00E33BDE" w:rsidRPr="00357374" w:rsidRDefault="00E33BDE" w:rsidP="005D037E">
      <w:pPr>
        <w:spacing w:after="0"/>
        <w:ind w:left="567" w:hanging="567"/>
        <w:rPr>
          <w:rFonts w:eastAsia="Times New Roman" w:cs="Times New Roman"/>
          <w:szCs w:val="24"/>
          <w:lang w:val="en-US" w:eastAsia="es-MX"/>
        </w:rPr>
      </w:pPr>
      <w:r w:rsidRPr="00357374">
        <w:rPr>
          <w:rFonts w:eastAsia="Times New Roman" w:cs="Times New Roman"/>
          <w:szCs w:val="24"/>
          <w:lang w:val="en-US" w:eastAsia="es-MX"/>
        </w:rPr>
        <w:t>Meng, J., Wang, Z., &amp; Li, Z. (2016). Application of cognitive load theory in mobile micro-learning. En Proceedings of the 2016 International Conference on Management Science and Innovative Education (pp. 495–498). Atlantis Press. https://doi.org/10.2991/msie-16.2016.110</w:t>
      </w:r>
    </w:p>
    <w:p w14:paraId="445A31C1" w14:textId="77777777" w:rsidR="00132053" w:rsidRPr="00357374" w:rsidRDefault="00132053" w:rsidP="005D037E">
      <w:pPr>
        <w:spacing w:after="0"/>
        <w:ind w:left="567" w:hanging="567"/>
        <w:rPr>
          <w:rFonts w:eastAsia="Times New Roman" w:cs="Times New Roman"/>
          <w:szCs w:val="24"/>
          <w:lang w:val="en-US" w:eastAsia="es-MX"/>
        </w:rPr>
      </w:pPr>
      <w:r w:rsidRPr="00357374">
        <w:rPr>
          <w:rFonts w:eastAsia="Times New Roman" w:cs="Times New Roman"/>
          <w:szCs w:val="24"/>
          <w:lang w:val="en-US" w:eastAsia="es-MX"/>
        </w:rPr>
        <w:t xml:space="preserve">Merrill, M. D. (2009). </w:t>
      </w:r>
      <w:r w:rsidRPr="00357374">
        <w:rPr>
          <w:rFonts w:eastAsia="Times New Roman" w:cs="Times New Roman"/>
          <w:i/>
          <w:iCs/>
          <w:szCs w:val="24"/>
          <w:lang w:val="en-US" w:eastAsia="es-MX"/>
        </w:rPr>
        <w:t>First principles of instruction</w:t>
      </w:r>
      <w:r w:rsidRPr="00357374">
        <w:rPr>
          <w:rFonts w:eastAsia="Times New Roman" w:cs="Times New Roman"/>
          <w:szCs w:val="24"/>
          <w:lang w:val="en-US" w:eastAsia="es-MX"/>
        </w:rPr>
        <w:t>. Pfeiffer.</w:t>
      </w:r>
    </w:p>
    <w:p w14:paraId="533387A3" w14:textId="77777777" w:rsidR="00132053" w:rsidRPr="00357374" w:rsidRDefault="00132053" w:rsidP="005D037E">
      <w:pPr>
        <w:spacing w:after="0"/>
        <w:ind w:left="567" w:hanging="567"/>
        <w:rPr>
          <w:rFonts w:eastAsia="Times New Roman" w:cs="Times New Roman"/>
          <w:szCs w:val="24"/>
          <w:lang w:val="en-US" w:eastAsia="es-MX"/>
        </w:rPr>
      </w:pPr>
      <w:r w:rsidRPr="00357374">
        <w:rPr>
          <w:rFonts w:eastAsia="Times New Roman" w:cs="Times New Roman"/>
          <w:szCs w:val="24"/>
          <w:lang w:val="en-US" w:eastAsia="es-MX"/>
        </w:rPr>
        <w:t xml:space="preserve">Nielsen, J. (1994). </w:t>
      </w:r>
      <w:r w:rsidRPr="00357374">
        <w:rPr>
          <w:rFonts w:eastAsia="Times New Roman" w:cs="Times New Roman"/>
          <w:i/>
          <w:iCs/>
          <w:szCs w:val="24"/>
          <w:lang w:val="en-US" w:eastAsia="es-MX"/>
        </w:rPr>
        <w:t>Usability engineering</w:t>
      </w:r>
      <w:r w:rsidRPr="00357374">
        <w:rPr>
          <w:rFonts w:eastAsia="Times New Roman" w:cs="Times New Roman"/>
          <w:szCs w:val="24"/>
          <w:lang w:val="en-US" w:eastAsia="es-MX"/>
        </w:rPr>
        <w:t>. Morgan Kaufmann.</w:t>
      </w:r>
    </w:p>
    <w:p w14:paraId="7AE75FD6" w14:textId="77777777" w:rsidR="00132053" w:rsidRPr="00357374" w:rsidRDefault="00132053" w:rsidP="005D037E">
      <w:pPr>
        <w:spacing w:after="0"/>
        <w:ind w:left="567" w:hanging="567"/>
        <w:rPr>
          <w:rFonts w:eastAsia="Times New Roman" w:cs="Times New Roman"/>
          <w:szCs w:val="24"/>
          <w:lang w:val="en-US" w:eastAsia="es-MX"/>
        </w:rPr>
      </w:pPr>
      <w:r w:rsidRPr="00357374">
        <w:rPr>
          <w:rFonts w:eastAsia="Times New Roman" w:cs="Times New Roman"/>
          <w:szCs w:val="24"/>
          <w:lang w:val="en-US" w:eastAsia="es-MX"/>
        </w:rPr>
        <w:t xml:space="preserve">Noe, R. A., &amp; Clarke, A. D. (2021). </w:t>
      </w:r>
      <w:r w:rsidRPr="00357374">
        <w:rPr>
          <w:rFonts w:eastAsia="Times New Roman" w:cs="Times New Roman"/>
          <w:i/>
          <w:iCs/>
          <w:szCs w:val="24"/>
          <w:lang w:val="en-US" w:eastAsia="es-MX"/>
        </w:rPr>
        <w:t>Employee training and development</w:t>
      </w:r>
      <w:r w:rsidRPr="00357374">
        <w:rPr>
          <w:rFonts w:eastAsia="Times New Roman" w:cs="Times New Roman"/>
          <w:szCs w:val="24"/>
          <w:lang w:val="en-US" w:eastAsia="es-MX"/>
        </w:rPr>
        <w:t xml:space="preserve"> (9th ed.). McGraw-Hill.</w:t>
      </w:r>
    </w:p>
    <w:p w14:paraId="19549CF7" w14:textId="77777777" w:rsidR="00132053" w:rsidRPr="003A6D70" w:rsidRDefault="00132053" w:rsidP="005D037E">
      <w:pPr>
        <w:spacing w:after="0"/>
        <w:ind w:left="567" w:hanging="567"/>
        <w:rPr>
          <w:rFonts w:eastAsia="Times New Roman" w:cs="Times New Roman"/>
          <w:szCs w:val="24"/>
          <w:lang w:eastAsia="es-MX"/>
        </w:rPr>
      </w:pPr>
      <w:proofErr w:type="spellStart"/>
      <w:r w:rsidRPr="00357374">
        <w:rPr>
          <w:rFonts w:eastAsia="Times New Roman" w:cs="Times New Roman"/>
          <w:szCs w:val="24"/>
          <w:lang w:val="en-US" w:eastAsia="es-MX"/>
        </w:rPr>
        <w:t>Orlikowski</w:t>
      </w:r>
      <w:proofErr w:type="spellEnd"/>
      <w:r w:rsidRPr="00357374">
        <w:rPr>
          <w:rFonts w:eastAsia="Times New Roman" w:cs="Times New Roman"/>
          <w:szCs w:val="24"/>
          <w:lang w:val="en-US" w:eastAsia="es-MX"/>
        </w:rPr>
        <w:t xml:space="preserve">, W. J. (2007). </w:t>
      </w:r>
      <w:proofErr w:type="spellStart"/>
      <w:r w:rsidRPr="00357374">
        <w:rPr>
          <w:rFonts w:eastAsia="Times New Roman" w:cs="Times New Roman"/>
          <w:szCs w:val="24"/>
          <w:lang w:val="en-US" w:eastAsia="es-MX"/>
        </w:rPr>
        <w:t>Sociomaterial</w:t>
      </w:r>
      <w:proofErr w:type="spellEnd"/>
      <w:r w:rsidRPr="00357374">
        <w:rPr>
          <w:rFonts w:eastAsia="Times New Roman" w:cs="Times New Roman"/>
          <w:szCs w:val="24"/>
          <w:lang w:val="en-US" w:eastAsia="es-MX"/>
        </w:rPr>
        <w:t xml:space="preserve"> practices: Exploring technology at work. </w:t>
      </w:r>
      <w:proofErr w:type="spellStart"/>
      <w:r w:rsidRPr="003A6D70">
        <w:rPr>
          <w:rFonts w:eastAsia="Times New Roman" w:cs="Times New Roman"/>
          <w:i/>
          <w:iCs/>
          <w:szCs w:val="24"/>
          <w:lang w:eastAsia="es-MX"/>
        </w:rPr>
        <w:t>Organization</w:t>
      </w:r>
      <w:proofErr w:type="spellEnd"/>
      <w:r w:rsidRPr="003A6D70">
        <w:rPr>
          <w:rFonts w:eastAsia="Times New Roman" w:cs="Times New Roman"/>
          <w:i/>
          <w:iCs/>
          <w:szCs w:val="24"/>
          <w:lang w:eastAsia="es-MX"/>
        </w:rPr>
        <w:t xml:space="preserve"> </w:t>
      </w:r>
      <w:proofErr w:type="spellStart"/>
      <w:r w:rsidRPr="003A6D70">
        <w:rPr>
          <w:rFonts w:eastAsia="Times New Roman" w:cs="Times New Roman"/>
          <w:i/>
          <w:iCs/>
          <w:szCs w:val="24"/>
          <w:lang w:eastAsia="es-MX"/>
        </w:rPr>
        <w:t>Studies</w:t>
      </w:r>
      <w:proofErr w:type="spellEnd"/>
      <w:r w:rsidRPr="003A6D70">
        <w:rPr>
          <w:rFonts w:eastAsia="Times New Roman" w:cs="Times New Roman"/>
          <w:i/>
          <w:iCs/>
          <w:szCs w:val="24"/>
          <w:lang w:eastAsia="es-MX"/>
        </w:rPr>
        <w:t>, 28</w:t>
      </w:r>
      <w:r w:rsidRPr="003A6D70">
        <w:rPr>
          <w:rFonts w:eastAsia="Times New Roman" w:cs="Times New Roman"/>
          <w:szCs w:val="24"/>
          <w:lang w:eastAsia="es-MX"/>
        </w:rPr>
        <w:t>(9), 1435–1448. https://doi.org/10.1177/0170840607081138</w:t>
      </w:r>
    </w:p>
    <w:p w14:paraId="1D306B2F" w14:textId="77777777" w:rsidR="00132053" w:rsidRPr="00357374" w:rsidRDefault="00132053" w:rsidP="005D037E">
      <w:pPr>
        <w:spacing w:after="0"/>
        <w:ind w:left="567" w:hanging="567"/>
        <w:rPr>
          <w:rFonts w:eastAsia="Times New Roman" w:cs="Times New Roman"/>
          <w:szCs w:val="24"/>
          <w:lang w:val="en-US" w:eastAsia="es-MX"/>
        </w:rPr>
      </w:pPr>
      <w:r w:rsidRPr="00357374">
        <w:rPr>
          <w:rFonts w:eastAsia="Times New Roman" w:cs="Times New Roman"/>
          <w:szCs w:val="24"/>
          <w:lang w:val="en-US" w:eastAsia="es-MX"/>
        </w:rPr>
        <w:t xml:space="preserve">Saks, A. M. (2002). </w:t>
      </w:r>
      <w:proofErr w:type="gramStart"/>
      <w:r w:rsidRPr="00357374">
        <w:rPr>
          <w:rFonts w:eastAsia="Times New Roman" w:cs="Times New Roman"/>
          <w:szCs w:val="24"/>
          <w:lang w:val="en-US" w:eastAsia="es-MX"/>
        </w:rPr>
        <w:t>So</w:t>
      </w:r>
      <w:proofErr w:type="gramEnd"/>
      <w:r w:rsidRPr="00357374">
        <w:rPr>
          <w:rFonts w:eastAsia="Times New Roman" w:cs="Times New Roman"/>
          <w:szCs w:val="24"/>
          <w:lang w:val="en-US" w:eastAsia="es-MX"/>
        </w:rPr>
        <w:t xml:space="preserve"> what is a good training transfer climate? </w:t>
      </w:r>
      <w:r w:rsidRPr="00357374">
        <w:rPr>
          <w:rFonts w:eastAsia="Times New Roman" w:cs="Times New Roman"/>
          <w:i/>
          <w:iCs/>
          <w:szCs w:val="24"/>
          <w:lang w:val="en-US" w:eastAsia="es-MX"/>
        </w:rPr>
        <w:t>Industrial and Commercial Training, 34</w:t>
      </w:r>
      <w:r w:rsidRPr="00357374">
        <w:rPr>
          <w:rFonts w:eastAsia="Times New Roman" w:cs="Times New Roman"/>
          <w:szCs w:val="24"/>
          <w:lang w:val="en-US" w:eastAsia="es-MX"/>
        </w:rPr>
        <w:t>(2), 62–64. https://doi.org/10.1108/00197850210417511</w:t>
      </w:r>
    </w:p>
    <w:p w14:paraId="658CBA05" w14:textId="77777777" w:rsidR="00132053" w:rsidRPr="00357374" w:rsidRDefault="00132053" w:rsidP="005D037E">
      <w:pPr>
        <w:spacing w:after="0"/>
        <w:ind w:left="567" w:hanging="567"/>
        <w:rPr>
          <w:rFonts w:eastAsia="Times New Roman" w:cs="Times New Roman"/>
          <w:szCs w:val="24"/>
          <w:lang w:val="en-US" w:eastAsia="es-MX"/>
        </w:rPr>
      </w:pPr>
      <w:r w:rsidRPr="00357374">
        <w:rPr>
          <w:rFonts w:eastAsia="Times New Roman" w:cs="Times New Roman"/>
          <w:szCs w:val="24"/>
          <w:lang w:val="en-US" w:eastAsia="es-MX"/>
        </w:rPr>
        <w:t xml:space="preserve">Saks, A. M., &amp; Belcourt, M. (2006). An investigation of training activities and transfer of training in organizations. </w:t>
      </w:r>
      <w:r w:rsidRPr="00357374">
        <w:rPr>
          <w:rFonts w:eastAsia="Times New Roman" w:cs="Times New Roman"/>
          <w:i/>
          <w:iCs/>
          <w:szCs w:val="24"/>
          <w:lang w:val="en-US" w:eastAsia="es-MX"/>
        </w:rPr>
        <w:t>Human Resource Management, 45</w:t>
      </w:r>
      <w:r w:rsidRPr="00357374">
        <w:rPr>
          <w:rFonts w:eastAsia="Times New Roman" w:cs="Times New Roman"/>
          <w:szCs w:val="24"/>
          <w:lang w:val="en-US" w:eastAsia="es-MX"/>
        </w:rPr>
        <w:t>(4), 629–648. https://doi.org/10.1002/hrm.20135</w:t>
      </w:r>
    </w:p>
    <w:p w14:paraId="62C94AC0" w14:textId="77777777" w:rsidR="00132053" w:rsidRPr="00357374" w:rsidRDefault="00132053" w:rsidP="005D037E">
      <w:pPr>
        <w:spacing w:after="0"/>
        <w:ind w:left="567" w:hanging="567"/>
        <w:rPr>
          <w:rFonts w:eastAsia="Times New Roman" w:cs="Times New Roman"/>
          <w:szCs w:val="24"/>
          <w:lang w:val="en-US" w:eastAsia="es-MX"/>
        </w:rPr>
      </w:pPr>
      <w:r w:rsidRPr="00357374">
        <w:rPr>
          <w:rFonts w:eastAsia="Times New Roman" w:cs="Times New Roman"/>
          <w:szCs w:val="24"/>
          <w:lang w:val="en-US" w:eastAsia="es-MX"/>
        </w:rPr>
        <w:lastRenderedPageBreak/>
        <w:t xml:space="preserve">Salas, E., Tannenbaum, S. I., </w:t>
      </w:r>
      <w:proofErr w:type="spellStart"/>
      <w:r w:rsidRPr="00357374">
        <w:rPr>
          <w:rFonts w:eastAsia="Times New Roman" w:cs="Times New Roman"/>
          <w:szCs w:val="24"/>
          <w:lang w:val="en-US" w:eastAsia="es-MX"/>
        </w:rPr>
        <w:t>Kraiger</w:t>
      </w:r>
      <w:proofErr w:type="spellEnd"/>
      <w:r w:rsidRPr="00357374">
        <w:rPr>
          <w:rFonts w:eastAsia="Times New Roman" w:cs="Times New Roman"/>
          <w:szCs w:val="24"/>
          <w:lang w:val="en-US" w:eastAsia="es-MX"/>
        </w:rPr>
        <w:t xml:space="preserve">, K., &amp; Smith-Jentsch, K. A. (2012). The science of training and development in organizations: What matters in practice. </w:t>
      </w:r>
      <w:r w:rsidRPr="00357374">
        <w:rPr>
          <w:rFonts w:eastAsia="Times New Roman" w:cs="Times New Roman"/>
          <w:i/>
          <w:iCs/>
          <w:szCs w:val="24"/>
          <w:lang w:val="en-US" w:eastAsia="es-MX"/>
        </w:rPr>
        <w:t>Psychological Science in the Public Interest, 13</w:t>
      </w:r>
      <w:r w:rsidRPr="00357374">
        <w:rPr>
          <w:rFonts w:eastAsia="Times New Roman" w:cs="Times New Roman"/>
          <w:szCs w:val="24"/>
          <w:lang w:val="en-US" w:eastAsia="es-MX"/>
        </w:rPr>
        <w:t>(2), 74–101. https://doi.org/10.1177/1529100612436661</w:t>
      </w:r>
    </w:p>
    <w:p w14:paraId="5F458808" w14:textId="1FD835DA" w:rsidR="00132053" w:rsidRPr="00357374" w:rsidRDefault="00132053" w:rsidP="005D037E">
      <w:pPr>
        <w:spacing w:after="0"/>
        <w:ind w:left="567" w:hanging="567"/>
        <w:rPr>
          <w:rFonts w:eastAsia="Times New Roman" w:cs="Times New Roman"/>
          <w:szCs w:val="24"/>
          <w:lang w:val="en-US" w:eastAsia="es-MX"/>
        </w:rPr>
      </w:pPr>
      <w:r w:rsidRPr="00357374">
        <w:rPr>
          <w:rFonts w:eastAsia="Times New Roman" w:cs="Times New Roman"/>
          <w:szCs w:val="24"/>
          <w:lang w:val="en-US" w:eastAsia="es-MX"/>
        </w:rPr>
        <w:t xml:space="preserve">Schuler, R. S., &amp; Jackson, S. E. (2014). Human resource management and organizational effectiveness: Yesterday and today. </w:t>
      </w:r>
      <w:r w:rsidRPr="00357374">
        <w:rPr>
          <w:rFonts w:eastAsia="Times New Roman" w:cs="Times New Roman"/>
          <w:i/>
          <w:iCs/>
          <w:szCs w:val="24"/>
          <w:lang w:val="en-US" w:eastAsia="es-MX"/>
        </w:rPr>
        <w:t>Journal of Organizational Effectiveness: People and Performance, 1</w:t>
      </w:r>
      <w:r w:rsidRPr="00357374">
        <w:rPr>
          <w:rFonts w:eastAsia="Times New Roman" w:cs="Times New Roman"/>
          <w:szCs w:val="24"/>
          <w:lang w:val="en-US" w:eastAsia="es-MX"/>
        </w:rPr>
        <w:t xml:space="preserve">(1), 35–55. </w:t>
      </w:r>
      <w:hyperlink r:id="rId21" w:history="1">
        <w:r w:rsidR="003A6D70" w:rsidRPr="00357374">
          <w:rPr>
            <w:rStyle w:val="Hipervnculo"/>
            <w:rFonts w:eastAsia="Times New Roman" w:cs="Times New Roman"/>
            <w:szCs w:val="24"/>
            <w:lang w:val="en-US" w:eastAsia="es-MX"/>
          </w:rPr>
          <w:t>https://doi.org/10.1108/JOEPP-01-2014-0003</w:t>
        </w:r>
      </w:hyperlink>
    </w:p>
    <w:p w14:paraId="23CA11C3" w14:textId="26EA1426" w:rsidR="003A6D70" w:rsidRPr="003A6D70" w:rsidRDefault="003A6D70" w:rsidP="005D037E">
      <w:pPr>
        <w:spacing w:after="0"/>
        <w:ind w:left="567" w:hanging="567"/>
        <w:rPr>
          <w:rFonts w:eastAsia="Times New Roman" w:cs="Times New Roman"/>
          <w:szCs w:val="24"/>
          <w:lang w:eastAsia="es-MX"/>
        </w:rPr>
      </w:pPr>
      <w:proofErr w:type="spellStart"/>
      <w:r w:rsidRPr="003A6D70">
        <w:rPr>
          <w:rFonts w:eastAsia="Times New Roman" w:cs="Times New Roman"/>
          <w:szCs w:val="24"/>
          <w:lang w:eastAsia="es-MX"/>
        </w:rPr>
        <w:t>Simarmata</w:t>
      </w:r>
      <w:proofErr w:type="spellEnd"/>
      <w:r w:rsidRPr="003A6D70">
        <w:rPr>
          <w:rFonts w:eastAsia="Times New Roman" w:cs="Times New Roman"/>
          <w:szCs w:val="24"/>
          <w:lang w:eastAsia="es-MX"/>
        </w:rPr>
        <w:t xml:space="preserve">, A. Y., &amp; </w:t>
      </w:r>
      <w:proofErr w:type="spellStart"/>
      <w:r w:rsidRPr="003A6D70">
        <w:rPr>
          <w:rFonts w:eastAsia="Times New Roman" w:cs="Times New Roman"/>
          <w:szCs w:val="24"/>
          <w:lang w:eastAsia="es-MX"/>
        </w:rPr>
        <w:t>Simarmata</w:t>
      </w:r>
      <w:proofErr w:type="spellEnd"/>
      <w:r w:rsidRPr="003A6D70">
        <w:rPr>
          <w:rFonts w:eastAsia="Times New Roman" w:cs="Times New Roman"/>
          <w:szCs w:val="24"/>
          <w:lang w:eastAsia="es-MX"/>
        </w:rPr>
        <w:t xml:space="preserve">, J. (2025). </w:t>
      </w:r>
      <w:r w:rsidRPr="00357374">
        <w:rPr>
          <w:rFonts w:eastAsia="Times New Roman" w:cs="Times New Roman"/>
          <w:szCs w:val="24"/>
          <w:lang w:val="en-US" w:eastAsia="es-MX"/>
        </w:rPr>
        <w:t xml:space="preserve">Analysis of factors influencing import document delays and their impact on storage and demurrage costs at PT Alstom Grid Indonesia. </w:t>
      </w:r>
      <w:proofErr w:type="spellStart"/>
      <w:r w:rsidRPr="003A6D70">
        <w:rPr>
          <w:rFonts w:eastAsia="Times New Roman" w:cs="Times New Roman"/>
          <w:szCs w:val="24"/>
          <w:lang w:eastAsia="es-MX"/>
        </w:rPr>
        <w:t>Jurnal</w:t>
      </w:r>
      <w:proofErr w:type="spellEnd"/>
      <w:r w:rsidRPr="003A6D70">
        <w:rPr>
          <w:rFonts w:eastAsia="Times New Roman" w:cs="Times New Roman"/>
          <w:szCs w:val="24"/>
          <w:lang w:eastAsia="es-MX"/>
        </w:rPr>
        <w:t xml:space="preserve"> </w:t>
      </w:r>
      <w:proofErr w:type="spellStart"/>
      <w:r w:rsidRPr="003A6D70">
        <w:rPr>
          <w:rFonts w:eastAsia="Times New Roman" w:cs="Times New Roman"/>
          <w:szCs w:val="24"/>
          <w:lang w:eastAsia="es-MX"/>
        </w:rPr>
        <w:t>Manajemen</w:t>
      </w:r>
      <w:proofErr w:type="spellEnd"/>
      <w:r w:rsidRPr="003A6D70">
        <w:rPr>
          <w:rFonts w:eastAsia="Times New Roman" w:cs="Times New Roman"/>
          <w:szCs w:val="24"/>
          <w:lang w:eastAsia="es-MX"/>
        </w:rPr>
        <w:t xml:space="preserve"> </w:t>
      </w:r>
      <w:proofErr w:type="spellStart"/>
      <w:r w:rsidRPr="003A6D70">
        <w:rPr>
          <w:rFonts w:eastAsia="Times New Roman" w:cs="Times New Roman"/>
          <w:szCs w:val="24"/>
          <w:lang w:eastAsia="es-MX"/>
        </w:rPr>
        <w:t>Mandiri</w:t>
      </w:r>
      <w:proofErr w:type="spellEnd"/>
      <w:r w:rsidRPr="003A6D70">
        <w:rPr>
          <w:rFonts w:eastAsia="Times New Roman" w:cs="Times New Roman"/>
          <w:szCs w:val="24"/>
          <w:lang w:eastAsia="es-MX"/>
        </w:rPr>
        <w:t xml:space="preserve"> </w:t>
      </w:r>
      <w:proofErr w:type="spellStart"/>
      <w:r w:rsidRPr="003A6D70">
        <w:rPr>
          <w:rFonts w:eastAsia="Times New Roman" w:cs="Times New Roman"/>
          <w:szCs w:val="24"/>
          <w:lang w:eastAsia="es-MX"/>
        </w:rPr>
        <w:t>Saburai</w:t>
      </w:r>
      <w:proofErr w:type="spellEnd"/>
      <w:r w:rsidRPr="003A6D70">
        <w:rPr>
          <w:rFonts w:eastAsia="Times New Roman" w:cs="Times New Roman"/>
          <w:szCs w:val="24"/>
          <w:lang w:eastAsia="es-MX"/>
        </w:rPr>
        <w:t xml:space="preserve"> (JMMS), 9(2), 103–112. https://doi.org/10.24967/jmms.v9i2.4460</w:t>
      </w:r>
    </w:p>
    <w:p w14:paraId="09808469" w14:textId="77777777" w:rsidR="00132053" w:rsidRPr="00357374" w:rsidRDefault="00132053" w:rsidP="005D037E">
      <w:pPr>
        <w:spacing w:after="0"/>
        <w:ind w:left="567" w:hanging="567"/>
        <w:rPr>
          <w:rFonts w:eastAsia="Times New Roman" w:cs="Times New Roman"/>
          <w:szCs w:val="24"/>
          <w:lang w:val="en-US" w:eastAsia="es-MX"/>
        </w:rPr>
      </w:pPr>
      <w:r w:rsidRPr="00357374">
        <w:rPr>
          <w:rFonts w:eastAsia="Times New Roman" w:cs="Times New Roman"/>
          <w:szCs w:val="24"/>
          <w:lang w:val="en-US" w:eastAsia="es-MX"/>
        </w:rPr>
        <w:t xml:space="preserve">Soto-Acosta, P. (2020). COVID-19 pandemic: Shifting digital transformation to a high-speed gear. </w:t>
      </w:r>
      <w:r w:rsidRPr="00357374">
        <w:rPr>
          <w:rFonts w:eastAsia="Times New Roman" w:cs="Times New Roman"/>
          <w:i/>
          <w:iCs/>
          <w:szCs w:val="24"/>
          <w:lang w:val="en-US" w:eastAsia="es-MX"/>
        </w:rPr>
        <w:t>Information Systems Management, 37</w:t>
      </w:r>
      <w:r w:rsidRPr="00357374">
        <w:rPr>
          <w:rFonts w:eastAsia="Times New Roman" w:cs="Times New Roman"/>
          <w:szCs w:val="24"/>
          <w:lang w:val="en-US" w:eastAsia="es-MX"/>
        </w:rPr>
        <w:t>(4), 260–266. https://doi.org/10.1080/10580530.2020.1821181</w:t>
      </w:r>
    </w:p>
    <w:p w14:paraId="7EDEACFC" w14:textId="77777777" w:rsidR="00132053" w:rsidRPr="00357374" w:rsidRDefault="00132053" w:rsidP="005D037E">
      <w:pPr>
        <w:spacing w:after="0"/>
        <w:ind w:left="567" w:hanging="567"/>
        <w:rPr>
          <w:rFonts w:eastAsia="Times New Roman" w:cs="Times New Roman"/>
          <w:szCs w:val="24"/>
          <w:lang w:val="en-US" w:eastAsia="es-MX"/>
        </w:rPr>
      </w:pPr>
      <w:r w:rsidRPr="00357374">
        <w:rPr>
          <w:rFonts w:eastAsia="Times New Roman" w:cs="Times New Roman"/>
          <w:szCs w:val="24"/>
          <w:lang w:val="en-US" w:eastAsia="es-MX"/>
        </w:rPr>
        <w:t xml:space="preserve">Stake, R. E. (1995). </w:t>
      </w:r>
      <w:r w:rsidRPr="00357374">
        <w:rPr>
          <w:rFonts w:eastAsia="Times New Roman" w:cs="Times New Roman"/>
          <w:i/>
          <w:iCs/>
          <w:szCs w:val="24"/>
          <w:lang w:val="en-US" w:eastAsia="es-MX"/>
        </w:rPr>
        <w:t>The art of case study research</w:t>
      </w:r>
      <w:r w:rsidRPr="00357374">
        <w:rPr>
          <w:rFonts w:eastAsia="Times New Roman" w:cs="Times New Roman"/>
          <w:szCs w:val="24"/>
          <w:lang w:val="en-US" w:eastAsia="es-MX"/>
        </w:rPr>
        <w:t>. SAGE Publications.</w:t>
      </w:r>
    </w:p>
    <w:p w14:paraId="43A8F87C" w14:textId="7AF2D18C" w:rsidR="002A5190" w:rsidRPr="00357374" w:rsidRDefault="002A5190" w:rsidP="005D037E">
      <w:pPr>
        <w:spacing w:after="0"/>
        <w:ind w:left="567" w:hanging="567"/>
        <w:rPr>
          <w:rFonts w:eastAsia="Times New Roman" w:cs="Times New Roman"/>
          <w:szCs w:val="24"/>
          <w:lang w:val="en-US" w:eastAsia="es-MX"/>
        </w:rPr>
      </w:pPr>
      <w:proofErr w:type="spellStart"/>
      <w:r w:rsidRPr="00357374">
        <w:rPr>
          <w:rFonts w:eastAsia="Times New Roman" w:cs="Times New Roman"/>
          <w:szCs w:val="24"/>
          <w:lang w:val="en-US" w:eastAsia="es-MX"/>
        </w:rPr>
        <w:t>Sweller</w:t>
      </w:r>
      <w:proofErr w:type="spellEnd"/>
      <w:r w:rsidRPr="00357374">
        <w:rPr>
          <w:rFonts w:eastAsia="Times New Roman" w:cs="Times New Roman"/>
          <w:szCs w:val="24"/>
          <w:lang w:val="en-US" w:eastAsia="es-MX"/>
        </w:rPr>
        <w:t xml:space="preserve">, J., Van </w:t>
      </w:r>
      <w:proofErr w:type="spellStart"/>
      <w:r w:rsidRPr="00357374">
        <w:rPr>
          <w:rFonts w:eastAsia="Times New Roman" w:cs="Times New Roman"/>
          <w:szCs w:val="24"/>
          <w:lang w:val="en-US" w:eastAsia="es-MX"/>
        </w:rPr>
        <w:t>Merriënboer</w:t>
      </w:r>
      <w:proofErr w:type="spellEnd"/>
      <w:r w:rsidRPr="00357374">
        <w:rPr>
          <w:rFonts w:eastAsia="Times New Roman" w:cs="Times New Roman"/>
          <w:szCs w:val="24"/>
          <w:lang w:val="en-US" w:eastAsia="es-MX"/>
        </w:rPr>
        <w:t xml:space="preserve">, J. J. G., &amp; </w:t>
      </w:r>
      <w:proofErr w:type="spellStart"/>
      <w:r w:rsidRPr="00357374">
        <w:rPr>
          <w:rFonts w:eastAsia="Times New Roman" w:cs="Times New Roman"/>
          <w:szCs w:val="24"/>
          <w:lang w:val="en-US" w:eastAsia="es-MX"/>
        </w:rPr>
        <w:t>Paas</w:t>
      </w:r>
      <w:proofErr w:type="spellEnd"/>
      <w:r w:rsidRPr="00357374">
        <w:rPr>
          <w:rFonts w:eastAsia="Times New Roman" w:cs="Times New Roman"/>
          <w:szCs w:val="24"/>
          <w:lang w:val="en-US" w:eastAsia="es-MX"/>
        </w:rPr>
        <w:t>, F. G. W. C. (1998). Cognitive architecture and instructional design. Educational Psychology Review, 10(3), 251–296. https://doi.org/10.1023/A:1022193728205</w:t>
      </w:r>
    </w:p>
    <w:p w14:paraId="59DC4BD3" w14:textId="176DB5D0" w:rsidR="00132053" w:rsidRPr="00357374" w:rsidRDefault="00132053" w:rsidP="005D037E">
      <w:pPr>
        <w:spacing w:after="0"/>
        <w:ind w:left="567" w:hanging="567"/>
        <w:rPr>
          <w:rFonts w:eastAsia="Times New Roman" w:cs="Times New Roman"/>
          <w:szCs w:val="24"/>
          <w:lang w:val="en-US" w:eastAsia="es-MX"/>
        </w:rPr>
      </w:pPr>
      <w:proofErr w:type="spellStart"/>
      <w:r w:rsidRPr="00357374">
        <w:rPr>
          <w:rFonts w:eastAsia="Times New Roman" w:cs="Times New Roman"/>
          <w:szCs w:val="24"/>
          <w:lang w:val="en-US" w:eastAsia="es-MX"/>
        </w:rPr>
        <w:t>Sweller</w:t>
      </w:r>
      <w:proofErr w:type="spellEnd"/>
      <w:r w:rsidRPr="00357374">
        <w:rPr>
          <w:rFonts w:eastAsia="Times New Roman" w:cs="Times New Roman"/>
          <w:szCs w:val="24"/>
          <w:lang w:val="en-US" w:eastAsia="es-MX"/>
        </w:rPr>
        <w:t xml:space="preserve">, J. (2016). Working memory, long-term memory, and instructional design. </w:t>
      </w:r>
      <w:r w:rsidRPr="00357374">
        <w:rPr>
          <w:rFonts w:eastAsia="Times New Roman" w:cs="Times New Roman"/>
          <w:i/>
          <w:iCs/>
          <w:szCs w:val="24"/>
          <w:lang w:val="en-US" w:eastAsia="es-MX"/>
        </w:rPr>
        <w:t>Journal of Applied Research in Memory and Cognition, 5</w:t>
      </w:r>
      <w:r w:rsidRPr="00357374">
        <w:rPr>
          <w:rFonts w:eastAsia="Times New Roman" w:cs="Times New Roman"/>
          <w:szCs w:val="24"/>
          <w:lang w:val="en-US" w:eastAsia="es-MX"/>
        </w:rPr>
        <w:t xml:space="preserve">(4), 360–367. </w:t>
      </w:r>
      <w:hyperlink r:id="rId22" w:history="1">
        <w:r w:rsidR="002A5190" w:rsidRPr="00357374">
          <w:rPr>
            <w:rStyle w:val="Hipervnculo"/>
            <w:rFonts w:eastAsia="Times New Roman" w:cs="Times New Roman"/>
            <w:szCs w:val="24"/>
            <w:lang w:val="en-US" w:eastAsia="es-MX"/>
          </w:rPr>
          <w:t>https://doi.org/10.1016/j.jarmac.2015.12.002</w:t>
        </w:r>
      </w:hyperlink>
    </w:p>
    <w:p w14:paraId="6246DA0B" w14:textId="3653DF9A" w:rsidR="002A5190" w:rsidRPr="00357374" w:rsidRDefault="002A5190" w:rsidP="005D037E">
      <w:pPr>
        <w:spacing w:after="0"/>
        <w:ind w:left="567" w:hanging="567"/>
        <w:rPr>
          <w:rFonts w:eastAsia="Times New Roman" w:cs="Times New Roman"/>
          <w:szCs w:val="24"/>
          <w:lang w:val="en-US" w:eastAsia="es-MX"/>
        </w:rPr>
      </w:pPr>
      <w:proofErr w:type="spellStart"/>
      <w:r w:rsidRPr="00357374">
        <w:rPr>
          <w:rFonts w:eastAsia="Times New Roman" w:cs="Times New Roman"/>
          <w:szCs w:val="24"/>
          <w:lang w:val="en-US" w:eastAsia="es-MX"/>
        </w:rPr>
        <w:t>Sweller</w:t>
      </w:r>
      <w:proofErr w:type="spellEnd"/>
      <w:r w:rsidRPr="00357374">
        <w:rPr>
          <w:rFonts w:eastAsia="Times New Roman" w:cs="Times New Roman"/>
          <w:szCs w:val="24"/>
          <w:lang w:val="en-US" w:eastAsia="es-MX"/>
        </w:rPr>
        <w:t>, J. (2020). Cognitive load theory and educational technology. Educational Technology Research and Development, 68(1), 1–16. https://doi.org/10.1007/s11423-019-09701-3</w:t>
      </w:r>
    </w:p>
    <w:p w14:paraId="48A32CDA" w14:textId="5327BB93" w:rsidR="002A5190" w:rsidRPr="00357374" w:rsidRDefault="002A5190" w:rsidP="005D037E">
      <w:pPr>
        <w:spacing w:after="0"/>
        <w:ind w:left="567" w:hanging="567"/>
        <w:rPr>
          <w:rFonts w:eastAsia="Times New Roman" w:cs="Times New Roman"/>
          <w:szCs w:val="24"/>
          <w:lang w:val="en-US" w:eastAsia="es-MX"/>
        </w:rPr>
      </w:pPr>
      <w:proofErr w:type="spellStart"/>
      <w:r w:rsidRPr="00357374">
        <w:rPr>
          <w:rFonts w:eastAsia="Times New Roman" w:cs="Times New Roman"/>
          <w:szCs w:val="24"/>
          <w:lang w:val="en-US" w:eastAsia="es-MX"/>
        </w:rPr>
        <w:t>Sweller</w:t>
      </w:r>
      <w:proofErr w:type="spellEnd"/>
      <w:r w:rsidRPr="00357374">
        <w:rPr>
          <w:rFonts w:eastAsia="Times New Roman" w:cs="Times New Roman"/>
          <w:szCs w:val="24"/>
          <w:lang w:val="en-US" w:eastAsia="es-MX"/>
        </w:rPr>
        <w:t>, J. (2023). Cognitive load theory: Revisiting the role of memory in learning. Educational Psychology Review, 35(4), 1–24. https://doi.org/10.1007/s10648-023-09842-8</w:t>
      </w:r>
    </w:p>
    <w:p w14:paraId="7355CD25" w14:textId="77777777" w:rsidR="00132053" w:rsidRPr="00357374" w:rsidRDefault="00132053" w:rsidP="005D037E">
      <w:pPr>
        <w:spacing w:after="0"/>
        <w:ind w:left="567" w:hanging="567"/>
        <w:rPr>
          <w:rFonts w:eastAsia="Times New Roman" w:cs="Times New Roman"/>
          <w:szCs w:val="24"/>
          <w:lang w:val="en-US" w:eastAsia="es-MX"/>
        </w:rPr>
      </w:pPr>
      <w:proofErr w:type="spellStart"/>
      <w:r w:rsidRPr="00357374">
        <w:rPr>
          <w:rFonts w:eastAsia="Times New Roman" w:cs="Times New Roman"/>
          <w:szCs w:val="24"/>
          <w:lang w:val="en-US" w:eastAsia="es-MX"/>
        </w:rPr>
        <w:t>Tharenou</w:t>
      </w:r>
      <w:proofErr w:type="spellEnd"/>
      <w:r w:rsidRPr="00357374">
        <w:rPr>
          <w:rFonts w:eastAsia="Times New Roman" w:cs="Times New Roman"/>
          <w:szCs w:val="24"/>
          <w:lang w:val="en-US" w:eastAsia="es-MX"/>
        </w:rPr>
        <w:t xml:space="preserve">, P. (2001). The relationship of training motivation to participation in training and development. </w:t>
      </w:r>
      <w:r w:rsidRPr="00357374">
        <w:rPr>
          <w:rFonts w:eastAsia="Times New Roman" w:cs="Times New Roman"/>
          <w:i/>
          <w:iCs/>
          <w:szCs w:val="24"/>
          <w:lang w:val="en-US" w:eastAsia="es-MX"/>
        </w:rPr>
        <w:t>Journal of Occupational and Organizational Psychology, 74</w:t>
      </w:r>
      <w:r w:rsidRPr="00357374">
        <w:rPr>
          <w:rFonts w:eastAsia="Times New Roman" w:cs="Times New Roman"/>
          <w:szCs w:val="24"/>
          <w:lang w:val="en-US" w:eastAsia="es-MX"/>
        </w:rPr>
        <w:t>(5), 599–621. https://doi.org/10.1348/096317901167541</w:t>
      </w:r>
    </w:p>
    <w:p w14:paraId="76B894A8" w14:textId="034F7E9A" w:rsidR="008A69FA" w:rsidRPr="00357374" w:rsidRDefault="008A69FA" w:rsidP="005D037E">
      <w:pPr>
        <w:spacing w:after="0"/>
        <w:ind w:left="567" w:hanging="567"/>
        <w:rPr>
          <w:rFonts w:eastAsia="Times New Roman" w:cs="Times New Roman"/>
          <w:szCs w:val="24"/>
          <w:lang w:val="en-US" w:eastAsia="es-MX"/>
        </w:rPr>
      </w:pPr>
      <w:r w:rsidRPr="00357374">
        <w:rPr>
          <w:rFonts w:eastAsia="Times New Roman" w:cs="Times New Roman"/>
          <w:szCs w:val="24"/>
          <w:lang w:val="en-US" w:eastAsia="es-MX"/>
        </w:rPr>
        <w:t>Wood, D., Bruner, J. S., &amp; Ross, G. (1976). The role of tutoring in problem solving. Journal of Child Psychology and Psychiatry, 17(2), 89–100. https://doi.org/10.1111/j.1469-7610.1976.tb00381.x</w:t>
      </w:r>
    </w:p>
    <w:p w14:paraId="07192F49" w14:textId="77777777" w:rsidR="00132053" w:rsidRPr="003A6D70" w:rsidRDefault="00132053" w:rsidP="005D037E">
      <w:pPr>
        <w:spacing w:after="0"/>
        <w:ind w:left="567" w:hanging="567"/>
        <w:rPr>
          <w:rFonts w:eastAsia="Times New Roman" w:cs="Times New Roman"/>
          <w:szCs w:val="24"/>
          <w:lang w:eastAsia="es-MX"/>
        </w:rPr>
      </w:pPr>
      <w:r w:rsidRPr="00357374">
        <w:rPr>
          <w:rFonts w:eastAsia="Times New Roman" w:cs="Times New Roman"/>
          <w:szCs w:val="24"/>
          <w:lang w:val="en-US" w:eastAsia="es-MX"/>
        </w:rPr>
        <w:lastRenderedPageBreak/>
        <w:t xml:space="preserve">Yin, R. K. (2018). </w:t>
      </w:r>
      <w:r w:rsidRPr="00357374">
        <w:rPr>
          <w:rFonts w:eastAsia="Times New Roman" w:cs="Times New Roman"/>
          <w:i/>
          <w:iCs/>
          <w:szCs w:val="24"/>
          <w:lang w:val="en-US" w:eastAsia="es-MX"/>
        </w:rPr>
        <w:t>Case study research and applications: Design and methods</w:t>
      </w:r>
      <w:r w:rsidRPr="00357374">
        <w:rPr>
          <w:rFonts w:eastAsia="Times New Roman" w:cs="Times New Roman"/>
          <w:szCs w:val="24"/>
          <w:lang w:val="en-US" w:eastAsia="es-MX"/>
        </w:rPr>
        <w:t xml:space="preserve"> (6th ed.). </w:t>
      </w:r>
      <w:r w:rsidRPr="003A6D70">
        <w:rPr>
          <w:rFonts w:eastAsia="Times New Roman" w:cs="Times New Roman"/>
          <w:szCs w:val="24"/>
          <w:lang w:eastAsia="es-MX"/>
        </w:rPr>
        <w:t xml:space="preserve">SAGE </w:t>
      </w:r>
      <w:proofErr w:type="spellStart"/>
      <w:r w:rsidRPr="003A6D70">
        <w:rPr>
          <w:rFonts w:eastAsia="Times New Roman" w:cs="Times New Roman"/>
          <w:szCs w:val="24"/>
          <w:lang w:eastAsia="es-MX"/>
        </w:rPr>
        <w:t>Publications</w:t>
      </w:r>
      <w:proofErr w:type="spellEnd"/>
      <w:r w:rsidRPr="003A6D70">
        <w:rPr>
          <w:rFonts w:eastAsia="Times New Roman" w:cs="Times New Roman"/>
          <w:szCs w:val="24"/>
          <w:lang w:eastAsia="es-MX"/>
        </w:rPr>
        <w:t>.</w:t>
      </w:r>
    </w:p>
    <w:p w14:paraId="03A94681" w14:textId="77777777" w:rsidR="0033089A" w:rsidRDefault="0033089A" w:rsidP="005D037E">
      <w:pPr>
        <w:pStyle w:val="NormalWeb"/>
        <w:spacing w:before="0" w:beforeAutospacing="0" w:after="0" w:afterAutospacing="0" w:line="480" w:lineRule="auto"/>
        <w:ind w:left="567" w:hanging="567"/>
      </w:pPr>
    </w:p>
    <w:p w14:paraId="5A2B3B6A" w14:textId="77777777" w:rsidR="00C552E4" w:rsidRDefault="00C552E4" w:rsidP="005D037E">
      <w:pPr>
        <w:pStyle w:val="NormalWeb"/>
        <w:spacing w:before="0" w:beforeAutospacing="0" w:after="0" w:afterAutospacing="0" w:line="480" w:lineRule="auto"/>
        <w:ind w:left="567" w:hanging="567"/>
      </w:pPr>
    </w:p>
    <w:p w14:paraId="14840379" w14:textId="77777777" w:rsidR="00960934" w:rsidRDefault="00960934" w:rsidP="005D037E">
      <w:pPr>
        <w:pStyle w:val="NormalWeb"/>
        <w:spacing w:before="0" w:beforeAutospacing="0" w:after="0" w:afterAutospacing="0" w:line="480" w:lineRule="auto"/>
        <w:ind w:left="567" w:hanging="567"/>
      </w:pPr>
    </w:p>
    <w:p w14:paraId="572E171C" w14:textId="77777777" w:rsidR="00960934" w:rsidRPr="001D317F" w:rsidRDefault="00960934" w:rsidP="005D037E">
      <w:pPr>
        <w:pStyle w:val="NormalWeb"/>
        <w:spacing w:before="0" w:beforeAutospacing="0" w:after="0" w:afterAutospacing="0" w:line="480" w:lineRule="auto"/>
        <w:ind w:left="567" w:hanging="567"/>
      </w:pPr>
    </w:p>
    <w:sectPr w:rsidR="00960934" w:rsidRPr="001D317F" w:rsidSect="00B26958">
      <w:headerReference w:type="default" r:id="rId23"/>
      <w:pgSz w:w="12240" w:h="15840"/>
      <w:pgMar w:top="1418" w:right="1418" w:bottom="1418" w:left="1418" w:header="709" w:footer="709" w:gutter="0"/>
      <w:pgNumType w:start="1"/>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D623940" w14:textId="77777777" w:rsidR="00D704F2" w:rsidRDefault="00D704F2">
      <w:pPr>
        <w:spacing w:after="0" w:line="240" w:lineRule="auto"/>
      </w:pPr>
      <w:r>
        <w:separator/>
      </w:r>
    </w:p>
  </w:endnote>
  <w:endnote w:type="continuationSeparator" w:id="0">
    <w:p w14:paraId="00CFD8F5" w14:textId="77777777" w:rsidR="00D704F2" w:rsidRDefault="00D704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Noto Sans Symbols">
    <w:charset w:val="00"/>
    <w:family w:val="auto"/>
    <w:pitch w:val="default"/>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200247B" w:usb2="00000009" w:usb3="00000000" w:csb0="000001FF" w:csb1="00000000"/>
    <w:embedRegular r:id="rId1" w:fontKey="{BEFB9847-B2AC-4FB3-8F92-B66068A79B9F}"/>
    <w:embedBold r:id="rId2" w:fontKey="{76796A6E-6EE6-4947-86A3-18D917C9B607}"/>
    <w:embedItalic r:id="rId3" w:fontKey="{CBBA7132-BC59-485A-9A2D-60D39F0C27CB}"/>
    <w:embedBoldItalic r:id="rId4" w:fontKey="{3045A362-704D-4EE3-8CDE-DF9FB39CE727}"/>
  </w:font>
  <w:font w:name="Calibri Light">
    <w:panose1 w:val="020F0302020204030204"/>
    <w:charset w:val="00"/>
    <w:family w:val="swiss"/>
    <w:pitch w:val="variable"/>
    <w:sig w:usb0="E4002EFF" w:usb1="C200247B" w:usb2="00000009" w:usb3="00000000" w:csb0="000001FF" w:csb1="00000000"/>
    <w:embedRegular r:id="rId5" w:fontKey="{DD282F9F-2553-4335-A9D4-71D1A8F5A093}"/>
    <w:embedItalic r:id="rId6" w:fontKey="{CF53BFF0-34AF-47C2-B1CF-EAA8CFD21362}"/>
  </w:font>
  <w:font w:name="Arial">
    <w:panose1 w:val="020B0604020202020204"/>
    <w:charset w:val="00"/>
    <w:family w:val="swiss"/>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embedItalic r:id="rId7" w:fontKey="{8A19F33E-91FA-4380-8E76-2C937BD65884}"/>
  </w:font>
  <w:font w:name="Segoe UI">
    <w:panose1 w:val="020B0502040204020203"/>
    <w:charset w:val="00"/>
    <w:family w:val="swiss"/>
    <w:pitch w:val="variable"/>
    <w:sig w:usb0="E4002EFF" w:usb1="C000E47F" w:usb2="00000009" w:usb3="00000000" w:csb0="000001FF" w:csb1="00000000"/>
    <w:embedRegular r:id="rId8" w:fontKey="{7611254E-47BA-4430-95F7-407528EA260C}"/>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622D0A8" w14:textId="77777777" w:rsidR="00D704F2" w:rsidRDefault="00D704F2">
      <w:pPr>
        <w:spacing w:after="0" w:line="240" w:lineRule="auto"/>
      </w:pPr>
      <w:r>
        <w:separator/>
      </w:r>
    </w:p>
  </w:footnote>
  <w:footnote w:type="continuationSeparator" w:id="0">
    <w:p w14:paraId="45D84BF1" w14:textId="77777777" w:rsidR="00D704F2" w:rsidRDefault="00D704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A97FF98" w14:textId="093602E7" w:rsidR="00EC5043" w:rsidRDefault="00EC5043" w:rsidP="005D037E">
    <w:pPr>
      <w:pBdr>
        <w:top w:val="nil"/>
        <w:left w:val="nil"/>
        <w:bottom w:val="nil"/>
        <w:right w:val="nil"/>
        <w:between w:val="nil"/>
      </w:pBdr>
      <w:tabs>
        <w:tab w:val="center" w:pos="4419"/>
        <w:tab w:val="right" w:pos="8838"/>
      </w:tabs>
      <w:spacing w:after="0" w:line="240" w:lineRule="auto"/>
      <w:jc w:val="center"/>
      <w:rPr>
        <w:rFonts w:eastAsia="Times New Roman" w:cs="Times New Roman"/>
        <w:color w:val="000000"/>
        <w:szCs w:val="24"/>
      </w:rPr>
    </w:pPr>
  </w:p>
  <w:p w14:paraId="38EB7A93" w14:textId="6F81E105" w:rsidR="005D037E" w:rsidRDefault="005D037E" w:rsidP="005D037E">
    <w:pPr>
      <w:pStyle w:val="Encabezado"/>
      <w:rPr>
        <w:sz w:val="20"/>
        <w:szCs w:val="20"/>
      </w:rPr>
    </w:pPr>
    <w:bookmarkStart w:id="21" w:name="_Hlk65433650"/>
    <w:r w:rsidRPr="005D037E">
      <w:rPr>
        <w:rFonts w:cs="Times New Roman"/>
        <w:bCs/>
        <w:sz w:val="20"/>
        <w:szCs w:val="20"/>
      </w:rPr>
      <w:t>FORMACIÓN AUTOMATIZADA Y TRANSFERENCIA DEL APRENDIZAJE</w:t>
    </w:r>
    <w:r>
      <w:rPr>
        <w:sz w:val="20"/>
        <w:szCs w:val="20"/>
      </w:rPr>
      <w:t>...</w:t>
    </w:r>
    <w:bookmarkEnd w:id="21"/>
    <w:r>
      <w:tab/>
    </w:r>
    <w:sdt>
      <w:sdtPr>
        <w:rPr>
          <w:sz w:val="20"/>
          <w:szCs w:val="20"/>
        </w:rPr>
        <w:id w:val="-737634807"/>
        <w:docPartObj>
          <w:docPartGallery w:val="Page Numbers (Top of Page)"/>
          <w:docPartUnique/>
        </w:docPartObj>
      </w:sdtPr>
      <w:sdtEndPr>
        <w:rPr>
          <w:sz w:val="24"/>
          <w:szCs w:val="22"/>
        </w:rPr>
      </w:sdtEndPr>
      <w:sdtContent>
        <w:r w:rsidRPr="0008236F">
          <w:rPr>
            <w:sz w:val="20"/>
            <w:szCs w:val="20"/>
          </w:rPr>
          <w:fldChar w:fldCharType="begin"/>
        </w:r>
        <w:r w:rsidRPr="0005625F">
          <w:rPr>
            <w:sz w:val="20"/>
            <w:szCs w:val="20"/>
          </w:rPr>
          <w:instrText>PAGE   \* MERGEFORMAT</w:instrText>
        </w:r>
        <w:r w:rsidRPr="0008236F">
          <w:rPr>
            <w:sz w:val="20"/>
            <w:szCs w:val="20"/>
          </w:rPr>
          <w:fldChar w:fldCharType="separate"/>
        </w:r>
        <w:r>
          <w:rPr>
            <w:sz w:val="20"/>
            <w:szCs w:val="20"/>
          </w:rPr>
          <w:t>3</w:t>
        </w:r>
        <w:r w:rsidRPr="0008236F">
          <w:rPr>
            <w:sz w:val="20"/>
            <w:szCs w:val="20"/>
          </w:rPr>
          <w:fldChar w:fldCharType="end"/>
        </w:r>
      </w:sdtContent>
    </w:sdt>
  </w:p>
  <w:bookmarkStart w:id="22" w:name="_Hlk125105673"/>
  <w:p w14:paraId="3CCA2AB3" w14:textId="77777777" w:rsidR="005D037E" w:rsidRPr="002A5855" w:rsidRDefault="005D037E" w:rsidP="005D037E">
    <w:pPr>
      <w:pStyle w:val="Encabezado"/>
      <w:rPr>
        <w:sz w:val="20"/>
        <w:szCs w:val="20"/>
      </w:rPr>
    </w:pPr>
    <w:r>
      <w:rPr>
        <w:noProof/>
        <w:sz w:val="20"/>
        <w:szCs w:val="20"/>
      </w:rPr>
      <mc:AlternateContent>
        <mc:Choice Requires="wps">
          <w:drawing>
            <wp:inline distT="0" distB="0" distL="0" distR="0" wp14:anchorId="32D4F1F1" wp14:editId="2E526705">
              <wp:extent cx="5612130" cy="635"/>
              <wp:effectExtent l="0" t="31750" r="0" b="36830"/>
              <wp:docPr id="1790805224" name="Horizontal Line 2"/>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Rot="1" noChangeAspect="1" noEditPoints="1" noChangeArrowheads="1" noChangeShapeType="1" noTextEdit="1"/>
                    </wps:cNvSpPr>
                    <wps:spPr bwMode="auto">
                      <a:xfrm>
                        <a:off x="0" y="0"/>
                        <a:ext cx="5612130" cy="635"/>
                      </a:xfrm>
                      <a:prstGeom prst="rect">
                        <a:avLst/>
                      </a:prstGeom>
                      <a:solidFill>
                        <a:schemeClr val="accent6">
                          <a:lumMod val="75000"/>
                          <a:lumOff val="0"/>
                        </a:schemeClr>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4FB1E635" id="Horizontal Line 2" o:spid="_x0000_s1026" style="width:441.9pt;height:.0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" fillcolor="#538135 [2409]" stroked="f">
              <o:lock v:ext="edit" rotation="t" aspectratio="t" verticies="t" text="t" shapetype="t"/>
              <w10:anchorlock/>
            </v:rect>
          </w:pict>
        </mc:Fallback>
      </mc:AlternateContent>
    </w:r>
    <w:bookmarkEnd w:id="22"/>
  </w:p>
  <w:p w14:paraId="643553A4" w14:textId="77777777" w:rsidR="00EC5043" w:rsidRDefault="00EC5043">
    <w:pPr>
      <w:pBdr>
        <w:top w:val="nil"/>
        <w:left w:val="nil"/>
        <w:bottom w:val="nil"/>
        <w:right w:val="nil"/>
        <w:between w:val="nil"/>
      </w:pBdr>
      <w:tabs>
        <w:tab w:val="center" w:pos="4419"/>
        <w:tab w:val="right" w:pos="8838"/>
      </w:tabs>
      <w:spacing w:after="0" w:line="240" w:lineRule="auto"/>
      <w:rPr>
        <w:color w:val="00000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6778F5"/>
    <w:multiLevelType w:val="multilevel"/>
    <w:tmpl w:val="6610132E"/>
    <w:lvl w:ilvl="0">
      <w:start w:val="1"/>
      <w:numFmt w:val="decimal"/>
      <w:lvlText w:val="%1."/>
      <w:lvlJc w:val="left"/>
      <w:pPr>
        <w:ind w:left="3801" w:hanging="540"/>
      </w:pPr>
      <w:rPr>
        <w:rFonts w:hint="default"/>
        <w:b/>
      </w:rPr>
    </w:lvl>
    <w:lvl w:ilvl="1">
      <w:start w:val="3"/>
      <w:numFmt w:val="decimal"/>
      <w:lvlText w:val="%1.%2."/>
      <w:lvlJc w:val="left"/>
      <w:pPr>
        <w:ind w:left="540" w:hanging="54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 w15:restartNumberingAfterBreak="0">
    <w:nsid w:val="044B657E"/>
    <w:multiLevelType w:val="multilevel"/>
    <w:tmpl w:val="6610132E"/>
    <w:lvl w:ilvl="0">
      <w:start w:val="1"/>
      <w:numFmt w:val="decimal"/>
      <w:lvlText w:val="%1."/>
      <w:lvlJc w:val="left"/>
      <w:pPr>
        <w:ind w:left="3801" w:hanging="540"/>
      </w:pPr>
      <w:rPr>
        <w:rFonts w:hint="default"/>
        <w:b/>
      </w:rPr>
    </w:lvl>
    <w:lvl w:ilvl="1">
      <w:start w:val="3"/>
      <w:numFmt w:val="decimal"/>
      <w:lvlText w:val="%1.%2."/>
      <w:lvlJc w:val="left"/>
      <w:pPr>
        <w:ind w:left="540" w:hanging="54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 w15:restartNumberingAfterBreak="0">
    <w:nsid w:val="066908EE"/>
    <w:multiLevelType w:val="multilevel"/>
    <w:tmpl w:val="A6B042B8"/>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3" w15:restartNumberingAfterBreak="0">
    <w:nsid w:val="09997276"/>
    <w:multiLevelType w:val="multilevel"/>
    <w:tmpl w:val="E8FCD34E"/>
    <w:lvl w:ilvl="0">
      <w:start w:val="1"/>
      <w:numFmt w:val="bullet"/>
      <w:lvlText w:val="●"/>
      <w:lvlJc w:val="left"/>
      <w:pPr>
        <w:ind w:left="785" w:hanging="360"/>
      </w:pPr>
      <w:rPr>
        <w:rFonts w:ascii="Noto Sans Symbols" w:eastAsia="Noto Sans Symbols" w:hAnsi="Noto Sans Symbols" w:cs="Noto Sans Symbols"/>
      </w:rPr>
    </w:lvl>
    <w:lvl w:ilvl="1">
      <w:start w:val="1"/>
      <w:numFmt w:val="bullet"/>
      <w:lvlText w:val="o"/>
      <w:lvlJc w:val="left"/>
      <w:pPr>
        <w:ind w:left="1505" w:hanging="360"/>
      </w:pPr>
      <w:rPr>
        <w:rFonts w:ascii="Courier New" w:eastAsia="Courier New" w:hAnsi="Courier New" w:cs="Courier New"/>
      </w:rPr>
    </w:lvl>
    <w:lvl w:ilvl="2">
      <w:start w:val="1"/>
      <w:numFmt w:val="bullet"/>
      <w:lvlText w:val="▪"/>
      <w:lvlJc w:val="left"/>
      <w:pPr>
        <w:ind w:left="2225" w:hanging="360"/>
      </w:pPr>
      <w:rPr>
        <w:rFonts w:ascii="Noto Sans Symbols" w:eastAsia="Noto Sans Symbols" w:hAnsi="Noto Sans Symbols" w:cs="Noto Sans Symbols"/>
      </w:rPr>
    </w:lvl>
    <w:lvl w:ilvl="3">
      <w:start w:val="1"/>
      <w:numFmt w:val="bullet"/>
      <w:lvlText w:val="●"/>
      <w:lvlJc w:val="left"/>
      <w:pPr>
        <w:ind w:left="2945" w:hanging="360"/>
      </w:pPr>
      <w:rPr>
        <w:rFonts w:ascii="Noto Sans Symbols" w:eastAsia="Noto Sans Symbols" w:hAnsi="Noto Sans Symbols" w:cs="Noto Sans Symbols"/>
      </w:rPr>
    </w:lvl>
    <w:lvl w:ilvl="4">
      <w:start w:val="1"/>
      <w:numFmt w:val="bullet"/>
      <w:lvlText w:val="o"/>
      <w:lvlJc w:val="left"/>
      <w:pPr>
        <w:ind w:left="3665" w:hanging="360"/>
      </w:pPr>
      <w:rPr>
        <w:rFonts w:ascii="Courier New" w:eastAsia="Courier New" w:hAnsi="Courier New" w:cs="Courier New"/>
      </w:rPr>
    </w:lvl>
    <w:lvl w:ilvl="5">
      <w:start w:val="1"/>
      <w:numFmt w:val="bullet"/>
      <w:lvlText w:val="▪"/>
      <w:lvlJc w:val="left"/>
      <w:pPr>
        <w:ind w:left="4385" w:hanging="360"/>
      </w:pPr>
      <w:rPr>
        <w:rFonts w:ascii="Noto Sans Symbols" w:eastAsia="Noto Sans Symbols" w:hAnsi="Noto Sans Symbols" w:cs="Noto Sans Symbols"/>
      </w:rPr>
    </w:lvl>
    <w:lvl w:ilvl="6">
      <w:start w:val="1"/>
      <w:numFmt w:val="bullet"/>
      <w:lvlText w:val="●"/>
      <w:lvlJc w:val="left"/>
      <w:pPr>
        <w:ind w:left="5105" w:hanging="360"/>
      </w:pPr>
      <w:rPr>
        <w:rFonts w:ascii="Noto Sans Symbols" w:eastAsia="Noto Sans Symbols" w:hAnsi="Noto Sans Symbols" w:cs="Noto Sans Symbols"/>
      </w:rPr>
    </w:lvl>
    <w:lvl w:ilvl="7">
      <w:start w:val="1"/>
      <w:numFmt w:val="bullet"/>
      <w:lvlText w:val="o"/>
      <w:lvlJc w:val="left"/>
      <w:pPr>
        <w:ind w:left="5825" w:hanging="360"/>
      </w:pPr>
      <w:rPr>
        <w:rFonts w:ascii="Courier New" w:eastAsia="Courier New" w:hAnsi="Courier New" w:cs="Courier New"/>
      </w:rPr>
    </w:lvl>
    <w:lvl w:ilvl="8">
      <w:start w:val="1"/>
      <w:numFmt w:val="bullet"/>
      <w:lvlText w:val="▪"/>
      <w:lvlJc w:val="left"/>
      <w:pPr>
        <w:ind w:left="6545" w:hanging="360"/>
      </w:pPr>
      <w:rPr>
        <w:rFonts w:ascii="Noto Sans Symbols" w:eastAsia="Noto Sans Symbols" w:hAnsi="Noto Sans Symbols" w:cs="Noto Sans Symbols"/>
      </w:rPr>
    </w:lvl>
  </w:abstractNum>
  <w:abstractNum w:abstractNumId="4" w15:restartNumberingAfterBreak="0">
    <w:nsid w:val="09AA78C6"/>
    <w:multiLevelType w:val="hybridMultilevel"/>
    <w:tmpl w:val="324606FC"/>
    <w:lvl w:ilvl="0" w:tplc="A454DB72">
      <w:start w:val="1"/>
      <w:numFmt w:val="lowerLetter"/>
      <w:lvlText w:val="(%1)"/>
      <w:lvlJc w:val="left"/>
      <w:pPr>
        <w:ind w:left="643" w:hanging="360"/>
      </w:pPr>
      <w:rPr>
        <w:rFonts w:hint="default"/>
      </w:rPr>
    </w:lvl>
    <w:lvl w:ilvl="1" w:tplc="080A0019" w:tentative="1">
      <w:start w:val="1"/>
      <w:numFmt w:val="lowerLetter"/>
      <w:lvlText w:val="%2."/>
      <w:lvlJc w:val="left"/>
      <w:pPr>
        <w:ind w:left="1363" w:hanging="360"/>
      </w:pPr>
    </w:lvl>
    <w:lvl w:ilvl="2" w:tplc="080A001B" w:tentative="1">
      <w:start w:val="1"/>
      <w:numFmt w:val="lowerRoman"/>
      <w:lvlText w:val="%3."/>
      <w:lvlJc w:val="right"/>
      <w:pPr>
        <w:ind w:left="2083" w:hanging="180"/>
      </w:pPr>
    </w:lvl>
    <w:lvl w:ilvl="3" w:tplc="080A000F" w:tentative="1">
      <w:start w:val="1"/>
      <w:numFmt w:val="decimal"/>
      <w:lvlText w:val="%4."/>
      <w:lvlJc w:val="left"/>
      <w:pPr>
        <w:ind w:left="2803" w:hanging="360"/>
      </w:pPr>
    </w:lvl>
    <w:lvl w:ilvl="4" w:tplc="080A0019" w:tentative="1">
      <w:start w:val="1"/>
      <w:numFmt w:val="lowerLetter"/>
      <w:lvlText w:val="%5."/>
      <w:lvlJc w:val="left"/>
      <w:pPr>
        <w:ind w:left="3523" w:hanging="360"/>
      </w:pPr>
    </w:lvl>
    <w:lvl w:ilvl="5" w:tplc="080A001B" w:tentative="1">
      <w:start w:val="1"/>
      <w:numFmt w:val="lowerRoman"/>
      <w:lvlText w:val="%6."/>
      <w:lvlJc w:val="right"/>
      <w:pPr>
        <w:ind w:left="4243" w:hanging="180"/>
      </w:pPr>
    </w:lvl>
    <w:lvl w:ilvl="6" w:tplc="080A000F" w:tentative="1">
      <w:start w:val="1"/>
      <w:numFmt w:val="decimal"/>
      <w:lvlText w:val="%7."/>
      <w:lvlJc w:val="left"/>
      <w:pPr>
        <w:ind w:left="4963" w:hanging="360"/>
      </w:pPr>
    </w:lvl>
    <w:lvl w:ilvl="7" w:tplc="080A0019" w:tentative="1">
      <w:start w:val="1"/>
      <w:numFmt w:val="lowerLetter"/>
      <w:lvlText w:val="%8."/>
      <w:lvlJc w:val="left"/>
      <w:pPr>
        <w:ind w:left="5683" w:hanging="360"/>
      </w:pPr>
    </w:lvl>
    <w:lvl w:ilvl="8" w:tplc="080A001B" w:tentative="1">
      <w:start w:val="1"/>
      <w:numFmt w:val="lowerRoman"/>
      <w:lvlText w:val="%9."/>
      <w:lvlJc w:val="right"/>
      <w:pPr>
        <w:ind w:left="6403" w:hanging="180"/>
      </w:pPr>
    </w:lvl>
  </w:abstractNum>
  <w:abstractNum w:abstractNumId="5" w15:restartNumberingAfterBreak="0">
    <w:nsid w:val="1619758F"/>
    <w:multiLevelType w:val="multilevel"/>
    <w:tmpl w:val="8D383084"/>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6" w15:restartNumberingAfterBreak="0">
    <w:nsid w:val="1CD417BB"/>
    <w:multiLevelType w:val="multilevel"/>
    <w:tmpl w:val="50BCB8E4"/>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7" w15:restartNumberingAfterBreak="0">
    <w:nsid w:val="20801523"/>
    <w:multiLevelType w:val="hybridMultilevel"/>
    <w:tmpl w:val="268C4A18"/>
    <w:lvl w:ilvl="0" w:tplc="080A0017">
      <w:start w:val="1"/>
      <w:numFmt w:val="lowerLetter"/>
      <w:lvlText w:val="%1)"/>
      <w:lvlJc w:val="left"/>
      <w:pPr>
        <w:ind w:left="1003" w:hanging="360"/>
      </w:pPr>
    </w:lvl>
    <w:lvl w:ilvl="1" w:tplc="080A0019" w:tentative="1">
      <w:start w:val="1"/>
      <w:numFmt w:val="lowerLetter"/>
      <w:lvlText w:val="%2."/>
      <w:lvlJc w:val="left"/>
      <w:pPr>
        <w:ind w:left="1723" w:hanging="360"/>
      </w:pPr>
    </w:lvl>
    <w:lvl w:ilvl="2" w:tplc="080A001B" w:tentative="1">
      <w:start w:val="1"/>
      <w:numFmt w:val="lowerRoman"/>
      <w:lvlText w:val="%3."/>
      <w:lvlJc w:val="right"/>
      <w:pPr>
        <w:ind w:left="2443" w:hanging="180"/>
      </w:pPr>
    </w:lvl>
    <w:lvl w:ilvl="3" w:tplc="080A000F" w:tentative="1">
      <w:start w:val="1"/>
      <w:numFmt w:val="decimal"/>
      <w:lvlText w:val="%4."/>
      <w:lvlJc w:val="left"/>
      <w:pPr>
        <w:ind w:left="3163" w:hanging="360"/>
      </w:pPr>
    </w:lvl>
    <w:lvl w:ilvl="4" w:tplc="080A0019" w:tentative="1">
      <w:start w:val="1"/>
      <w:numFmt w:val="lowerLetter"/>
      <w:lvlText w:val="%5."/>
      <w:lvlJc w:val="left"/>
      <w:pPr>
        <w:ind w:left="3883" w:hanging="360"/>
      </w:pPr>
    </w:lvl>
    <w:lvl w:ilvl="5" w:tplc="080A001B" w:tentative="1">
      <w:start w:val="1"/>
      <w:numFmt w:val="lowerRoman"/>
      <w:lvlText w:val="%6."/>
      <w:lvlJc w:val="right"/>
      <w:pPr>
        <w:ind w:left="4603" w:hanging="180"/>
      </w:pPr>
    </w:lvl>
    <w:lvl w:ilvl="6" w:tplc="080A000F" w:tentative="1">
      <w:start w:val="1"/>
      <w:numFmt w:val="decimal"/>
      <w:lvlText w:val="%7."/>
      <w:lvlJc w:val="left"/>
      <w:pPr>
        <w:ind w:left="5323" w:hanging="360"/>
      </w:pPr>
    </w:lvl>
    <w:lvl w:ilvl="7" w:tplc="080A0019" w:tentative="1">
      <w:start w:val="1"/>
      <w:numFmt w:val="lowerLetter"/>
      <w:lvlText w:val="%8."/>
      <w:lvlJc w:val="left"/>
      <w:pPr>
        <w:ind w:left="6043" w:hanging="360"/>
      </w:pPr>
    </w:lvl>
    <w:lvl w:ilvl="8" w:tplc="080A001B" w:tentative="1">
      <w:start w:val="1"/>
      <w:numFmt w:val="lowerRoman"/>
      <w:lvlText w:val="%9."/>
      <w:lvlJc w:val="right"/>
      <w:pPr>
        <w:ind w:left="6763" w:hanging="180"/>
      </w:pPr>
    </w:lvl>
  </w:abstractNum>
  <w:abstractNum w:abstractNumId="8" w15:restartNumberingAfterBreak="0">
    <w:nsid w:val="24225586"/>
    <w:multiLevelType w:val="hybridMultilevel"/>
    <w:tmpl w:val="F168BE88"/>
    <w:lvl w:ilvl="0" w:tplc="22AC7116">
      <w:start w:val="1"/>
      <w:numFmt w:val="decimal"/>
      <w:lvlText w:val="%1."/>
      <w:lvlJc w:val="left"/>
      <w:pPr>
        <w:ind w:left="720" w:hanging="360"/>
      </w:pPr>
      <w:rPr>
        <w:rFonts w:hint="default"/>
      </w:rPr>
    </w:lvl>
    <w:lvl w:ilvl="1" w:tplc="240A0019">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9" w15:restartNumberingAfterBreak="0">
    <w:nsid w:val="27D8449C"/>
    <w:multiLevelType w:val="multilevel"/>
    <w:tmpl w:val="C82CC8F6"/>
    <w:lvl w:ilvl="0">
      <w:start w:val="4"/>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0" w15:restartNumberingAfterBreak="0">
    <w:nsid w:val="29A6734E"/>
    <w:multiLevelType w:val="multilevel"/>
    <w:tmpl w:val="7B2A9676"/>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11" w15:restartNumberingAfterBreak="0">
    <w:nsid w:val="2D6C5208"/>
    <w:multiLevelType w:val="multilevel"/>
    <w:tmpl w:val="A3128252"/>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12" w15:restartNumberingAfterBreak="0">
    <w:nsid w:val="36546BC7"/>
    <w:multiLevelType w:val="hybridMultilevel"/>
    <w:tmpl w:val="0122B50C"/>
    <w:lvl w:ilvl="0" w:tplc="080A0017">
      <w:start w:val="1"/>
      <w:numFmt w:val="lowerLetter"/>
      <w:lvlText w:val="%1)"/>
      <w:lvlJc w:val="left"/>
      <w:pPr>
        <w:ind w:left="1003" w:hanging="360"/>
      </w:pPr>
    </w:lvl>
    <w:lvl w:ilvl="1" w:tplc="080A0019" w:tentative="1">
      <w:start w:val="1"/>
      <w:numFmt w:val="lowerLetter"/>
      <w:lvlText w:val="%2."/>
      <w:lvlJc w:val="left"/>
      <w:pPr>
        <w:ind w:left="1723" w:hanging="360"/>
      </w:pPr>
    </w:lvl>
    <w:lvl w:ilvl="2" w:tplc="080A001B" w:tentative="1">
      <w:start w:val="1"/>
      <w:numFmt w:val="lowerRoman"/>
      <w:lvlText w:val="%3."/>
      <w:lvlJc w:val="right"/>
      <w:pPr>
        <w:ind w:left="2443" w:hanging="180"/>
      </w:pPr>
    </w:lvl>
    <w:lvl w:ilvl="3" w:tplc="080A000F" w:tentative="1">
      <w:start w:val="1"/>
      <w:numFmt w:val="decimal"/>
      <w:lvlText w:val="%4."/>
      <w:lvlJc w:val="left"/>
      <w:pPr>
        <w:ind w:left="3163" w:hanging="360"/>
      </w:pPr>
    </w:lvl>
    <w:lvl w:ilvl="4" w:tplc="080A0019" w:tentative="1">
      <w:start w:val="1"/>
      <w:numFmt w:val="lowerLetter"/>
      <w:lvlText w:val="%5."/>
      <w:lvlJc w:val="left"/>
      <w:pPr>
        <w:ind w:left="3883" w:hanging="360"/>
      </w:pPr>
    </w:lvl>
    <w:lvl w:ilvl="5" w:tplc="080A001B" w:tentative="1">
      <w:start w:val="1"/>
      <w:numFmt w:val="lowerRoman"/>
      <w:lvlText w:val="%6."/>
      <w:lvlJc w:val="right"/>
      <w:pPr>
        <w:ind w:left="4603" w:hanging="180"/>
      </w:pPr>
    </w:lvl>
    <w:lvl w:ilvl="6" w:tplc="080A000F" w:tentative="1">
      <w:start w:val="1"/>
      <w:numFmt w:val="decimal"/>
      <w:lvlText w:val="%7."/>
      <w:lvlJc w:val="left"/>
      <w:pPr>
        <w:ind w:left="5323" w:hanging="360"/>
      </w:pPr>
    </w:lvl>
    <w:lvl w:ilvl="7" w:tplc="080A0019" w:tentative="1">
      <w:start w:val="1"/>
      <w:numFmt w:val="lowerLetter"/>
      <w:lvlText w:val="%8."/>
      <w:lvlJc w:val="left"/>
      <w:pPr>
        <w:ind w:left="6043" w:hanging="360"/>
      </w:pPr>
    </w:lvl>
    <w:lvl w:ilvl="8" w:tplc="080A001B" w:tentative="1">
      <w:start w:val="1"/>
      <w:numFmt w:val="lowerRoman"/>
      <w:lvlText w:val="%9."/>
      <w:lvlJc w:val="right"/>
      <w:pPr>
        <w:ind w:left="6763" w:hanging="180"/>
      </w:pPr>
    </w:lvl>
  </w:abstractNum>
  <w:abstractNum w:abstractNumId="13" w15:restartNumberingAfterBreak="0">
    <w:nsid w:val="3B38175A"/>
    <w:multiLevelType w:val="hybridMultilevel"/>
    <w:tmpl w:val="F82A302C"/>
    <w:lvl w:ilvl="0" w:tplc="9B1CFB8E">
      <w:start w:val="1"/>
      <w:numFmt w:val="decimal"/>
      <w:lvlText w:val="%1."/>
      <w:lvlJc w:val="left"/>
      <w:pPr>
        <w:ind w:left="1080" w:hanging="360"/>
      </w:pPr>
      <w:rPr>
        <w:rFonts w:eastAsia="Calibri" w:cs="Calibri" w:hint="default"/>
      </w:rPr>
    </w:lvl>
    <w:lvl w:ilvl="1" w:tplc="240A0019" w:tentative="1">
      <w:start w:val="1"/>
      <w:numFmt w:val="lowerLetter"/>
      <w:lvlText w:val="%2."/>
      <w:lvlJc w:val="left"/>
      <w:pPr>
        <w:ind w:left="1800" w:hanging="360"/>
      </w:pPr>
    </w:lvl>
    <w:lvl w:ilvl="2" w:tplc="240A001B" w:tentative="1">
      <w:start w:val="1"/>
      <w:numFmt w:val="lowerRoman"/>
      <w:lvlText w:val="%3."/>
      <w:lvlJc w:val="right"/>
      <w:pPr>
        <w:ind w:left="2520" w:hanging="180"/>
      </w:pPr>
    </w:lvl>
    <w:lvl w:ilvl="3" w:tplc="240A000F" w:tentative="1">
      <w:start w:val="1"/>
      <w:numFmt w:val="decimal"/>
      <w:lvlText w:val="%4."/>
      <w:lvlJc w:val="left"/>
      <w:pPr>
        <w:ind w:left="3240" w:hanging="360"/>
      </w:pPr>
    </w:lvl>
    <w:lvl w:ilvl="4" w:tplc="240A0019" w:tentative="1">
      <w:start w:val="1"/>
      <w:numFmt w:val="lowerLetter"/>
      <w:lvlText w:val="%5."/>
      <w:lvlJc w:val="left"/>
      <w:pPr>
        <w:ind w:left="3960" w:hanging="360"/>
      </w:pPr>
    </w:lvl>
    <w:lvl w:ilvl="5" w:tplc="240A001B" w:tentative="1">
      <w:start w:val="1"/>
      <w:numFmt w:val="lowerRoman"/>
      <w:lvlText w:val="%6."/>
      <w:lvlJc w:val="right"/>
      <w:pPr>
        <w:ind w:left="4680" w:hanging="180"/>
      </w:pPr>
    </w:lvl>
    <w:lvl w:ilvl="6" w:tplc="240A000F" w:tentative="1">
      <w:start w:val="1"/>
      <w:numFmt w:val="decimal"/>
      <w:lvlText w:val="%7."/>
      <w:lvlJc w:val="left"/>
      <w:pPr>
        <w:ind w:left="5400" w:hanging="360"/>
      </w:pPr>
    </w:lvl>
    <w:lvl w:ilvl="7" w:tplc="240A0019" w:tentative="1">
      <w:start w:val="1"/>
      <w:numFmt w:val="lowerLetter"/>
      <w:lvlText w:val="%8."/>
      <w:lvlJc w:val="left"/>
      <w:pPr>
        <w:ind w:left="6120" w:hanging="360"/>
      </w:pPr>
    </w:lvl>
    <w:lvl w:ilvl="8" w:tplc="240A001B" w:tentative="1">
      <w:start w:val="1"/>
      <w:numFmt w:val="lowerRoman"/>
      <w:lvlText w:val="%9."/>
      <w:lvlJc w:val="right"/>
      <w:pPr>
        <w:ind w:left="6840" w:hanging="180"/>
      </w:pPr>
    </w:lvl>
  </w:abstractNum>
  <w:abstractNum w:abstractNumId="14" w15:restartNumberingAfterBreak="0">
    <w:nsid w:val="3F392CBE"/>
    <w:multiLevelType w:val="hybridMultilevel"/>
    <w:tmpl w:val="F6B2A8F6"/>
    <w:lvl w:ilvl="0" w:tplc="64CC54EA">
      <w:start w:val="1"/>
      <w:numFmt w:val="decimal"/>
      <w:lvlText w:val="(%1)"/>
      <w:lvlJc w:val="left"/>
      <w:pPr>
        <w:ind w:left="643" w:hanging="360"/>
      </w:pPr>
      <w:rPr>
        <w:rFonts w:hint="default"/>
      </w:rPr>
    </w:lvl>
    <w:lvl w:ilvl="1" w:tplc="080A0019" w:tentative="1">
      <w:start w:val="1"/>
      <w:numFmt w:val="lowerLetter"/>
      <w:lvlText w:val="%2."/>
      <w:lvlJc w:val="left"/>
      <w:pPr>
        <w:ind w:left="1363" w:hanging="360"/>
      </w:pPr>
    </w:lvl>
    <w:lvl w:ilvl="2" w:tplc="080A001B" w:tentative="1">
      <w:start w:val="1"/>
      <w:numFmt w:val="lowerRoman"/>
      <w:lvlText w:val="%3."/>
      <w:lvlJc w:val="right"/>
      <w:pPr>
        <w:ind w:left="2083" w:hanging="180"/>
      </w:pPr>
    </w:lvl>
    <w:lvl w:ilvl="3" w:tplc="080A000F" w:tentative="1">
      <w:start w:val="1"/>
      <w:numFmt w:val="decimal"/>
      <w:lvlText w:val="%4."/>
      <w:lvlJc w:val="left"/>
      <w:pPr>
        <w:ind w:left="2803" w:hanging="360"/>
      </w:pPr>
    </w:lvl>
    <w:lvl w:ilvl="4" w:tplc="080A0019" w:tentative="1">
      <w:start w:val="1"/>
      <w:numFmt w:val="lowerLetter"/>
      <w:lvlText w:val="%5."/>
      <w:lvlJc w:val="left"/>
      <w:pPr>
        <w:ind w:left="3523" w:hanging="360"/>
      </w:pPr>
    </w:lvl>
    <w:lvl w:ilvl="5" w:tplc="080A001B" w:tentative="1">
      <w:start w:val="1"/>
      <w:numFmt w:val="lowerRoman"/>
      <w:lvlText w:val="%6."/>
      <w:lvlJc w:val="right"/>
      <w:pPr>
        <w:ind w:left="4243" w:hanging="180"/>
      </w:pPr>
    </w:lvl>
    <w:lvl w:ilvl="6" w:tplc="080A000F" w:tentative="1">
      <w:start w:val="1"/>
      <w:numFmt w:val="decimal"/>
      <w:lvlText w:val="%7."/>
      <w:lvlJc w:val="left"/>
      <w:pPr>
        <w:ind w:left="4963" w:hanging="360"/>
      </w:pPr>
    </w:lvl>
    <w:lvl w:ilvl="7" w:tplc="080A0019" w:tentative="1">
      <w:start w:val="1"/>
      <w:numFmt w:val="lowerLetter"/>
      <w:lvlText w:val="%8."/>
      <w:lvlJc w:val="left"/>
      <w:pPr>
        <w:ind w:left="5683" w:hanging="360"/>
      </w:pPr>
    </w:lvl>
    <w:lvl w:ilvl="8" w:tplc="080A001B" w:tentative="1">
      <w:start w:val="1"/>
      <w:numFmt w:val="lowerRoman"/>
      <w:lvlText w:val="%9."/>
      <w:lvlJc w:val="right"/>
      <w:pPr>
        <w:ind w:left="6403" w:hanging="180"/>
      </w:pPr>
    </w:lvl>
  </w:abstractNum>
  <w:abstractNum w:abstractNumId="15" w15:restartNumberingAfterBreak="0">
    <w:nsid w:val="4D905587"/>
    <w:multiLevelType w:val="hybridMultilevel"/>
    <w:tmpl w:val="E95048F8"/>
    <w:lvl w:ilvl="0" w:tplc="527A6BB8">
      <w:start w:val="1"/>
      <w:numFmt w:val="lowerLetter"/>
      <w:lvlText w:val="(%1)"/>
      <w:lvlJc w:val="left"/>
      <w:pPr>
        <w:ind w:left="643" w:hanging="360"/>
      </w:pPr>
      <w:rPr>
        <w:rFonts w:hint="default"/>
      </w:rPr>
    </w:lvl>
    <w:lvl w:ilvl="1" w:tplc="080A0019" w:tentative="1">
      <w:start w:val="1"/>
      <w:numFmt w:val="lowerLetter"/>
      <w:lvlText w:val="%2."/>
      <w:lvlJc w:val="left"/>
      <w:pPr>
        <w:ind w:left="1363" w:hanging="360"/>
      </w:pPr>
    </w:lvl>
    <w:lvl w:ilvl="2" w:tplc="080A001B" w:tentative="1">
      <w:start w:val="1"/>
      <w:numFmt w:val="lowerRoman"/>
      <w:lvlText w:val="%3."/>
      <w:lvlJc w:val="right"/>
      <w:pPr>
        <w:ind w:left="2083" w:hanging="180"/>
      </w:pPr>
    </w:lvl>
    <w:lvl w:ilvl="3" w:tplc="080A000F" w:tentative="1">
      <w:start w:val="1"/>
      <w:numFmt w:val="decimal"/>
      <w:lvlText w:val="%4."/>
      <w:lvlJc w:val="left"/>
      <w:pPr>
        <w:ind w:left="2803" w:hanging="360"/>
      </w:pPr>
    </w:lvl>
    <w:lvl w:ilvl="4" w:tplc="080A0019" w:tentative="1">
      <w:start w:val="1"/>
      <w:numFmt w:val="lowerLetter"/>
      <w:lvlText w:val="%5."/>
      <w:lvlJc w:val="left"/>
      <w:pPr>
        <w:ind w:left="3523" w:hanging="360"/>
      </w:pPr>
    </w:lvl>
    <w:lvl w:ilvl="5" w:tplc="080A001B" w:tentative="1">
      <w:start w:val="1"/>
      <w:numFmt w:val="lowerRoman"/>
      <w:lvlText w:val="%6."/>
      <w:lvlJc w:val="right"/>
      <w:pPr>
        <w:ind w:left="4243" w:hanging="180"/>
      </w:pPr>
    </w:lvl>
    <w:lvl w:ilvl="6" w:tplc="080A000F" w:tentative="1">
      <w:start w:val="1"/>
      <w:numFmt w:val="decimal"/>
      <w:lvlText w:val="%7."/>
      <w:lvlJc w:val="left"/>
      <w:pPr>
        <w:ind w:left="4963" w:hanging="360"/>
      </w:pPr>
    </w:lvl>
    <w:lvl w:ilvl="7" w:tplc="080A0019" w:tentative="1">
      <w:start w:val="1"/>
      <w:numFmt w:val="lowerLetter"/>
      <w:lvlText w:val="%8."/>
      <w:lvlJc w:val="left"/>
      <w:pPr>
        <w:ind w:left="5683" w:hanging="360"/>
      </w:pPr>
    </w:lvl>
    <w:lvl w:ilvl="8" w:tplc="080A001B" w:tentative="1">
      <w:start w:val="1"/>
      <w:numFmt w:val="lowerRoman"/>
      <w:lvlText w:val="%9."/>
      <w:lvlJc w:val="right"/>
      <w:pPr>
        <w:ind w:left="6403" w:hanging="180"/>
      </w:pPr>
    </w:lvl>
  </w:abstractNum>
  <w:abstractNum w:abstractNumId="16" w15:restartNumberingAfterBreak="0">
    <w:nsid w:val="4DC4301F"/>
    <w:multiLevelType w:val="multilevel"/>
    <w:tmpl w:val="34841BBC"/>
    <w:lvl w:ilvl="0">
      <w:start w:val="1"/>
      <w:numFmt w:val="decimal"/>
      <w:lvlText w:val="%1."/>
      <w:lvlJc w:val="left"/>
      <w:pPr>
        <w:ind w:left="5606" w:hanging="360"/>
      </w:pPr>
      <w:rPr>
        <w:rFonts w:hint="default"/>
        <w:b/>
        <w:sz w:val="24"/>
        <w:szCs w:val="24"/>
      </w:rPr>
    </w:lvl>
    <w:lvl w:ilvl="1">
      <w:start w:val="3"/>
      <w:numFmt w:val="decimal"/>
      <w:isLgl/>
      <w:lvlText w:val="%1.%2."/>
      <w:lvlJc w:val="left"/>
      <w:pPr>
        <w:ind w:left="720" w:hanging="360"/>
      </w:pPr>
      <w:rPr>
        <w:rFonts w:hint="default"/>
        <w:b/>
      </w:rPr>
    </w:lvl>
    <w:lvl w:ilvl="2">
      <w:start w:val="1"/>
      <w:numFmt w:val="decimal"/>
      <w:isLgl/>
      <w:lvlText w:val="%1.%2.%3."/>
      <w:lvlJc w:val="left"/>
      <w:pPr>
        <w:ind w:left="1080" w:hanging="720"/>
      </w:pPr>
      <w:rPr>
        <w:rFonts w:hint="default"/>
        <w:b/>
      </w:rPr>
    </w:lvl>
    <w:lvl w:ilvl="3">
      <w:start w:val="1"/>
      <w:numFmt w:val="decimal"/>
      <w:isLgl/>
      <w:lvlText w:val="%1.%2.%3.%4."/>
      <w:lvlJc w:val="left"/>
      <w:pPr>
        <w:ind w:left="1080" w:hanging="720"/>
      </w:pPr>
      <w:rPr>
        <w:rFonts w:hint="default"/>
        <w:b/>
      </w:rPr>
    </w:lvl>
    <w:lvl w:ilvl="4">
      <w:start w:val="1"/>
      <w:numFmt w:val="decimal"/>
      <w:isLgl/>
      <w:lvlText w:val="%1.%2.%3.%4.%5."/>
      <w:lvlJc w:val="left"/>
      <w:pPr>
        <w:ind w:left="1440" w:hanging="1080"/>
      </w:pPr>
      <w:rPr>
        <w:rFonts w:hint="default"/>
        <w:b/>
      </w:rPr>
    </w:lvl>
    <w:lvl w:ilvl="5">
      <w:start w:val="1"/>
      <w:numFmt w:val="decimal"/>
      <w:isLgl/>
      <w:lvlText w:val="%1.%2.%3.%4.%5.%6."/>
      <w:lvlJc w:val="left"/>
      <w:pPr>
        <w:ind w:left="1440" w:hanging="1080"/>
      </w:pPr>
      <w:rPr>
        <w:rFonts w:hint="default"/>
        <w:b/>
      </w:rPr>
    </w:lvl>
    <w:lvl w:ilvl="6">
      <w:start w:val="1"/>
      <w:numFmt w:val="decimal"/>
      <w:isLgl/>
      <w:lvlText w:val="%1.%2.%3.%4.%5.%6.%7."/>
      <w:lvlJc w:val="left"/>
      <w:pPr>
        <w:ind w:left="1800" w:hanging="1440"/>
      </w:pPr>
      <w:rPr>
        <w:rFonts w:hint="default"/>
        <w:b/>
      </w:rPr>
    </w:lvl>
    <w:lvl w:ilvl="7">
      <w:start w:val="1"/>
      <w:numFmt w:val="decimal"/>
      <w:isLgl/>
      <w:lvlText w:val="%1.%2.%3.%4.%5.%6.%7.%8."/>
      <w:lvlJc w:val="left"/>
      <w:pPr>
        <w:ind w:left="1800" w:hanging="1440"/>
      </w:pPr>
      <w:rPr>
        <w:rFonts w:hint="default"/>
        <w:b/>
      </w:rPr>
    </w:lvl>
    <w:lvl w:ilvl="8">
      <w:start w:val="1"/>
      <w:numFmt w:val="decimal"/>
      <w:isLgl/>
      <w:lvlText w:val="%1.%2.%3.%4.%5.%6.%7.%8.%9."/>
      <w:lvlJc w:val="left"/>
      <w:pPr>
        <w:ind w:left="2160" w:hanging="1800"/>
      </w:pPr>
      <w:rPr>
        <w:rFonts w:hint="default"/>
        <w:b/>
      </w:rPr>
    </w:lvl>
  </w:abstractNum>
  <w:abstractNum w:abstractNumId="17" w15:restartNumberingAfterBreak="0">
    <w:nsid w:val="505817B6"/>
    <w:multiLevelType w:val="multilevel"/>
    <w:tmpl w:val="15C8E2B6"/>
    <w:lvl w:ilvl="0">
      <w:start w:val="1"/>
      <w:numFmt w:val="decimal"/>
      <w:lvlText w:val="1.%1"/>
      <w:lvlJc w:val="left"/>
      <w:pPr>
        <w:ind w:left="644" w:hanging="360"/>
      </w:pPr>
      <w:rPr>
        <w:rFonts w:hint="default"/>
      </w:rPr>
    </w:lvl>
    <w:lvl w:ilvl="1">
      <w:start w:val="4"/>
      <w:numFmt w:val="decimal"/>
      <w:isLgl/>
      <w:lvlText w:val="%1.%2."/>
      <w:lvlJc w:val="left"/>
      <w:pPr>
        <w:ind w:left="824" w:hanging="540"/>
      </w:pPr>
      <w:rPr>
        <w:rFonts w:hint="default"/>
      </w:rPr>
    </w:lvl>
    <w:lvl w:ilvl="2">
      <w:start w:val="2"/>
      <w:numFmt w:val="decimal"/>
      <w:isLgl/>
      <w:lvlText w:val="%1.%2.%3."/>
      <w:lvlJc w:val="left"/>
      <w:pPr>
        <w:ind w:left="1004" w:hanging="720"/>
      </w:pPr>
      <w:rPr>
        <w:rFonts w:hint="default"/>
      </w:rPr>
    </w:lvl>
    <w:lvl w:ilvl="3">
      <w:start w:val="1"/>
      <w:numFmt w:val="decimal"/>
      <w:isLgl/>
      <w:lvlText w:val="%1.%2.%3.%4."/>
      <w:lvlJc w:val="left"/>
      <w:pPr>
        <w:ind w:left="1004" w:hanging="720"/>
      </w:pPr>
      <w:rPr>
        <w:rFonts w:hint="default"/>
      </w:rPr>
    </w:lvl>
    <w:lvl w:ilvl="4">
      <w:start w:val="1"/>
      <w:numFmt w:val="decimal"/>
      <w:isLgl/>
      <w:lvlText w:val="%1.%2.%3.%4.%5."/>
      <w:lvlJc w:val="left"/>
      <w:pPr>
        <w:ind w:left="1364" w:hanging="1080"/>
      </w:pPr>
      <w:rPr>
        <w:rFonts w:hint="default"/>
      </w:rPr>
    </w:lvl>
    <w:lvl w:ilvl="5">
      <w:start w:val="1"/>
      <w:numFmt w:val="decimal"/>
      <w:isLgl/>
      <w:lvlText w:val="%1.%2.%3.%4.%5.%6."/>
      <w:lvlJc w:val="left"/>
      <w:pPr>
        <w:ind w:left="1364" w:hanging="1080"/>
      </w:pPr>
      <w:rPr>
        <w:rFonts w:hint="default"/>
      </w:rPr>
    </w:lvl>
    <w:lvl w:ilvl="6">
      <w:start w:val="1"/>
      <w:numFmt w:val="decimal"/>
      <w:isLgl/>
      <w:lvlText w:val="%1.%2.%3.%4.%5.%6.%7."/>
      <w:lvlJc w:val="left"/>
      <w:pPr>
        <w:ind w:left="1724" w:hanging="1440"/>
      </w:pPr>
      <w:rPr>
        <w:rFonts w:hint="default"/>
      </w:rPr>
    </w:lvl>
    <w:lvl w:ilvl="7">
      <w:start w:val="1"/>
      <w:numFmt w:val="decimal"/>
      <w:isLgl/>
      <w:lvlText w:val="%1.%2.%3.%4.%5.%6.%7.%8."/>
      <w:lvlJc w:val="left"/>
      <w:pPr>
        <w:ind w:left="1724" w:hanging="1440"/>
      </w:pPr>
      <w:rPr>
        <w:rFonts w:hint="default"/>
      </w:rPr>
    </w:lvl>
    <w:lvl w:ilvl="8">
      <w:start w:val="1"/>
      <w:numFmt w:val="decimal"/>
      <w:isLgl/>
      <w:lvlText w:val="%1.%2.%3.%4.%5.%6.%7.%8.%9."/>
      <w:lvlJc w:val="left"/>
      <w:pPr>
        <w:ind w:left="2084" w:hanging="1800"/>
      </w:pPr>
      <w:rPr>
        <w:rFonts w:hint="default"/>
      </w:rPr>
    </w:lvl>
  </w:abstractNum>
  <w:abstractNum w:abstractNumId="18" w15:restartNumberingAfterBreak="0">
    <w:nsid w:val="54446BDF"/>
    <w:multiLevelType w:val="multilevel"/>
    <w:tmpl w:val="AA2A7C26"/>
    <w:lvl w:ilvl="0">
      <w:start w:val="5"/>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9" w15:restartNumberingAfterBreak="0">
    <w:nsid w:val="56B35A91"/>
    <w:multiLevelType w:val="multilevel"/>
    <w:tmpl w:val="798EAE94"/>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20" w15:restartNumberingAfterBreak="0">
    <w:nsid w:val="57A93DB4"/>
    <w:multiLevelType w:val="multilevel"/>
    <w:tmpl w:val="C198863E"/>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21" w15:restartNumberingAfterBreak="0">
    <w:nsid w:val="5B9B116C"/>
    <w:multiLevelType w:val="hybridMultilevel"/>
    <w:tmpl w:val="1E4A57EA"/>
    <w:lvl w:ilvl="0" w:tplc="A6D4AA3A">
      <w:start w:val="1"/>
      <w:numFmt w:val="decimal"/>
      <w:lvlText w:val="%1."/>
      <w:lvlJc w:val="left"/>
      <w:pPr>
        <w:ind w:left="1080" w:hanging="360"/>
      </w:pPr>
      <w:rPr>
        <w:rFonts w:hint="default"/>
      </w:rPr>
    </w:lvl>
    <w:lvl w:ilvl="1" w:tplc="240A0019" w:tentative="1">
      <w:start w:val="1"/>
      <w:numFmt w:val="lowerLetter"/>
      <w:lvlText w:val="%2."/>
      <w:lvlJc w:val="left"/>
      <w:pPr>
        <w:ind w:left="1800" w:hanging="360"/>
      </w:pPr>
    </w:lvl>
    <w:lvl w:ilvl="2" w:tplc="240A001B" w:tentative="1">
      <w:start w:val="1"/>
      <w:numFmt w:val="lowerRoman"/>
      <w:lvlText w:val="%3."/>
      <w:lvlJc w:val="right"/>
      <w:pPr>
        <w:ind w:left="2520" w:hanging="180"/>
      </w:pPr>
    </w:lvl>
    <w:lvl w:ilvl="3" w:tplc="240A000F" w:tentative="1">
      <w:start w:val="1"/>
      <w:numFmt w:val="decimal"/>
      <w:lvlText w:val="%4."/>
      <w:lvlJc w:val="left"/>
      <w:pPr>
        <w:ind w:left="3240" w:hanging="360"/>
      </w:pPr>
    </w:lvl>
    <w:lvl w:ilvl="4" w:tplc="240A0019" w:tentative="1">
      <w:start w:val="1"/>
      <w:numFmt w:val="lowerLetter"/>
      <w:lvlText w:val="%5."/>
      <w:lvlJc w:val="left"/>
      <w:pPr>
        <w:ind w:left="3960" w:hanging="360"/>
      </w:pPr>
    </w:lvl>
    <w:lvl w:ilvl="5" w:tplc="240A001B" w:tentative="1">
      <w:start w:val="1"/>
      <w:numFmt w:val="lowerRoman"/>
      <w:lvlText w:val="%6."/>
      <w:lvlJc w:val="right"/>
      <w:pPr>
        <w:ind w:left="4680" w:hanging="180"/>
      </w:pPr>
    </w:lvl>
    <w:lvl w:ilvl="6" w:tplc="240A000F" w:tentative="1">
      <w:start w:val="1"/>
      <w:numFmt w:val="decimal"/>
      <w:lvlText w:val="%7."/>
      <w:lvlJc w:val="left"/>
      <w:pPr>
        <w:ind w:left="5400" w:hanging="360"/>
      </w:pPr>
    </w:lvl>
    <w:lvl w:ilvl="7" w:tplc="240A0019" w:tentative="1">
      <w:start w:val="1"/>
      <w:numFmt w:val="lowerLetter"/>
      <w:lvlText w:val="%8."/>
      <w:lvlJc w:val="left"/>
      <w:pPr>
        <w:ind w:left="6120" w:hanging="360"/>
      </w:pPr>
    </w:lvl>
    <w:lvl w:ilvl="8" w:tplc="240A001B" w:tentative="1">
      <w:start w:val="1"/>
      <w:numFmt w:val="lowerRoman"/>
      <w:lvlText w:val="%9."/>
      <w:lvlJc w:val="right"/>
      <w:pPr>
        <w:ind w:left="6840" w:hanging="180"/>
      </w:pPr>
    </w:lvl>
  </w:abstractNum>
  <w:abstractNum w:abstractNumId="22" w15:restartNumberingAfterBreak="0">
    <w:nsid w:val="62AA71A2"/>
    <w:multiLevelType w:val="hybridMultilevel"/>
    <w:tmpl w:val="65A250E4"/>
    <w:lvl w:ilvl="0" w:tplc="240A000F">
      <w:start w:val="1"/>
      <w:numFmt w:val="decimal"/>
      <w:lvlText w:val="%1."/>
      <w:lvlJc w:val="left"/>
      <w:pPr>
        <w:ind w:left="1440" w:hanging="360"/>
      </w:pPr>
    </w:lvl>
    <w:lvl w:ilvl="1" w:tplc="240A0019" w:tentative="1">
      <w:start w:val="1"/>
      <w:numFmt w:val="lowerLetter"/>
      <w:lvlText w:val="%2."/>
      <w:lvlJc w:val="left"/>
      <w:pPr>
        <w:ind w:left="2160" w:hanging="360"/>
      </w:pPr>
    </w:lvl>
    <w:lvl w:ilvl="2" w:tplc="240A001B" w:tentative="1">
      <w:start w:val="1"/>
      <w:numFmt w:val="lowerRoman"/>
      <w:lvlText w:val="%3."/>
      <w:lvlJc w:val="right"/>
      <w:pPr>
        <w:ind w:left="2880" w:hanging="180"/>
      </w:pPr>
    </w:lvl>
    <w:lvl w:ilvl="3" w:tplc="240A000F" w:tentative="1">
      <w:start w:val="1"/>
      <w:numFmt w:val="decimal"/>
      <w:lvlText w:val="%4."/>
      <w:lvlJc w:val="left"/>
      <w:pPr>
        <w:ind w:left="3600" w:hanging="360"/>
      </w:pPr>
    </w:lvl>
    <w:lvl w:ilvl="4" w:tplc="240A0019" w:tentative="1">
      <w:start w:val="1"/>
      <w:numFmt w:val="lowerLetter"/>
      <w:lvlText w:val="%5."/>
      <w:lvlJc w:val="left"/>
      <w:pPr>
        <w:ind w:left="4320" w:hanging="360"/>
      </w:pPr>
    </w:lvl>
    <w:lvl w:ilvl="5" w:tplc="240A001B" w:tentative="1">
      <w:start w:val="1"/>
      <w:numFmt w:val="lowerRoman"/>
      <w:lvlText w:val="%6."/>
      <w:lvlJc w:val="right"/>
      <w:pPr>
        <w:ind w:left="5040" w:hanging="180"/>
      </w:pPr>
    </w:lvl>
    <w:lvl w:ilvl="6" w:tplc="240A000F" w:tentative="1">
      <w:start w:val="1"/>
      <w:numFmt w:val="decimal"/>
      <w:lvlText w:val="%7."/>
      <w:lvlJc w:val="left"/>
      <w:pPr>
        <w:ind w:left="5760" w:hanging="360"/>
      </w:pPr>
    </w:lvl>
    <w:lvl w:ilvl="7" w:tplc="240A0019" w:tentative="1">
      <w:start w:val="1"/>
      <w:numFmt w:val="lowerLetter"/>
      <w:lvlText w:val="%8."/>
      <w:lvlJc w:val="left"/>
      <w:pPr>
        <w:ind w:left="6480" w:hanging="360"/>
      </w:pPr>
    </w:lvl>
    <w:lvl w:ilvl="8" w:tplc="240A001B" w:tentative="1">
      <w:start w:val="1"/>
      <w:numFmt w:val="lowerRoman"/>
      <w:lvlText w:val="%9."/>
      <w:lvlJc w:val="right"/>
      <w:pPr>
        <w:ind w:left="7200" w:hanging="180"/>
      </w:pPr>
    </w:lvl>
  </w:abstractNum>
  <w:abstractNum w:abstractNumId="23" w15:restartNumberingAfterBreak="0">
    <w:nsid w:val="63365B25"/>
    <w:multiLevelType w:val="hybridMultilevel"/>
    <w:tmpl w:val="03540C16"/>
    <w:lvl w:ilvl="0" w:tplc="B6CE997E">
      <w:start w:val="5"/>
      <w:numFmt w:val="decimal"/>
      <w:lvlText w:val="%1."/>
      <w:lvlJc w:val="left"/>
      <w:pPr>
        <w:ind w:left="1080" w:hanging="360"/>
      </w:pPr>
      <w:rPr>
        <w:rFonts w:hint="default"/>
      </w:rPr>
    </w:lvl>
    <w:lvl w:ilvl="1" w:tplc="240A0019" w:tentative="1">
      <w:start w:val="1"/>
      <w:numFmt w:val="lowerLetter"/>
      <w:lvlText w:val="%2."/>
      <w:lvlJc w:val="left"/>
      <w:pPr>
        <w:ind w:left="1800" w:hanging="360"/>
      </w:pPr>
    </w:lvl>
    <w:lvl w:ilvl="2" w:tplc="240A001B" w:tentative="1">
      <w:start w:val="1"/>
      <w:numFmt w:val="lowerRoman"/>
      <w:lvlText w:val="%3."/>
      <w:lvlJc w:val="right"/>
      <w:pPr>
        <w:ind w:left="2520" w:hanging="180"/>
      </w:pPr>
    </w:lvl>
    <w:lvl w:ilvl="3" w:tplc="240A000F" w:tentative="1">
      <w:start w:val="1"/>
      <w:numFmt w:val="decimal"/>
      <w:lvlText w:val="%4."/>
      <w:lvlJc w:val="left"/>
      <w:pPr>
        <w:ind w:left="3240" w:hanging="360"/>
      </w:pPr>
    </w:lvl>
    <w:lvl w:ilvl="4" w:tplc="240A0019" w:tentative="1">
      <w:start w:val="1"/>
      <w:numFmt w:val="lowerLetter"/>
      <w:lvlText w:val="%5."/>
      <w:lvlJc w:val="left"/>
      <w:pPr>
        <w:ind w:left="3960" w:hanging="360"/>
      </w:pPr>
    </w:lvl>
    <w:lvl w:ilvl="5" w:tplc="240A001B" w:tentative="1">
      <w:start w:val="1"/>
      <w:numFmt w:val="lowerRoman"/>
      <w:lvlText w:val="%6."/>
      <w:lvlJc w:val="right"/>
      <w:pPr>
        <w:ind w:left="4680" w:hanging="180"/>
      </w:pPr>
    </w:lvl>
    <w:lvl w:ilvl="6" w:tplc="240A000F" w:tentative="1">
      <w:start w:val="1"/>
      <w:numFmt w:val="decimal"/>
      <w:lvlText w:val="%7."/>
      <w:lvlJc w:val="left"/>
      <w:pPr>
        <w:ind w:left="5400" w:hanging="360"/>
      </w:pPr>
    </w:lvl>
    <w:lvl w:ilvl="7" w:tplc="240A0019" w:tentative="1">
      <w:start w:val="1"/>
      <w:numFmt w:val="lowerLetter"/>
      <w:lvlText w:val="%8."/>
      <w:lvlJc w:val="left"/>
      <w:pPr>
        <w:ind w:left="6120" w:hanging="360"/>
      </w:pPr>
    </w:lvl>
    <w:lvl w:ilvl="8" w:tplc="240A001B" w:tentative="1">
      <w:start w:val="1"/>
      <w:numFmt w:val="lowerRoman"/>
      <w:lvlText w:val="%9."/>
      <w:lvlJc w:val="right"/>
      <w:pPr>
        <w:ind w:left="6840" w:hanging="180"/>
      </w:pPr>
    </w:lvl>
  </w:abstractNum>
  <w:abstractNum w:abstractNumId="24" w15:restartNumberingAfterBreak="0">
    <w:nsid w:val="669F2A6F"/>
    <w:multiLevelType w:val="multilevel"/>
    <w:tmpl w:val="22E2A01E"/>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25" w15:restartNumberingAfterBreak="0">
    <w:nsid w:val="698B3E57"/>
    <w:multiLevelType w:val="multilevel"/>
    <w:tmpl w:val="C72C792E"/>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26" w15:restartNumberingAfterBreak="0">
    <w:nsid w:val="6D313AE1"/>
    <w:multiLevelType w:val="hybridMultilevel"/>
    <w:tmpl w:val="18802F74"/>
    <w:lvl w:ilvl="0" w:tplc="C9CE697C">
      <w:start w:val="1"/>
      <w:numFmt w:val="decimal"/>
      <w:lvlText w:val="%1."/>
      <w:lvlJc w:val="left"/>
      <w:pPr>
        <w:ind w:left="1080" w:hanging="360"/>
      </w:pPr>
      <w:rPr>
        <w:rFonts w:hint="default"/>
      </w:rPr>
    </w:lvl>
    <w:lvl w:ilvl="1" w:tplc="240A0019" w:tentative="1">
      <w:start w:val="1"/>
      <w:numFmt w:val="lowerLetter"/>
      <w:lvlText w:val="%2."/>
      <w:lvlJc w:val="left"/>
      <w:pPr>
        <w:ind w:left="1800" w:hanging="360"/>
      </w:pPr>
    </w:lvl>
    <w:lvl w:ilvl="2" w:tplc="240A001B" w:tentative="1">
      <w:start w:val="1"/>
      <w:numFmt w:val="lowerRoman"/>
      <w:lvlText w:val="%3."/>
      <w:lvlJc w:val="right"/>
      <w:pPr>
        <w:ind w:left="2520" w:hanging="180"/>
      </w:pPr>
    </w:lvl>
    <w:lvl w:ilvl="3" w:tplc="240A000F" w:tentative="1">
      <w:start w:val="1"/>
      <w:numFmt w:val="decimal"/>
      <w:lvlText w:val="%4."/>
      <w:lvlJc w:val="left"/>
      <w:pPr>
        <w:ind w:left="3240" w:hanging="360"/>
      </w:pPr>
    </w:lvl>
    <w:lvl w:ilvl="4" w:tplc="240A0019" w:tentative="1">
      <w:start w:val="1"/>
      <w:numFmt w:val="lowerLetter"/>
      <w:lvlText w:val="%5."/>
      <w:lvlJc w:val="left"/>
      <w:pPr>
        <w:ind w:left="3960" w:hanging="360"/>
      </w:pPr>
    </w:lvl>
    <w:lvl w:ilvl="5" w:tplc="240A001B" w:tentative="1">
      <w:start w:val="1"/>
      <w:numFmt w:val="lowerRoman"/>
      <w:lvlText w:val="%6."/>
      <w:lvlJc w:val="right"/>
      <w:pPr>
        <w:ind w:left="4680" w:hanging="180"/>
      </w:pPr>
    </w:lvl>
    <w:lvl w:ilvl="6" w:tplc="240A000F" w:tentative="1">
      <w:start w:val="1"/>
      <w:numFmt w:val="decimal"/>
      <w:lvlText w:val="%7."/>
      <w:lvlJc w:val="left"/>
      <w:pPr>
        <w:ind w:left="5400" w:hanging="360"/>
      </w:pPr>
    </w:lvl>
    <w:lvl w:ilvl="7" w:tplc="240A0019" w:tentative="1">
      <w:start w:val="1"/>
      <w:numFmt w:val="lowerLetter"/>
      <w:lvlText w:val="%8."/>
      <w:lvlJc w:val="left"/>
      <w:pPr>
        <w:ind w:left="6120" w:hanging="360"/>
      </w:pPr>
    </w:lvl>
    <w:lvl w:ilvl="8" w:tplc="240A001B" w:tentative="1">
      <w:start w:val="1"/>
      <w:numFmt w:val="lowerRoman"/>
      <w:lvlText w:val="%9."/>
      <w:lvlJc w:val="right"/>
      <w:pPr>
        <w:ind w:left="6840" w:hanging="180"/>
      </w:pPr>
    </w:lvl>
  </w:abstractNum>
  <w:abstractNum w:abstractNumId="27" w15:restartNumberingAfterBreak="0">
    <w:nsid w:val="6F293BB1"/>
    <w:multiLevelType w:val="hybridMultilevel"/>
    <w:tmpl w:val="68062D6C"/>
    <w:lvl w:ilvl="0" w:tplc="37B6AB9E">
      <w:start w:val="1"/>
      <w:numFmt w:val="decimal"/>
      <w:lvlText w:val="%1."/>
      <w:lvlJc w:val="left"/>
      <w:pPr>
        <w:ind w:left="1080" w:hanging="360"/>
      </w:pPr>
      <w:rPr>
        <w:rFonts w:hint="default"/>
      </w:rPr>
    </w:lvl>
    <w:lvl w:ilvl="1" w:tplc="240A0019" w:tentative="1">
      <w:start w:val="1"/>
      <w:numFmt w:val="lowerLetter"/>
      <w:lvlText w:val="%2."/>
      <w:lvlJc w:val="left"/>
      <w:pPr>
        <w:ind w:left="1800" w:hanging="360"/>
      </w:pPr>
    </w:lvl>
    <w:lvl w:ilvl="2" w:tplc="240A001B" w:tentative="1">
      <w:start w:val="1"/>
      <w:numFmt w:val="lowerRoman"/>
      <w:lvlText w:val="%3."/>
      <w:lvlJc w:val="right"/>
      <w:pPr>
        <w:ind w:left="2520" w:hanging="180"/>
      </w:pPr>
    </w:lvl>
    <w:lvl w:ilvl="3" w:tplc="240A000F" w:tentative="1">
      <w:start w:val="1"/>
      <w:numFmt w:val="decimal"/>
      <w:lvlText w:val="%4."/>
      <w:lvlJc w:val="left"/>
      <w:pPr>
        <w:ind w:left="3240" w:hanging="360"/>
      </w:pPr>
    </w:lvl>
    <w:lvl w:ilvl="4" w:tplc="240A0019" w:tentative="1">
      <w:start w:val="1"/>
      <w:numFmt w:val="lowerLetter"/>
      <w:lvlText w:val="%5."/>
      <w:lvlJc w:val="left"/>
      <w:pPr>
        <w:ind w:left="3960" w:hanging="360"/>
      </w:pPr>
    </w:lvl>
    <w:lvl w:ilvl="5" w:tplc="240A001B" w:tentative="1">
      <w:start w:val="1"/>
      <w:numFmt w:val="lowerRoman"/>
      <w:lvlText w:val="%6."/>
      <w:lvlJc w:val="right"/>
      <w:pPr>
        <w:ind w:left="4680" w:hanging="180"/>
      </w:pPr>
    </w:lvl>
    <w:lvl w:ilvl="6" w:tplc="240A000F" w:tentative="1">
      <w:start w:val="1"/>
      <w:numFmt w:val="decimal"/>
      <w:lvlText w:val="%7."/>
      <w:lvlJc w:val="left"/>
      <w:pPr>
        <w:ind w:left="5400" w:hanging="360"/>
      </w:pPr>
    </w:lvl>
    <w:lvl w:ilvl="7" w:tplc="240A0019" w:tentative="1">
      <w:start w:val="1"/>
      <w:numFmt w:val="lowerLetter"/>
      <w:lvlText w:val="%8."/>
      <w:lvlJc w:val="left"/>
      <w:pPr>
        <w:ind w:left="6120" w:hanging="360"/>
      </w:pPr>
    </w:lvl>
    <w:lvl w:ilvl="8" w:tplc="240A001B" w:tentative="1">
      <w:start w:val="1"/>
      <w:numFmt w:val="lowerRoman"/>
      <w:lvlText w:val="%9."/>
      <w:lvlJc w:val="right"/>
      <w:pPr>
        <w:ind w:left="6840" w:hanging="180"/>
      </w:pPr>
    </w:lvl>
  </w:abstractNum>
  <w:abstractNum w:abstractNumId="28" w15:restartNumberingAfterBreak="0">
    <w:nsid w:val="798F290C"/>
    <w:multiLevelType w:val="hybridMultilevel"/>
    <w:tmpl w:val="8DDA885E"/>
    <w:lvl w:ilvl="0" w:tplc="A07AE1CA">
      <w:start w:val="44"/>
      <w:numFmt w:val="decimal"/>
      <w:lvlText w:val="%1."/>
      <w:lvlJc w:val="left"/>
      <w:pPr>
        <w:ind w:left="1080" w:hanging="360"/>
      </w:pPr>
      <w:rPr>
        <w:rFonts w:hint="default"/>
        <w:b/>
      </w:rPr>
    </w:lvl>
    <w:lvl w:ilvl="1" w:tplc="240A0019" w:tentative="1">
      <w:start w:val="1"/>
      <w:numFmt w:val="lowerLetter"/>
      <w:lvlText w:val="%2."/>
      <w:lvlJc w:val="left"/>
      <w:pPr>
        <w:ind w:left="1800" w:hanging="360"/>
      </w:pPr>
    </w:lvl>
    <w:lvl w:ilvl="2" w:tplc="240A001B" w:tentative="1">
      <w:start w:val="1"/>
      <w:numFmt w:val="lowerRoman"/>
      <w:lvlText w:val="%3."/>
      <w:lvlJc w:val="right"/>
      <w:pPr>
        <w:ind w:left="2520" w:hanging="180"/>
      </w:pPr>
    </w:lvl>
    <w:lvl w:ilvl="3" w:tplc="240A000F" w:tentative="1">
      <w:start w:val="1"/>
      <w:numFmt w:val="decimal"/>
      <w:lvlText w:val="%4."/>
      <w:lvlJc w:val="left"/>
      <w:pPr>
        <w:ind w:left="3240" w:hanging="360"/>
      </w:pPr>
    </w:lvl>
    <w:lvl w:ilvl="4" w:tplc="240A0019" w:tentative="1">
      <w:start w:val="1"/>
      <w:numFmt w:val="lowerLetter"/>
      <w:lvlText w:val="%5."/>
      <w:lvlJc w:val="left"/>
      <w:pPr>
        <w:ind w:left="3960" w:hanging="360"/>
      </w:pPr>
    </w:lvl>
    <w:lvl w:ilvl="5" w:tplc="240A001B" w:tentative="1">
      <w:start w:val="1"/>
      <w:numFmt w:val="lowerRoman"/>
      <w:lvlText w:val="%6."/>
      <w:lvlJc w:val="right"/>
      <w:pPr>
        <w:ind w:left="4680" w:hanging="180"/>
      </w:pPr>
    </w:lvl>
    <w:lvl w:ilvl="6" w:tplc="240A000F" w:tentative="1">
      <w:start w:val="1"/>
      <w:numFmt w:val="decimal"/>
      <w:lvlText w:val="%7."/>
      <w:lvlJc w:val="left"/>
      <w:pPr>
        <w:ind w:left="5400" w:hanging="360"/>
      </w:pPr>
    </w:lvl>
    <w:lvl w:ilvl="7" w:tplc="240A0019" w:tentative="1">
      <w:start w:val="1"/>
      <w:numFmt w:val="lowerLetter"/>
      <w:lvlText w:val="%8."/>
      <w:lvlJc w:val="left"/>
      <w:pPr>
        <w:ind w:left="6120" w:hanging="360"/>
      </w:pPr>
    </w:lvl>
    <w:lvl w:ilvl="8" w:tplc="240A001B" w:tentative="1">
      <w:start w:val="1"/>
      <w:numFmt w:val="lowerRoman"/>
      <w:lvlText w:val="%9."/>
      <w:lvlJc w:val="right"/>
      <w:pPr>
        <w:ind w:left="6840" w:hanging="180"/>
      </w:pPr>
    </w:lvl>
  </w:abstractNum>
  <w:abstractNum w:abstractNumId="29" w15:restartNumberingAfterBreak="0">
    <w:nsid w:val="7B1347DC"/>
    <w:multiLevelType w:val="hybridMultilevel"/>
    <w:tmpl w:val="0C14D316"/>
    <w:lvl w:ilvl="0" w:tplc="080A0011">
      <w:start w:val="1"/>
      <w:numFmt w:val="decimal"/>
      <w:lvlText w:val="%1)"/>
      <w:lvlJc w:val="left"/>
      <w:pPr>
        <w:ind w:left="1003" w:hanging="360"/>
      </w:pPr>
    </w:lvl>
    <w:lvl w:ilvl="1" w:tplc="080A0019" w:tentative="1">
      <w:start w:val="1"/>
      <w:numFmt w:val="lowerLetter"/>
      <w:lvlText w:val="%2."/>
      <w:lvlJc w:val="left"/>
      <w:pPr>
        <w:ind w:left="1723" w:hanging="360"/>
      </w:pPr>
    </w:lvl>
    <w:lvl w:ilvl="2" w:tplc="080A001B" w:tentative="1">
      <w:start w:val="1"/>
      <w:numFmt w:val="lowerRoman"/>
      <w:lvlText w:val="%3."/>
      <w:lvlJc w:val="right"/>
      <w:pPr>
        <w:ind w:left="2443" w:hanging="180"/>
      </w:pPr>
    </w:lvl>
    <w:lvl w:ilvl="3" w:tplc="080A000F" w:tentative="1">
      <w:start w:val="1"/>
      <w:numFmt w:val="decimal"/>
      <w:lvlText w:val="%4."/>
      <w:lvlJc w:val="left"/>
      <w:pPr>
        <w:ind w:left="3163" w:hanging="360"/>
      </w:pPr>
    </w:lvl>
    <w:lvl w:ilvl="4" w:tplc="080A0019" w:tentative="1">
      <w:start w:val="1"/>
      <w:numFmt w:val="lowerLetter"/>
      <w:lvlText w:val="%5."/>
      <w:lvlJc w:val="left"/>
      <w:pPr>
        <w:ind w:left="3883" w:hanging="360"/>
      </w:pPr>
    </w:lvl>
    <w:lvl w:ilvl="5" w:tplc="080A001B" w:tentative="1">
      <w:start w:val="1"/>
      <w:numFmt w:val="lowerRoman"/>
      <w:lvlText w:val="%6."/>
      <w:lvlJc w:val="right"/>
      <w:pPr>
        <w:ind w:left="4603" w:hanging="180"/>
      </w:pPr>
    </w:lvl>
    <w:lvl w:ilvl="6" w:tplc="080A000F" w:tentative="1">
      <w:start w:val="1"/>
      <w:numFmt w:val="decimal"/>
      <w:lvlText w:val="%7."/>
      <w:lvlJc w:val="left"/>
      <w:pPr>
        <w:ind w:left="5323" w:hanging="360"/>
      </w:pPr>
    </w:lvl>
    <w:lvl w:ilvl="7" w:tplc="080A0019" w:tentative="1">
      <w:start w:val="1"/>
      <w:numFmt w:val="lowerLetter"/>
      <w:lvlText w:val="%8."/>
      <w:lvlJc w:val="left"/>
      <w:pPr>
        <w:ind w:left="6043" w:hanging="360"/>
      </w:pPr>
    </w:lvl>
    <w:lvl w:ilvl="8" w:tplc="080A001B" w:tentative="1">
      <w:start w:val="1"/>
      <w:numFmt w:val="lowerRoman"/>
      <w:lvlText w:val="%9."/>
      <w:lvlJc w:val="right"/>
      <w:pPr>
        <w:ind w:left="6763" w:hanging="180"/>
      </w:pPr>
    </w:lvl>
  </w:abstractNum>
  <w:abstractNum w:abstractNumId="30" w15:restartNumberingAfterBreak="0">
    <w:nsid w:val="7D0616C4"/>
    <w:multiLevelType w:val="multilevel"/>
    <w:tmpl w:val="104805FE"/>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31" w15:restartNumberingAfterBreak="0">
    <w:nsid w:val="7DC41588"/>
    <w:multiLevelType w:val="multilevel"/>
    <w:tmpl w:val="48FA2C18"/>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32" w15:restartNumberingAfterBreak="0">
    <w:nsid w:val="7E76598B"/>
    <w:multiLevelType w:val="hybridMultilevel"/>
    <w:tmpl w:val="B2FA90AC"/>
    <w:lvl w:ilvl="0" w:tplc="240A000F">
      <w:start w:val="5"/>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num w:numId="1" w16cid:durableId="600259067">
    <w:abstractNumId w:val="3"/>
  </w:num>
  <w:num w:numId="2" w16cid:durableId="1809785445">
    <w:abstractNumId w:val="25"/>
  </w:num>
  <w:num w:numId="3" w16cid:durableId="701248359">
    <w:abstractNumId w:val="6"/>
  </w:num>
  <w:num w:numId="4" w16cid:durableId="1013142940">
    <w:abstractNumId w:val="19"/>
  </w:num>
  <w:num w:numId="5" w16cid:durableId="1503668761">
    <w:abstractNumId w:val="31"/>
  </w:num>
  <w:num w:numId="6" w16cid:durableId="210505687">
    <w:abstractNumId w:val="2"/>
  </w:num>
  <w:num w:numId="7" w16cid:durableId="1048607618">
    <w:abstractNumId w:val="30"/>
  </w:num>
  <w:num w:numId="8" w16cid:durableId="214510280">
    <w:abstractNumId w:val="10"/>
  </w:num>
  <w:num w:numId="9" w16cid:durableId="1468352560">
    <w:abstractNumId w:val="24"/>
  </w:num>
  <w:num w:numId="10" w16cid:durableId="1920401944">
    <w:abstractNumId w:val="5"/>
  </w:num>
  <w:num w:numId="11" w16cid:durableId="333457601">
    <w:abstractNumId w:val="20"/>
  </w:num>
  <w:num w:numId="12" w16cid:durableId="919100682">
    <w:abstractNumId w:val="11"/>
  </w:num>
  <w:num w:numId="13" w16cid:durableId="1230921575">
    <w:abstractNumId w:val="16"/>
  </w:num>
  <w:num w:numId="14" w16cid:durableId="232084429">
    <w:abstractNumId w:val="28"/>
  </w:num>
  <w:num w:numId="15" w16cid:durableId="2093119761">
    <w:abstractNumId w:val="9"/>
  </w:num>
  <w:num w:numId="16" w16cid:durableId="1713726363">
    <w:abstractNumId w:val="22"/>
  </w:num>
  <w:num w:numId="17" w16cid:durableId="1592006796">
    <w:abstractNumId w:val="17"/>
  </w:num>
  <w:num w:numId="18" w16cid:durableId="1987272060">
    <w:abstractNumId w:val="8"/>
  </w:num>
  <w:num w:numId="19" w16cid:durableId="363098441">
    <w:abstractNumId w:val="1"/>
  </w:num>
  <w:num w:numId="20" w16cid:durableId="695734029">
    <w:abstractNumId w:val="0"/>
  </w:num>
  <w:num w:numId="21" w16cid:durableId="1479809020">
    <w:abstractNumId w:val="7"/>
  </w:num>
  <w:num w:numId="22" w16cid:durableId="1519276858">
    <w:abstractNumId w:val="4"/>
  </w:num>
  <w:num w:numId="23" w16cid:durableId="1617172290">
    <w:abstractNumId w:val="29"/>
  </w:num>
  <w:num w:numId="24" w16cid:durableId="221673098">
    <w:abstractNumId w:val="14"/>
  </w:num>
  <w:num w:numId="25" w16cid:durableId="445776451">
    <w:abstractNumId w:val="12"/>
  </w:num>
  <w:num w:numId="26" w16cid:durableId="199587063">
    <w:abstractNumId w:val="15"/>
  </w:num>
  <w:num w:numId="27" w16cid:durableId="1651211461">
    <w:abstractNumId w:val="21"/>
  </w:num>
  <w:num w:numId="28" w16cid:durableId="1265263976">
    <w:abstractNumId w:val="26"/>
  </w:num>
  <w:num w:numId="29" w16cid:durableId="117265941">
    <w:abstractNumId w:val="32"/>
  </w:num>
  <w:num w:numId="30" w16cid:durableId="922027559">
    <w:abstractNumId w:val="23"/>
  </w:num>
  <w:num w:numId="31" w16cid:durableId="1761833922">
    <w:abstractNumId w:val="18"/>
  </w:num>
  <w:num w:numId="32" w16cid:durableId="2029939680">
    <w:abstractNumId w:val="27"/>
  </w:num>
  <w:num w:numId="33" w16cid:durableId="1467089416">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TrueTypeFonts/>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6260A"/>
    <w:rsid w:val="00007304"/>
    <w:rsid w:val="0001325A"/>
    <w:rsid w:val="00013A66"/>
    <w:rsid w:val="00022DCC"/>
    <w:rsid w:val="000325F7"/>
    <w:rsid w:val="0006260A"/>
    <w:rsid w:val="0009060A"/>
    <w:rsid w:val="00092017"/>
    <w:rsid w:val="000C7E64"/>
    <w:rsid w:val="000D4937"/>
    <w:rsid w:val="000D5D3C"/>
    <w:rsid w:val="000E3538"/>
    <w:rsid w:val="000E6C58"/>
    <w:rsid w:val="000F6C02"/>
    <w:rsid w:val="00102983"/>
    <w:rsid w:val="00115668"/>
    <w:rsid w:val="00125110"/>
    <w:rsid w:val="00132053"/>
    <w:rsid w:val="00142B52"/>
    <w:rsid w:val="001506DD"/>
    <w:rsid w:val="00150819"/>
    <w:rsid w:val="001561BE"/>
    <w:rsid w:val="00157176"/>
    <w:rsid w:val="00171310"/>
    <w:rsid w:val="00172E6E"/>
    <w:rsid w:val="001B12A2"/>
    <w:rsid w:val="001C38E8"/>
    <w:rsid w:val="001C41AD"/>
    <w:rsid w:val="001C7CA9"/>
    <w:rsid w:val="001D317F"/>
    <w:rsid w:val="001D4B8A"/>
    <w:rsid w:val="00202F95"/>
    <w:rsid w:val="002221D9"/>
    <w:rsid w:val="00233668"/>
    <w:rsid w:val="00237105"/>
    <w:rsid w:val="00243175"/>
    <w:rsid w:val="00246B84"/>
    <w:rsid w:val="00252FC6"/>
    <w:rsid w:val="00270D25"/>
    <w:rsid w:val="00277AB0"/>
    <w:rsid w:val="002A08EC"/>
    <w:rsid w:val="002A0CD2"/>
    <w:rsid w:val="002A279D"/>
    <w:rsid w:val="002A3C4A"/>
    <w:rsid w:val="002A5190"/>
    <w:rsid w:val="002A6721"/>
    <w:rsid w:val="002A761F"/>
    <w:rsid w:val="002B6D9F"/>
    <w:rsid w:val="002C4193"/>
    <w:rsid w:val="002D26F1"/>
    <w:rsid w:val="003038A4"/>
    <w:rsid w:val="00307D79"/>
    <w:rsid w:val="00311B33"/>
    <w:rsid w:val="00312ED3"/>
    <w:rsid w:val="00323EB6"/>
    <w:rsid w:val="0033089A"/>
    <w:rsid w:val="00334C9B"/>
    <w:rsid w:val="00336C6F"/>
    <w:rsid w:val="00341957"/>
    <w:rsid w:val="00343EA1"/>
    <w:rsid w:val="003503E5"/>
    <w:rsid w:val="00353841"/>
    <w:rsid w:val="00357374"/>
    <w:rsid w:val="00357760"/>
    <w:rsid w:val="00370192"/>
    <w:rsid w:val="00371DD4"/>
    <w:rsid w:val="003930E4"/>
    <w:rsid w:val="00396709"/>
    <w:rsid w:val="003A1D40"/>
    <w:rsid w:val="003A2A6F"/>
    <w:rsid w:val="003A6D70"/>
    <w:rsid w:val="003B2F6F"/>
    <w:rsid w:val="003B776D"/>
    <w:rsid w:val="003C69E0"/>
    <w:rsid w:val="003D115A"/>
    <w:rsid w:val="003D620D"/>
    <w:rsid w:val="003D79BD"/>
    <w:rsid w:val="003E1CFB"/>
    <w:rsid w:val="003F2099"/>
    <w:rsid w:val="004315C5"/>
    <w:rsid w:val="00432479"/>
    <w:rsid w:val="00457D30"/>
    <w:rsid w:val="00474A94"/>
    <w:rsid w:val="00483DCE"/>
    <w:rsid w:val="00491A9A"/>
    <w:rsid w:val="0049447E"/>
    <w:rsid w:val="004B29F5"/>
    <w:rsid w:val="004B49F7"/>
    <w:rsid w:val="004C1448"/>
    <w:rsid w:val="004D18E7"/>
    <w:rsid w:val="004E152F"/>
    <w:rsid w:val="004E32B1"/>
    <w:rsid w:val="004E4E54"/>
    <w:rsid w:val="00500FA1"/>
    <w:rsid w:val="0050325D"/>
    <w:rsid w:val="005135E3"/>
    <w:rsid w:val="0051635C"/>
    <w:rsid w:val="00523AE3"/>
    <w:rsid w:val="00526B9A"/>
    <w:rsid w:val="00531E58"/>
    <w:rsid w:val="0054600D"/>
    <w:rsid w:val="00552631"/>
    <w:rsid w:val="00554FF6"/>
    <w:rsid w:val="005561B1"/>
    <w:rsid w:val="005577B5"/>
    <w:rsid w:val="00566035"/>
    <w:rsid w:val="005661A9"/>
    <w:rsid w:val="00575AE9"/>
    <w:rsid w:val="0058599F"/>
    <w:rsid w:val="00586335"/>
    <w:rsid w:val="00594E2E"/>
    <w:rsid w:val="00596100"/>
    <w:rsid w:val="005B5A79"/>
    <w:rsid w:val="005C57FD"/>
    <w:rsid w:val="005D037E"/>
    <w:rsid w:val="005D5A4D"/>
    <w:rsid w:val="005D708A"/>
    <w:rsid w:val="005F7074"/>
    <w:rsid w:val="00603EEB"/>
    <w:rsid w:val="006051B1"/>
    <w:rsid w:val="00626ED6"/>
    <w:rsid w:val="00650D21"/>
    <w:rsid w:val="00653773"/>
    <w:rsid w:val="00660C58"/>
    <w:rsid w:val="006627A1"/>
    <w:rsid w:val="0066788A"/>
    <w:rsid w:val="006679B7"/>
    <w:rsid w:val="00674B07"/>
    <w:rsid w:val="0067667F"/>
    <w:rsid w:val="00676B99"/>
    <w:rsid w:val="00677D7C"/>
    <w:rsid w:val="00696BBE"/>
    <w:rsid w:val="006A3923"/>
    <w:rsid w:val="006C62FD"/>
    <w:rsid w:val="006D0099"/>
    <w:rsid w:val="006D5964"/>
    <w:rsid w:val="006D736C"/>
    <w:rsid w:val="006E0A76"/>
    <w:rsid w:val="007214E1"/>
    <w:rsid w:val="007260BE"/>
    <w:rsid w:val="00730801"/>
    <w:rsid w:val="00743DA2"/>
    <w:rsid w:val="007545B4"/>
    <w:rsid w:val="00755A77"/>
    <w:rsid w:val="00756964"/>
    <w:rsid w:val="00764D0E"/>
    <w:rsid w:val="00773A91"/>
    <w:rsid w:val="00791CD7"/>
    <w:rsid w:val="007A6CFD"/>
    <w:rsid w:val="007B5BE7"/>
    <w:rsid w:val="007B6589"/>
    <w:rsid w:val="007C35AA"/>
    <w:rsid w:val="007D6C10"/>
    <w:rsid w:val="007E19C6"/>
    <w:rsid w:val="007E3923"/>
    <w:rsid w:val="007F1B5A"/>
    <w:rsid w:val="007F26BC"/>
    <w:rsid w:val="008030D8"/>
    <w:rsid w:val="00830BAC"/>
    <w:rsid w:val="008339B4"/>
    <w:rsid w:val="00842638"/>
    <w:rsid w:val="00853C73"/>
    <w:rsid w:val="008636E9"/>
    <w:rsid w:val="00865868"/>
    <w:rsid w:val="00886CB9"/>
    <w:rsid w:val="008870BF"/>
    <w:rsid w:val="008A06B3"/>
    <w:rsid w:val="008A1A53"/>
    <w:rsid w:val="008A2CDE"/>
    <w:rsid w:val="008A69FA"/>
    <w:rsid w:val="008A6F84"/>
    <w:rsid w:val="008C550B"/>
    <w:rsid w:val="008C78E5"/>
    <w:rsid w:val="008D5520"/>
    <w:rsid w:val="008F3547"/>
    <w:rsid w:val="00905DB0"/>
    <w:rsid w:val="00921216"/>
    <w:rsid w:val="00922A64"/>
    <w:rsid w:val="00956690"/>
    <w:rsid w:val="00960934"/>
    <w:rsid w:val="009819F3"/>
    <w:rsid w:val="00987D78"/>
    <w:rsid w:val="00994F3C"/>
    <w:rsid w:val="009A465B"/>
    <w:rsid w:val="009B0B86"/>
    <w:rsid w:val="009C7B07"/>
    <w:rsid w:val="009F46EA"/>
    <w:rsid w:val="009F7B91"/>
    <w:rsid w:val="00A11C82"/>
    <w:rsid w:val="00A209BB"/>
    <w:rsid w:val="00A24726"/>
    <w:rsid w:val="00A34464"/>
    <w:rsid w:val="00A367F3"/>
    <w:rsid w:val="00A454F2"/>
    <w:rsid w:val="00A500A3"/>
    <w:rsid w:val="00A54170"/>
    <w:rsid w:val="00A739EF"/>
    <w:rsid w:val="00A91855"/>
    <w:rsid w:val="00AA3FC7"/>
    <w:rsid w:val="00AB7D52"/>
    <w:rsid w:val="00AD0C6C"/>
    <w:rsid w:val="00AF1CA9"/>
    <w:rsid w:val="00AF6A61"/>
    <w:rsid w:val="00B03EC5"/>
    <w:rsid w:val="00B13945"/>
    <w:rsid w:val="00B1545E"/>
    <w:rsid w:val="00B26958"/>
    <w:rsid w:val="00B377C6"/>
    <w:rsid w:val="00B418ED"/>
    <w:rsid w:val="00B43649"/>
    <w:rsid w:val="00B4794E"/>
    <w:rsid w:val="00B61AF2"/>
    <w:rsid w:val="00B64867"/>
    <w:rsid w:val="00B66237"/>
    <w:rsid w:val="00B70BB2"/>
    <w:rsid w:val="00B70FD4"/>
    <w:rsid w:val="00B75669"/>
    <w:rsid w:val="00B87EB5"/>
    <w:rsid w:val="00B92831"/>
    <w:rsid w:val="00BB0924"/>
    <w:rsid w:val="00BB12B6"/>
    <w:rsid w:val="00BB28CF"/>
    <w:rsid w:val="00BB4DB4"/>
    <w:rsid w:val="00BB7B1A"/>
    <w:rsid w:val="00BD35F4"/>
    <w:rsid w:val="00BE7757"/>
    <w:rsid w:val="00C0044E"/>
    <w:rsid w:val="00C010B4"/>
    <w:rsid w:val="00C056EB"/>
    <w:rsid w:val="00C114C7"/>
    <w:rsid w:val="00C130E7"/>
    <w:rsid w:val="00C2395F"/>
    <w:rsid w:val="00C351CF"/>
    <w:rsid w:val="00C54FBE"/>
    <w:rsid w:val="00C552E4"/>
    <w:rsid w:val="00C62685"/>
    <w:rsid w:val="00C642D8"/>
    <w:rsid w:val="00C67DDE"/>
    <w:rsid w:val="00C706DF"/>
    <w:rsid w:val="00C70DF8"/>
    <w:rsid w:val="00C75CD4"/>
    <w:rsid w:val="00C86188"/>
    <w:rsid w:val="00C9273B"/>
    <w:rsid w:val="00CC446C"/>
    <w:rsid w:val="00CD3FBC"/>
    <w:rsid w:val="00CE59A3"/>
    <w:rsid w:val="00CF3A8F"/>
    <w:rsid w:val="00D23116"/>
    <w:rsid w:val="00D362F5"/>
    <w:rsid w:val="00D42ACD"/>
    <w:rsid w:val="00D66288"/>
    <w:rsid w:val="00D66A5D"/>
    <w:rsid w:val="00D704F2"/>
    <w:rsid w:val="00D71DC7"/>
    <w:rsid w:val="00D75EAC"/>
    <w:rsid w:val="00D93632"/>
    <w:rsid w:val="00DA159E"/>
    <w:rsid w:val="00DA446F"/>
    <w:rsid w:val="00DB31D9"/>
    <w:rsid w:val="00DC6008"/>
    <w:rsid w:val="00DD0F3A"/>
    <w:rsid w:val="00DD14ED"/>
    <w:rsid w:val="00DD5BB6"/>
    <w:rsid w:val="00DD6516"/>
    <w:rsid w:val="00DE0036"/>
    <w:rsid w:val="00DE34FF"/>
    <w:rsid w:val="00DE7D5D"/>
    <w:rsid w:val="00E214A8"/>
    <w:rsid w:val="00E21DFD"/>
    <w:rsid w:val="00E33BDE"/>
    <w:rsid w:val="00E356AE"/>
    <w:rsid w:val="00E40E8F"/>
    <w:rsid w:val="00E41274"/>
    <w:rsid w:val="00E7221A"/>
    <w:rsid w:val="00E819F5"/>
    <w:rsid w:val="00E83B99"/>
    <w:rsid w:val="00E83B9C"/>
    <w:rsid w:val="00EA3361"/>
    <w:rsid w:val="00EA6013"/>
    <w:rsid w:val="00EB5897"/>
    <w:rsid w:val="00EC0B5F"/>
    <w:rsid w:val="00EC30A6"/>
    <w:rsid w:val="00EC5043"/>
    <w:rsid w:val="00EC57ED"/>
    <w:rsid w:val="00EE17E1"/>
    <w:rsid w:val="00EE22E9"/>
    <w:rsid w:val="00EF56B5"/>
    <w:rsid w:val="00F1601C"/>
    <w:rsid w:val="00F207DC"/>
    <w:rsid w:val="00F22A5D"/>
    <w:rsid w:val="00F22C8C"/>
    <w:rsid w:val="00F35BCD"/>
    <w:rsid w:val="00F438CA"/>
    <w:rsid w:val="00F65FCC"/>
    <w:rsid w:val="00F93098"/>
    <w:rsid w:val="00FA14EF"/>
    <w:rsid w:val="00FA24CE"/>
    <w:rsid w:val="00FC10B6"/>
    <w:rsid w:val="00FC4AE6"/>
    <w:rsid w:val="00FD0E26"/>
    <w:rsid w:val="00FE111E"/>
    <w:rsid w:val="00FE1D4F"/>
    <w:rsid w:val="00FE79D7"/>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244C492"/>
  <w15:docId w15:val="{6CE811BA-1DA5-4103-A5DE-15B582B989B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Calibri"/>
        <w:sz w:val="22"/>
        <w:szCs w:val="22"/>
        <w:lang w:val="es-CO" w:eastAsia="es-CO" w:bidi="ar-SA"/>
      </w:rPr>
    </w:rPrDefault>
    <w:pPrDefault>
      <w:pPr>
        <w:spacing w:after="160" w:line="480" w:lineRule="auto"/>
        <w:ind w:firstLine="72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57374"/>
    <w:pPr>
      <w:spacing w:line="360" w:lineRule="auto"/>
      <w:jc w:val="both"/>
    </w:pPr>
    <w:rPr>
      <w:rFonts w:ascii="Times New Roman" w:hAnsi="Times New Roman"/>
      <w:sz w:val="24"/>
    </w:rPr>
  </w:style>
  <w:style w:type="paragraph" w:styleId="Ttulo1">
    <w:name w:val="heading 1"/>
    <w:basedOn w:val="Normal"/>
    <w:next w:val="Normal"/>
    <w:uiPriority w:val="9"/>
    <w:qFormat/>
    <w:pPr>
      <w:keepNext/>
      <w:keepLines/>
      <w:spacing w:before="240" w:after="0"/>
      <w:outlineLvl w:val="0"/>
    </w:pPr>
    <w:rPr>
      <w:color w:val="2F5496"/>
      <w:sz w:val="32"/>
      <w:szCs w:val="32"/>
    </w:rPr>
  </w:style>
  <w:style w:type="paragraph" w:styleId="Ttulo2">
    <w:name w:val="heading 2"/>
    <w:basedOn w:val="Normal"/>
    <w:next w:val="Normal"/>
    <w:uiPriority w:val="9"/>
    <w:unhideWhenUsed/>
    <w:qFormat/>
    <w:rsid w:val="00BB28CF"/>
    <w:pPr>
      <w:keepNext/>
      <w:keepLines/>
      <w:spacing w:before="360" w:after="80"/>
      <w:jc w:val="center"/>
      <w:outlineLvl w:val="1"/>
    </w:pPr>
    <w:rPr>
      <w:b/>
      <w:bCs/>
      <w:szCs w:val="36"/>
    </w:rPr>
  </w:style>
  <w:style w:type="paragraph" w:styleId="Ttulo3">
    <w:name w:val="heading 3"/>
    <w:basedOn w:val="Normal"/>
    <w:next w:val="Normal"/>
    <w:autoRedefine/>
    <w:uiPriority w:val="9"/>
    <w:unhideWhenUsed/>
    <w:qFormat/>
    <w:rsid w:val="00243175"/>
    <w:pPr>
      <w:spacing w:after="0"/>
      <w:ind w:firstLine="0"/>
      <w:outlineLvl w:val="2"/>
    </w:pPr>
    <w:rPr>
      <w:rFonts w:eastAsia="Times New Roman" w:cs="Times New Roman"/>
      <w:b/>
      <w:bCs/>
      <w:szCs w:val="27"/>
    </w:rPr>
  </w:style>
  <w:style w:type="paragraph" w:styleId="Ttulo4">
    <w:name w:val="heading 4"/>
    <w:basedOn w:val="Normal"/>
    <w:next w:val="Normal"/>
    <w:uiPriority w:val="9"/>
    <w:unhideWhenUsed/>
    <w:qFormat/>
    <w:pPr>
      <w:keepNext/>
      <w:keepLines/>
      <w:spacing w:before="40" w:after="0"/>
      <w:outlineLvl w:val="3"/>
    </w:pPr>
    <w:rPr>
      <w:i/>
      <w:iCs/>
      <w:color w:val="2F5496"/>
    </w:rPr>
  </w:style>
  <w:style w:type="paragraph" w:styleId="Ttulo5">
    <w:name w:val="heading 5"/>
    <w:basedOn w:val="Normal"/>
    <w:next w:val="Normal"/>
    <w:uiPriority w:val="9"/>
    <w:semiHidden/>
    <w:unhideWhenUsed/>
    <w:qFormat/>
    <w:pPr>
      <w:keepNext/>
      <w:keepLines/>
      <w:spacing w:before="220" w:after="40"/>
      <w:outlineLvl w:val="4"/>
    </w:pPr>
    <w:rPr>
      <w:b/>
      <w:bCs/>
    </w:rPr>
  </w:style>
  <w:style w:type="paragraph" w:styleId="Ttulo6">
    <w:name w:val="heading 6"/>
    <w:basedOn w:val="Normal"/>
    <w:next w:val="Normal"/>
    <w:uiPriority w:val="9"/>
    <w:semiHidden/>
    <w:unhideWhenUsed/>
    <w:qFormat/>
    <w:pPr>
      <w:keepNext/>
      <w:keepLines/>
      <w:spacing w:before="200" w:after="40"/>
      <w:outlineLvl w:val="5"/>
    </w:pPr>
    <w:rPr>
      <w:b/>
      <w:bCs/>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Normal"/>
    <w:tblPr>
      <w:tblCellMar>
        <w:top w:w="100" w:type="dxa"/>
        <w:left w:w="100" w:type="dxa"/>
        <w:bottom w:w="100" w:type="dxa"/>
        <w:right w:w="100" w:type="dxa"/>
      </w:tblCellMar>
    </w:tblPr>
  </w:style>
  <w:style w:type="paragraph" w:styleId="Ttulo">
    <w:name w:val="Title"/>
    <w:basedOn w:val="Normal"/>
    <w:next w:val="Normal"/>
    <w:uiPriority w:val="10"/>
    <w:qFormat/>
    <w:pPr>
      <w:keepNext/>
      <w:keepLines/>
      <w:spacing w:before="480" w:after="120"/>
    </w:pPr>
    <w:rPr>
      <w:b/>
      <w:bCs/>
      <w:sz w:val="72"/>
      <w:szCs w:val="72"/>
    </w:rPr>
  </w:style>
  <w:style w:type="character" w:styleId="Textoennegrita">
    <w:name w:val="Strong"/>
    <w:basedOn w:val="Fuentedeprrafopredeter"/>
    <w:uiPriority w:val="22"/>
    <w:qFormat/>
    <w:rsid w:val="00E6734F"/>
    <w:rPr>
      <w:b/>
      <w:bCs/>
    </w:rPr>
  </w:style>
  <w:style w:type="character" w:styleId="nfasis">
    <w:name w:val="Emphasis"/>
    <w:basedOn w:val="Fuentedeprrafopredeter"/>
    <w:uiPriority w:val="20"/>
    <w:qFormat/>
    <w:rsid w:val="00E6734F"/>
    <w:rPr>
      <w:i/>
      <w:iCs/>
    </w:rPr>
  </w:style>
  <w:style w:type="character" w:customStyle="1" w:styleId="Ttulo1Car">
    <w:name w:val="Título 1 Car"/>
    <w:basedOn w:val="Fuentedeprrafopredeter"/>
    <w:uiPriority w:val="9"/>
    <w:rsid w:val="00E6734F"/>
    <w:rPr>
      <w:rFonts w:asciiTheme="majorHAnsi" w:eastAsiaTheme="majorEastAsia" w:hAnsiTheme="majorHAnsi" w:cstheme="majorBidi"/>
      <w:color w:val="2F5496" w:themeColor="accent1" w:themeShade="BF"/>
      <w:sz w:val="32"/>
      <w:szCs w:val="32"/>
    </w:rPr>
  </w:style>
  <w:style w:type="paragraph" w:styleId="TtuloTDC">
    <w:name w:val="TOC Heading"/>
    <w:next w:val="Normal"/>
    <w:uiPriority w:val="39"/>
    <w:unhideWhenUsed/>
    <w:qFormat/>
    <w:rsid w:val="00E6734F"/>
    <w:rPr>
      <w:rFonts w:ascii="Arial" w:hAnsi="Arial"/>
      <w:b/>
      <w:sz w:val="24"/>
    </w:rPr>
  </w:style>
  <w:style w:type="paragraph" w:styleId="Prrafodelista">
    <w:name w:val="List Paragraph"/>
    <w:basedOn w:val="Normal"/>
    <w:uiPriority w:val="34"/>
    <w:qFormat/>
    <w:rsid w:val="001D54B0"/>
    <w:pPr>
      <w:ind w:left="720"/>
      <w:contextualSpacing/>
    </w:pPr>
  </w:style>
  <w:style w:type="character" w:customStyle="1" w:styleId="relative">
    <w:name w:val="relative"/>
    <w:basedOn w:val="Fuentedeprrafopredeter"/>
    <w:rsid w:val="007A4F6B"/>
  </w:style>
  <w:style w:type="character" w:customStyle="1" w:styleId="ms-1">
    <w:name w:val="ms-1"/>
    <w:basedOn w:val="Fuentedeprrafopredeter"/>
    <w:rsid w:val="007A4F6B"/>
  </w:style>
  <w:style w:type="character" w:customStyle="1" w:styleId="max-w-full">
    <w:name w:val="max-w-full"/>
    <w:basedOn w:val="Fuentedeprrafopredeter"/>
    <w:rsid w:val="007A4F6B"/>
  </w:style>
  <w:style w:type="character" w:customStyle="1" w:styleId="Ttulo3Car">
    <w:name w:val="Título 3 Car"/>
    <w:basedOn w:val="Fuentedeprrafopredeter"/>
    <w:uiPriority w:val="9"/>
    <w:rsid w:val="008D1A22"/>
    <w:rPr>
      <w:rFonts w:ascii="Times New Roman" w:eastAsia="Times New Roman" w:hAnsi="Times New Roman" w:cs="Times New Roman"/>
      <w:b/>
      <w:bCs/>
      <w:sz w:val="27"/>
      <w:szCs w:val="27"/>
      <w:lang w:eastAsia="es-CO"/>
    </w:rPr>
  </w:style>
  <w:style w:type="character" w:styleId="Hipervnculo">
    <w:name w:val="Hyperlink"/>
    <w:basedOn w:val="Fuentedeprrafopredeter"/>
    <w:uiPriority w:val="99"/>
    <w:unhideWhenUsed/>
    <w:rsid w:val="0043598A"/>
    <w:rPr>
      <w:color w:val="0563C1" w:themeColor="hyperlink"/>
      <w:u w:val="single"/>
    </w:rPr>
  </w:style>
  <w:style w:type="character" w:styleId="Mencinsinresolver">
    <w:name w:val="Unresolved Mention"/>
    <w:basedOn w:val="Fuentedeprrafopredeter"/>
    <w:uiPriority w:val="99"/>
    <w:semiHidden/>
    <w:unhideWhenUsed/>
    <w:rsid w:val="0043598A"/>
    <w:rPr>
      <w:color w:val="605E5C"/>
      <w:shd w:val="clear" w:color="auto" w:fill="E1DFDD"/>
    </w:rPr>
  </w:style>
  <w:style w:type="paragraph" w:styleId="NormalWeb">
    <w:name w:val="Normal (Web)"/>
    <w:basedOn w:val="Normal"/>
    <w:uiPriority w:val="99"/>
    <w:unhideWhenUsed/>
    <w:rsid w:val="00293CAA"/>
    <w:pPr>
      <w:spacing w:before="100" w:beforeAutospacing="1" w:after="100" w:afterAutospacing="1" w:line="240" w:lineRule="auto"/>
    </w:pPr>
    <w:rPr>
      <w:rFonts w:eastAsia="Times New Roman" w:cs="Times New Roman"/>
      <w:szCs w:val="24"/>
    </w:rPr>
  </w:style>
  <w:style w:type="character" w:customStyle="1" w:styleId="Ttulo4Car">
    <w:name w:val="Título 4 Car"/>
    <w:basedOn w:val="Fuentedeprrafopredeter"/>
    <w:uiPriority w:val="9"/>
    <w:semiHidden/>
    <w:rsid w:val="00EA269F"/>
    <w:rPr>
      <w:rFonts w:asciiTheme="majorHAnsi" w:eastAsiaTheme="majorEastAsia" w:hAnsiTheme="majorHAnsi" w:cstheme="majorBidi"/>
      <w:i/>
      <w:iCs/>
      <w:color w:val="2F5496" w:themeColor="accent1" w:themeShade="BF"/>
    </w:rPr>
  </w:style>
  <w:style w:type="paragraph" w:styleId="Encabezado">
    <w:name w:val="header"/>
    <w:basedOn w:val="Normal"/>
    <w:link w:val="EncabezadoCar"/>
    <w:uiPriority w:val="99"/>
    <w:unhideWhenUsed/>
    <w:rsid w:val="003C64B9"/>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3C64B9"/>
  </w:style>
  <w:style w:type="paragraph" w:styleId="Piedepgina">
    <w:name w:val="footer"/>
    <w:basedOn w:val="Normal"/>
    <w:link w:val="PiedepginaCar"/>
    <w:uiPriority w:val="99"/>
    <w:unhideWhenUsed/>
    <w:rsid w:val="003C64B9"/>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3C64B9"/>
  </w:style>
  <w:style w:type="paragraph" w:styleId="Subttulo">
    <w:name w:val="Subtitle"/>
    <w:basedOn w:val="Normal"/>
    <w:next w:val="Normal"/>
    <w:uiPriority w:val="11"/>
    <w:qFormat/>
    <w:pPr>
      <w:keepNext/>
      <w:keepLines/>
      <w:spacing w:before="360" w:after="80"/>
    </w:pPr>
    <w:rPr>
      <w:rFonts w:ascii="Georgia" w:eastAsia="Georgia" w:hAnsi="Georgia" w:cs="Georgia"/>
      <w:i/>
      <w:iCs/>
      <w:color w:val="666666"/>
      <w:sz w:val="48"/>
      <w:szCs w:val="48"/>
    </w:rPr>
  </w:style>
  <w:style w:type="table" w:styleId="Tablaconcuadrcula1clara">
    <w:name w:val="Grid Table 1 Light"/>
    <w:basedOn w:val="Tablanormal"/>
    <w:uiPriority w:val="46"/>
    <w:rsid w:val="00B43649"/>
    <w:pPr>
      <w:spacing w:after="0" w:line="240" w:lineRule="auto"/>
    </w:pPr>
    <w:tblPr>
      <w:tblStyleRowBandSize w:val="1"/>
      <w:tblStyleColBandSize w:val="1"/>
      <w:tblInd w:w="0" w:type="nil"/>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paragraph" w:styleId="Textodeglobo">
    <w:name w:val="Balloon Text"/>
    <w:basedOn w:val="Normal"/>
    <w:link w:val="TextodegloboCar"/>
    <w:uiPriority w:val="99"/>
    <w:semiHidden/>
    <w:unhideWhenUsed/>
    <w:rsid w:val="00150819"/>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150819"/>
    <w:rPr>
      <w:rFonts w:ascii="Segoe UI" w:hAnsi="Segoe UI" w:cs="Segoe UI"/>
      <w:sz w:val="18"/>
      <w:szCs w:val="18"/>
    </w:rPr>
  </w:style>
  <w:style w:type="paragraph" w:customStyle="1" w:styleId="my-2">
    <w:name w:val="my-2"/>
    <w:basedOn w:val="Normal"/>
    <w:rsid w:val="00A367F3"/>
    <w:pPr>
      <w:spacing w:before="100" w:beforeAutospacing="1" w:after="100" w:afterAutospacing="1" w:line="240" w:lineRule="auto"/>
      <w:ind w:firstLine="0"/>
    </w:pPr>
    <w:rPr>
      <w:rFonts w:eastAsia="Times New Roman" w:cs="Times New Roman"/>
      <w:szCs w:val="24"/>
      <w:lang w:eastAsia="es-MX"/>
    </w:rPr>
  </w:style>
  <w:style w:type="character" w:styleId="Hipervnculovisitado">
    <w:name w:val="FollowedHyperlink"/>
    <w:basedOn w:val="Fuentedeprrafopredeter"/>
    <w:uiPriority w:val="99"/>
    <w:semiHidden/>
    <w:unhideWhenUsed/>
    <w:rsid w:val="00E40E8F"/>
    <w:rPr>
      <w:color w:val="954F72" w:themeColor="followedHyperlink"/>
      <w:u w:val="single"/>
    </w:rPr>
  </w:style>
  <w:style w:type="table" w:styleId="Tablanormal2">
    <w:name w:val="Plain Table 2"/>
    <w:basedOn w:val="Tablanormal"/>
    <w:uiPriority w:val="42"/>
    <w:rsid w:val="00A54170"/>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paragraph" w:styleId="Sinespaciado">
    <w:name w:val="No Spacing"/>
    <w:aliases w:val="normal"/>
    <w:uiPriority w:val="1"/>
    <w:qFormat/>
    <w:rsid w:val="00674B07"/>
    <w:pPr>
      <w:spacing w:after="0" w:line="240" w:lineRule="auto"/>
      <w:jc w:val="center"/>
    </w:pPr>
    <w:rPr>
      <w:rFonts w:ascii="Times New Roman" w:hAnsi="Times New Roman"/>
      <w:sz w:val="24"/>
    </w:rPr>
  </w:style>
  <w:style w:type="character" w:customStyle="1" w:styleId="Estilo2">
    <w:name w:val="Estilo2"/>
    <w:basedOn w:val="Fuentedeprrafopredeter"/>
    <w:uiPriority w:val="1"/>
    <w:rsid w:val="005D037E"/>
    <w:rPr>
      <w:rFonts w:ascii="Times New Roman" w:hAnsi="Times New Roman"/>
      <w:sz w:val="24"/>
    </w:rPr>
  </w:style>
  <w:style w:type="character" w:customStyle="1" w:styleId="Estilo3">
    <w:name w:val="Estilo3"/>
    <w:basedOn w:val="Fuentedeprrafopredeter"/>
    <w:uiPriority w:val="1"/>
    <w:rsid w:val="005D037E"/>
    <w:rPr>
      <w:rFonts w:ascii="Times New Roman" w:hAnsi="Times New Roman"/>
      <w:sz w:val="24"/>
    </w:rPr>
  </w:style>
  <w:style w:type="character" w:customStyle="1" w:styleId="Estilo4">
    <w:name w:val="Estilo4"/>
    <w:basedOn w:val="Fuentedeprrafopredeter"/>
    <w:uiPriority w:val="1"/>
    <w:rsid w:val="005D037E"/>
    <w:rPr>
      <w:rFonts w:ascii="Times New Roman" w:hAnsi="Times New Roman"/>
      <w:sz w:val="24"/>
    </w:rPr>
  </w:style>
  <w:style w:type="character" w:customStyle="1" w:styleId="Estilo5">
    <w:name w:val="Estilo5"/>
    <w:basedOn w:val="Fuentedeprrafopredeter"/>
    <w:uiPriority w:val="1"/>
    <w:rsid w:val="005D037E"/>
    <w:rPr>
      <w:rFonts w:ascii="Times New Roman" w:hAnsi="Times New Roman"/>
      <w:sz w:val="24"/>
    </w:rPr>
  </w:style>
  <w:style w:type="character" w:customStyle="1" w:styleId="Estilo7">
    <w:name w:val="Estilo7"/>
    <w:basedOn w:val="Fuentedeprrafopredeter"/>
    <w:uiPriority w:val="1"/>
    <w:rsid w:val="005D037E"/>
    <w:rPr>
      <w:rFonts w:ascii="Times New Roman" w:hAnsi="Times New Roman"/>
      <w:sz w:val="24"/>
    </w:rPr>
  </w:style>
  <w:style w:type="character" w:customStyle="1" w:styleId="Estilo8">
    <w:name w:val="Estilo8"/>
    <w:basedOn w:val="Fuentedeprrafopredeter"/>
    <w:uiPriority w:val="1"/>
    <w:rsid w:val="005D037E"/>
    <w:rPr>
      <w:rFonts w:ascii="Times New Roman" w:hAnsi="Times New Roman"/>
      <w:sz w:val="24"/>
    </w:rPr>
  </w:style>
  <w:style w:type="character" w:styleId="Refdecomentario">
    <w:name w:val="annotation reference"/>
    <w:basedOn w:val="Fuentedeprrafopredeter"/>
    <w:uiPriority w:val="99"/>
    <w:semiHidden/>
    <w:unhideWhenUsed/>
    <w:rsid w:val="005D037E"/>
    <w:rPr>
      <w:sz w:val="16"/>
      <w:szCs w:val="16"/>
    </w:rPr>
  </w:style>
  <w:style w:type="paragraph" w:styleId="Textocomentario">
    <w:name w:val="annotation text"/>
    <w:basedOn w:val="Normal"/>
    <w:link w:val="TextocomentarioCar"/>
    <w:uiPriority w:val="99"/>
    <w:unhideWhenUsed/>
    <w:rsid w:val="005D037E"/>
    <w:pPr>
      <w:spacing w:after="0" w:line="240" w:lineRule="auto"/>
      <w:ind w:firstLine="0"/>
    </w:pPr>
    <w:rPr>
      <w:rFonts w:eastAsiaTheme="minorHAnsi" w:cstheme="minorBidi"/>
      <w:sz w:val="20"/>
      <w:szCs w:val="20"/>
      <w:lang w:eastAsia="en-US"/>
    </w:rPr>
  </w:style>
  <w:style w:type="character" w:customStyle="1" w:styleId="TextocomentarioCar">
    <w:name w:val="Texto comentario Car"/>
    <w:basedOn w:val="Fuentedeprrafopredeter"/>
    <w:link w:val="Textocomentario"/>
    <w:uiPriority w:val="99"/>
    <w:rsid w:val="005D037E"/>
    <w:rPr>
      <w:rFonts w:ascii="Times New Roman" w:eastAsiaTheme="minorHAnsi" w:hAnsi="Times New Roman" w:cstheme="minorBidi"/>
      <w:sz w:val="20"/>
      <w:szCs w:val="20"/>
      <w:lang w:eastAsia="en-US"/>
    </w:rPr>
  </w:style>
  <w:style w:type="table" w:styleId="Tablaconcuadrcula">
    <w:name w:val="Table Grid"/>
    <w:basedOn w:val="Tablanormal"/>
    <w:uiPriority w:val="39"/>
    <w:rsid w:val="005D037E"/>
    <w:pPr>
      <w:spacing w:after="0" w:line="240" w:lineRule="auto"/>
      <w:ind w:firstLine="0"/>
    </w:pPr>
    <w:rPr>
      <w:rFonts w:ascii="Times New Roman" w:eastAsiaTheme="minorHAnsi" w:hAnsi="Times New Roman" w:cstheme="minorBidi"/>
      <w:sz w:val="20"/>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Estilo10">
    <w:name w:val="Estilo10"/>
    <w:basedOn w:val="Fuentedeprrafopredeter"/>
    <w:uiPriority w:val="1"/>
    <w:rsid w:val="005D037E"/>
    <w:rPr>
      <w:rFonts w:ascii="Times New Roman" w:hAnsi="Times New Roman"/>
      <w:sz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5041703">
      <w:bodyDiv w:val="1"/>
      <w:marLeft w:val="0"/>
      <w:marRight w:val="0"/>
      <w:marTop w:val="0"/>
      <w:marBottom w:val="0"/>
      <w:divBdr>
        <w:top w:val="none" w:sz="0" w:space="0" w:color="auto"/>
        <w:left w:val="none" w:sz="0" w:space="0" w:color="auto"/>
        <w:bottom w:val="none" w:sz="0" w:space="0" w:color="auto"/>
        <w:right w:val="none" w:sz="0" w:space="0" w:color="auto"/>
      </w:divBdr>
    </w:div>
    <w:div w:id="282425801">
      <w:bodyDiv w:val="1"/>
      <w:marLeft w:val="0"/>
      <w:marRight w:val="0"/>
      <w:marTop w:val="0"/>
      <w:marBottom w:val="0"/>
      <w:divBdr>
        <w:top w:val="none" w:sz="0" w:space="0" w:color="auto"/>
        <w:left w:val="none" w:sz="0" w:space="0" w:color="auto"/>
        <w:bottom w:val="none" w:sz="0" w:space="0" w:color="auto"/>
        <w:right w:val="none" w:sz="0" w:space="0" w:color="auto"/>
      </w:divBdr>
    </w:div>
    <w:div w:id="386682373">
      <w:bodyDiv w:val="1"/>
      <w:marLeft w:val="0"/>
      <w:marRight w:val="0"/>
      <w:marTop w:val="0"/>
      <w:marBottom w:val="0"/>
      <w:divBdr>
        <w:top w:val="none" w:sz="0" w:space="0" w:color="auto"/>
        <w:left w:val="none" w:sz="0" w:space="0" w:color="auto"/>
        <w:bottom w:val="none" w:sz="0" w:space="0" w:color="auto"/>
        <w:right w:val="none" w:sz="0" w:space="0" w:color="auto"/>
      </w:divBdr>
    </w:div>
    <w:div w:id="406922383">
      <w:bodyDiv w:val="1"/>
      <w:marLeft w:val="0"/>
      <w:marRight w:val="0"/>
      <w:marTop w:val="0"/>
      <w:marBottom w:val="0"/>
      <w:divBdr>
        <w:top w:val="none" w:sz="0" w:space="0" w:color="auto"/>
        <w:left w:val="none" w:sz="0" w:space="0" w:color="auto"/>
        <w:bottom w:val="none" w:sz="0" w:space="0" w:color="auto"/>
        <w:right w:val="none" w:sz="0" w:space="0" w:color="auto"/>
      </w:divBdr>
    </w:div>
    <w:div w:id="561598620">
      <w:bodyDiv w:val="1"/>
      <w:marLeft w:val="0"/>
      <w:marRight w:val="0"/>
      <w:marTop w:val="0"/>
      <w:marBottom w:val="0"/>
      <w:divBdr>
        <w:top w:val="none" w:sz="0" w:space="0" w:color="auto"/>
        <w:left w:val="none" w:sz="0" w:space="0" w:color="auto"/>
        <w:bottom w:val="none" w:sz="0" w:space="0" w:color="auto"/>
        <w:right w:val="none" w:sz="0" w:space="0" w:color="auto"/>
      </w:divBdr>
    </w:div>
    <w:div w:id="572471340">
      <w:bodyDiv w:val="1"/>
      <w:marLeft w:val="0"/>
      <w:marRight w:val="0"/>
      <w:marTop w:val="0"/>
      <w:marBottom w:val="0"/>
      <w:divBdr>
        <w:top w:val="none" w:sz="0" w:space="0" w:color="auto"/>
        <w:left w:val="none" w:sz="0" w:space="0" w:color="auto"/>
        <w:bottom w:val="none" w:sz="0" w:space="0" w:color="auto"/>
        <w:right w:val="none" w:sz="0" w:space="0" w:color="auto"/>
      </w:divBdr>
    </w:div>
    <w:div w:id="601647788">
      <w:bodyDiv w:val="1"/>
      <w:marLeft w:val="0"/>
      <w:marRight w:val="0"/>
      <w:marTop w:val="0"/>
      <w:marBottom w:val="0"/>
      <w:divBdr>
        <w:top w:val="none" w:sz="0" w:space="0" w:color="auto"/>
        <w:left w:val="none" w:sz="0" w:space="0" w:color="auto"/>
        <w:bottom w:val="none" w:sz="0" w:space="0" w:color="auto"/>
        <w:right w:val="none" w:sz="0" w:space="0" w:color="auto"/>
      </w:divBdr>
    </w:div>
    <w:div w:id="677540027">
      <w:bodyDiv w:val="1"/>
      <w:marLeft w:val="0"/>
      <w:marRight w:val="0"/>
      <w:marTop w:val="0"/>
      <w:marBottom w:val="0"/>
      <w:divBdr>
        <w:top w:val="none" w:sz="0" w:space="0" w:color="auto"/>
        <w:left w:val="none" w:sz="0" w:space="0" w:color="auto"/>
        <w:bottom w:val="none" w:sz="0" w:space="0" w:color="auto"/>
        <w:right w:val="none" w:sz="0" w:space="0" w:color="auto"/>
      </w:divBdr>
    </w:div>
    <w:div w:id="758327570">
      <w:bodyDiv w:val="1"/>
      <w:marLeft w:val="0"/>
      <w:marRight w:val="0"/>
      <w:marTop w:val="0"/>
      <w:marBottom w:val="0"/>
      <w:divBdr>
        <w:top w:val="none" w:sz="0" w:space="0" w:color="auto"/>
        <w:left w:val="none" w:sz="0" w:space="0" w:color="auto"/>
        <w:bottom w:val="none" w:sz="0" w:space="0" w:color="auto"/>
        <w:right w:val="none" w:sz="0" w:space="0" w:color="auto"/>
      </w:divBdr>
    </w:div>
    <w:div w:id="916670229">
      <w:bodyDiv w:val="1"/>
      <w:marLeft w:val="0"/>
      <w:marRight w:val="0"/>
      <w:marTop w:val="0"/>
      <w:marBottom w:val="0"/>
      <w:divBdr>
        <w:top w:val="none" w:sz="0" w:space="0" w:color="auto"/>
        <w:left w:val="none" w:sz="0" w:space="0" w:color="auto"/>
        <w:bottom w:val="none" w:sz="0" w:space="0" w:color="auto"/>
        <w:right w:val="none" w:sz="0" w:space="0" w:color="auto"/>
      </w:divBdr>
    </w:div>
    <w:div w:id="1143086508">
      <w:bodyDiv w:val="1"/>
      <w:marLeft w:val="0"/>
      <w:marRight w:val="0"/>
      <w:marTop w:val="0"/>
      <w:marBottom w:val="0"/>
      <w:divBdr>
        <w:top w:val="none" w:sz="0" w:space="0" w:color="auto"/>
        <w:left w:val="none" w:sz="0" w:space="0" w:color="auto"/>
        <w:bottom w:val="none" w:sz="0" w:space="0" w:color="auto"/>
        <w:right w:val="none" w:sz="0" w:space="0" w:color="auto"/>
      </w:divBdr>
    </w:div>
    <w:div w:id="1147013937">
      <w:bodyDiv w:val="1"/>
      <w:marLeft w:val="0"/>
      <w:marRight w:val="0"/>
      <w:marTop w:val="0"/>
      <w:marBottom w:val="0"/>
      <w:divBdr>
        <w:top w:val="none" w:sz="0" w:space="0" w:color="auto"/>
        <w:left w:val="none" w:sz="0" w:space="0" w:color="auto"/>
        <w:bottom w:val="none" w:sz="0" w:space="0" w:color="auto"/>
        <w:right w:val="none" w:sz="0" w:space="0" w:color="auto"/>
      </w:divBdr>
    </w:div>
    <w:div w:id="1193300246">
      <w:bodyDiv w:val="1"/>
      <w:marLeft w:val="0"/>
      <w:marRight w:val="0"/>
      <w:marTop w:val="0"/>
      <w:marBottom w:val="0"/>
      <w:divBdr>
        <w:top w:val="none" w:sz="0" w:space="0" w:color="auto"/>
        <w:left w:val="none" w:sz="0" w:space="0" w:color="auto"/>
        <w:bottom w:val="none" w:sz="0" w:space="0" w:color="auto"/>
        <w:right w:val="none" w:sz="0" w:space="0" w:color="auto"/>
      </w:divBdr>
    </w:div>
    <w:div w:id="1383946765">
      <w:bodyDiv w:val="1"/>
      <w:marLeft w:val="0"/>
      <w:marRight w:val="0"/>
      <w:marTop w:val="0"/>
      <w:marBottom w:val="0"/>
      <w:divBdr>
        <w:top w:val="none" w:sz="0" w:space="0" w:color="auto"/>
        <w:left w:val="none" w:sz="0" w:space="0" w:color="auto"/>
        <w:bottom w:val="none" w:sz="0" w:space="0" w:color="auto"/>
        <w:right w:val="none" w:sz="0" w:space="0" w:color="auto"/>
      </w:divBdr>
    </w:div>
    <w:div w:id="1491947421">
      <w:bodyDiv w:val="1"/>
      <w:marLeft w:val="0"/>
      <w:marRight w:val="0"/>
      <w:marTop w:val="0"/>
      <w:marBottom w:val="0"/>
      <w:divBdr>
        <w:top w:val="none" w:sz="0" w:space="0" w:color="auto"/>
        <w:left w:val="none" w:sz="0" w:space="0" w:color="auto"/>
        <w:bottom w:val="none" w:sz="0" w:space="0" w:color="auto"/>
        <w:right w:val="none" w:sz="0" w:space="0" w:color="auto"/>
      </w:divBdr>
    </w:div>
    <w:div w:id="1499732950">
      <w:bodyDiv w:val="1"/>
      <w:marLeft w:val="0"/>
      <w:marRight w:val="0"/>
      <w:marTop w:val="0"/>
      <w:marBottom w:val="0"/>
      <w:divBdr>
        <w:top w:val="none" w:sz="0" w:space="0" w:color="auto"/>
        <w:left w:val="none" w:sz="0" w:space="0" w:color="auto"/>
        <w:bottom w:val="none" w:sz="0" w:space="0" w:color="auto"/>
        <w:right w:val="none" w:sz="0" w:space="0" w:color="auto"/>
      </w:divBdr>
    </w:div>
    <w:div w:id="1576550698">
      <w:bodyDiv w:val="1"/>
      <w:marLeft w:val="0"/>
      <w:marRight w:val="0"/>
      <w:marTop w:val="0"/>
      <w:marBottom w:val="0"/>
      <w:divBdr>
        <w:top w:val="none" w:sz="0" w:space="0" w:color="auto"/>
        <w:left w:val="none" w:sz="0" w:space="0" w:color="auto"/>
        <w:bottom w:val="none" w:sz="0" w:space="0" w:color="auto"/>
        <w:right w:val="none" w:sz="0" w:space="0" w:color="auto"/>
      </w:divBdr>
    </w:div>
    <w:div w:id="1661807622">
      <w:bodyDiv w:val="1"/>
      <w:marLeft w:val="0"/>
      <w:marRight w:val="0"/>
      <w:marTop w:val="0"/>
      <w:marBottom w:val="0"/>
      <w:divBdr>
        <w:top w:val="none" w:sz="0" w:space="0" w:color="auto"/>
        <w:left w:val="none" w:sz="0" w:space="0" w:color="auto"/>
        <w:bottom w:val="none" w:sz="0" w:space="0" w:color="auto"/>
        <w:right w:val="none" w:sz="0" w:space="0" w:color="auto"/>
      </w:divBdr>
    </w:div>
    <w:div w:id="1743986838">
      <w:bodyDiv w:val="1"/>
      <w:marLeft w:val="0"/>
      <w:marRight w:val="0"/>
      <w:marTop w:val="0"/>
      <w:marBottom w:val="0"/>
      <w:divBdr>
        <w:top w:val="none" w:sz="0" w:space="0" w:color="auto"/>
        <w:left w:val="none" w:sz="0" w:space="0" w:color="auto"/>
        <w:bottom w:val="none" w:sz="0" w:space="0" w:color="auto"/>
        <w:right w:val="none" w:sz="0" w:space="0" w:color="auto"/>
      </w:divBdr>
      <w:divsChild>
        <w:div w:id="1365211077">
          <w:blockQuote w:val="1"/>
          <w:marLeft w:val="720"/>
          <w:marRight w:val="720"/>
          <w:marTop w:val="100"/>
          <w:marBottom w:val="100"/>
          <w:divBdr>
            <w:top w:val="none" w:sz="0" w:space="0" w:color="auto"/>
            <w:left w:val="none" w:sz="0" w:space="0" w:color="auto"/>
            <w:bottom w:val="none" w:sz="0" w:space="0" w:color="auto"/>
            <w:right w:val="none" w:sz="0" w:space="0" w:color="auto"/>
          </w:divBdr>
        </w:div>
        <w:div w:id="1990205750">
          <w:blockQuote w:val="1"/>
          <w:marLeft w:val="720"/>
          <w:marRight w:val="720"/>
          <w:marTop w:val="100"/>
          <w:marBottom w:val="100"/>
          <w:divBdr>
            <w:top w:val="none" w:sz="0" w:space="0" w:color="auto"/>
            <w:left w:val="none" w:sz="0" w:space="0" w:color="auto"/>
            <w:bottom w:val="none" w:sz="0" w:space="0" w:color="auto"/>
            <w:right w:val="none" w:sz="0" w:space="0" w:color="auto"/>
          </w:divBdr>
        </w:div>
        <w:div w:id="806363251">
          <w:blockQuote w:val="1"/>
          <w:marLeft w:val="720"/>
          <w:marRight w:val="720"/>
          <w:marTop w:val="100"/>
          <w:marBottom w:val="100"/>
          <w:divBdr>
            <w:top w:val="none" w:sz="0" w:space="0" w:color="auto"/>
            <w:left w:val="none" w:sz="0" w:space="0" w:color="auto"/>
            <w:bottom w:val="none" w:sz="0" w:space="0" w:color="auto"/>
            <w:right w:val="none" w:sz="0" w:space="0" w:color="auto"/>
          </w:divBdr>
        </w:div>
        <w:div w:id="2087729414">
          <w:blockQuote w:val="1"/>
          <w:marLeft w:val="720"/>
          <w:marRight w:val="720"/>
          <w:marTop w:val="100"/>
          <w:marBottom w:val="100"/>
          <w:divBdr>
            <w:top w:val="none" w:sz="0" w:space="0" w:color="auto"/>
            <w:left w:val="none" w:sz="0" w:space="0" w:color="auto"/>
            <w:bottom w:val="none" w:sz="0" w:space="0" w:color="auto"/>
            <w:right w:val="none" w:sz="0" w:space="0" w:color="auto"/>
          </w:divBdr>
        </w:div>
        <w:div w:id="611547591">
          <w:blockQuote w:val="1"/>
          <w:marLeft w:val="720"/>
          <w:marRight w:val="720"/>
          <w:marTop w:val="100"/>
          <w:marBottom w:val="100"/>
          <w:divBdr>
            <w:top w:val="none" w:sz="0" w:space="0" w:color="auto"/>
            <w:left w:val="none" w:sz="0" w:space="0" w:color="auto"/>
            <w:bottom w:val="none" w:sz="0" w:space="0" w:color="auto"/>
            <w:right w:val="none" w:sz="0" w:space="0" w:color="auto"/>
          </w:divBdr>
        </w:div>
        <w:div w:id="1759904569">
          <w:blockQuote w:val="1"/>
          <w:marLeft w:val="720"/>
          <w:marRight w:val="720"/>
          <w:marTop w:val="100"/>
          <w:marBottom w:val="100"/>
          <w:divBdr>
            <w:top w:val="none" w:sz="0" w:space="0" w:color="auto"/>
            <w:left w:val="none" w:sz="0" w:space="0" w:color="auto"/>
            <w:bottom w:val="none" w:sz="0" w:space="0" w:color="auto"/>
            <w:right w:val="none" w:sz="0" w:space="0" w:color="auto"/>
          </w:divBdr>
        </w:div>
        <w:div w:id="900674462">
          <w:blockQuote w:val="1"/>
          <w:marLeft w:val="720"/>
          <w:marRight w:val="720"/>
          <w:marTop w:val="100"/>
          <w:marBottom w:val="100"/>
          <w:divBdr>
            <w:top w:val="none" w:sz="0" w:space="0" w:color="auto"/>
            <w:left w:val="none" w:sz="0" w:space="0" w:color="auto"/>
            <w:bottom w:val="none" w:sz="0" w:space="0" w:color="auto"/>
            <w:right w:val="none" w:sz="0" w:space="0" w:color="auto"/>
          </w:divBdr>
        </w:div>
        <w:div w:id="957105019">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2136751114">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4.png"/><Relationship Id="rId18" Type="http://schemas.openxmlformats.org/officeDocument/2006/relationships/hyperlink" Target="https://doi.org/10.1037/0033-295X.100.3.363" TargetMode="External"/><Relationship Id="rId26" Type="http://schemas.openxmlformats.org/officeDocument/2006/relationships/theme" Target="theme/theme1.xml"/><Relationship Id="rId3" Type="http://schemas.openxmlformats.org/officeDocument/2006/relationships/numbering" Target="numbering.xml"/><Relationship Id="rId21" Type="http://schemas.openxmlformats.org/officeDocument/2006/relationships/hyperlink" Target="https://doi.org/10.1108/JOEPP-01-2014-0003" TargetMode="External"/><Relationship Id="rId7" Type="http://schemas.openxmlformats.org/officeDocument/2006/relationships/footnotes" Target="footnotes.xml"/><Relationship Id="rId12" Type="http://schemas.openxmlformats.org/officeDocument/2006/relationships/image" Target="media/image3.png"/><Relationship Id="rId17" Type="http://schemas.openxmlformats.org/officeDocument/2006/relationships/image" Target="media/image8.emf"/><Relationship Id="rId25" Type="http://schemas.openxmlformats.org/officeDocument/2006/relationships/glossaryDocument" Target="glossary/document.xml"/><Relationship Id="rId2" Type="http://schemas.openxmlformats.org/officeDocument/2006/relationships/customXml" Target="../customXml/item2.xml"/><Relationship Id="rId16" Type="http://schemas.openxmlformats.org/officeDocument/2006/relationships/image" Target="media/image7.emf"/><Relationship Id="rId20" Type="http://schemas.openxmlformats.org/officeDocument/2006/relationships/hyperlink" Target="https://doi.org/10.1037/h0061470"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2.jpeg"/><Relationship Id="rId24" Type="http://schemas.openxmlformats.org/officeDocument/2006/relationships/fontTable" Target="fontTable.xml"/><Relationship Id="rId5" Type="http://schemas.openxmlformats.org/officeDocument/2006/relationships/settings" Target="settings.xml"/><Relationship Id="rId15" Type="http://schemas.openxmlformats.org/officeDocument/2006/relationships/image" Target="media/image6.png"/><Relationship Id="rId23" Type="http://schemas.openxmlformats.org/officeDocument/2006/relationships/header" Target="header1.xml"/><Relationship Id="rId10" Type="http://schemas.openxmlformats.org/officeDocument/2006/relationships/hyperlink" Target="https://co.creativecommons.net/tipos-de-licencias/" TargetMode="External"/><Relationship Id="rId19" Type="http://schemas.openxmlformats.org/officeDocument/2006/relationships/hyperlink" Target="https://www.eubrics.com/blogs/corporate-training-program-tips" TargetMode="External"/><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image" Target="media/image5.png"/><Relationship Id="rId22" Type="http://schemas.openxmlformats.org/officeDocument/2006/relationships/hyperlink" Target="https://doi.org/10.1016/j.jarmac.2015.12.002" TargetMode="External"/></Relationships>
</file>

<file path=word/_rels/fontTable.xml.rels><?xml version="1.0" encoding="UTF-8" standalone="yes"?>
<Relationships xmlns="http://schemas.openxmlformats.org/package/2006/relationships"><Relationship Id="rId8" Type="http://schemas.openxmlformats.org/officeDocument/2006/relationships/font" Target="fonts/font8.odttf"/><Relationship Id="rId3" Type="http://schemas.openxmlformats.org/officeDocument/2006/relationships/font" Target="fonts/font3.odttf"/><Relationship Id="rId7" Type="http://schemas.openxmlformats.org/officeDocument/2006/relationships/font" Target="fonts/font7.odttf"/><Relationship Id="rId2" Type="http://schemas.openxmlformats.org/officeDocument/2006/relationships/font" Target="fonts/font2.odttf"/><Relationship Id="rId1" Type="http://schemas.openxmlformats.org/officeDocument/2006/relationships/font" Target="fonts/font1.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2ED6C1BF07B347149EABAB02D3677B0B"/>
        <w:category>
          <w:name w:val="General"/>
          <w:gallery w:val="placeholder"/>
        </w:category>
        <w:types>
          <w:type w:val="bbPlcHdr"/>
        </w:types>
        <w:behaviors>
          <w:behavior w:val="content"/>
        </w:behaviors>
        <w:guid w:val="{DC5341E0-11EB-4233-8D6C-CD8E40D054E4}"/>
      </w:docPartPr>
      <w:docPartBody>
        <w:p w:rsidR="00740962" w:rsidRDefault="00154814" w:rsidP="00154814">
          <w:pPr>
            <w:pStyle w:val="2ED6C1BF07B347149EABAB02D3677B0B"/>
          </w:pPr>
          <w:r w:rsidRPr="007A2281">
            <w:rPr>
              <w:rStyle w:val="Textodelmarcadordeposicin"/>
            </w:rPr>
            <w:t>Elija un elemento.</w:t>
          </w:r>
        </w:p>
      </w:docPartBody>
    </w:docPart>
    <w:docPart>
      <w:docPartPr>
        <w:name w:val="655487AEE9B7463FBE5D39F3DB59F762"/>
        <w:category>
          <w:name w:val="General"/>
          <w:gallery w:val="placeholder"/>
        </w:category>
        <w:types>
          <w:type w:val="bbPlcHdr"/>
        </w:types>
        <w:behaviors>
          <w:behavior w:val="content"/>
        </w:behaviors>
        <w:guid w:val="{71372605-A5B1-4D33-AD88-1A1714A29E52}"/>
      </w:docPartPr>
      <w:docPartBody>
        <w:p w:rsidR="00740962" w:rsidRDefault="00154814" w:rsidP="00154814">
          <w:pPr>
            <w:pStyle w:val="655487AEE9B7463FBE5D39F3DB59F762"/>
          </w:pPr>
          <w:r w:rsidRPr="007A2281">
            <w:rPr>
              <w:rStyle w:val="Textodelmarcadordeposicin"/>
            </w:rPr>
            <w:t>Elija un elemento.</w:t>
          </w:r>
        </w:p>
      </w:docPartBody>
    </w:docPart>
    <w:docPart>
      <w:docPartPr>
        <w:name w:val="77B95ABA0FBA4CADAFEFB94E28F55F38"/>
        <w:category>
          <w:name w:val="General"/>
          <w:gallery w:val="placeholder"/>
        </w:category>
        <w:types>
          <w:type w:val="bbPlcHdr"/>
        </w:types>
        <w:behaviors>
          <w:behavior w:val="content"/>
        </w:behaviors>
        <w:guid w:val="{7482DB82-91F8-40B9-9AC8-5CBBE33B384C}"/>
      </w:docPartPr>
      <w:docPartBody>
        <w:p w:rsidR="00740962" w:rsidRDefault="00154814" w:rsidP="00154814">
          <w:pPr>
            <w:pStyle w:val="77B95ABA0FBA4CADAFEFB94E28F55F38"/>
          </w:pPr>
          <w:r w:rsidRPr="007A2281">
            <w:rPr>
              <w:rStyle w:val="Textodelmarcadordeposicin"/>
            </w:rPr>
            <w:t>Elija un elemento.</w:t>
          </w:r>
        </w:p>
      </w:docPartBody>
    </w:docPart>
    <w:docPart>
      <w:docPartPr>
        <w:name w:val="2CC10B4873014FB19E534DC61750D62C"/>
        <w:category>
          <w:name w:val="General"/>
          <w:gallery w:val="placeholder"/>
        </w:category>
        <w:types>
          <w:type w:val="bbPlcHdr"/>
        </w:types>
        <w:behaviors>
          <w:behavior w:val="content"/>
        </w:behaviors>
        <w:guid w:val="{B2D3EABC-601E-438B-8E63-0F69638E929C}"/>
      </w:docPartPr>
      <w:docPartBody>
        <w:p w:rsidR="00740962" w:rsidRDefault="00154814" w:rsidP="00154814">
          <w:pPr>
            <w:pStyle w:val="2CC10B4873014FB19E534DC61750D62C"/>
          </w:pPr>
          <w:r>
            <w:rPr>
              <w:rStyle w:val="Textodelmarcadordeposicin"/>
            </w:rPr>
            <w:t>Seleccione Universidad o convenio</w:t>
          </w:r>
        </w:p>
      </w:docPartBody>
    </w:docPart>
    <w:docPart>
      <w:docPartPr>
        <w:name w:val="C8E3899A32B2413E965DC9EAAD7D66F5"/>
        <w:category>
          <w:name w:val="General"/>
          <w:gallery w:val="placeholder"/>
        </w:category>
        <w:types>
          <w:type w:val="bbPlcHdr"/>
        </w:types>
        <w:behaviors>
          <w:behavior w:val="content"/>
        </w:behaviors>
        <w:guid w:val="{C052F179-DA76-4C27-9CE7-6BE066B3D8D9}"/>
      </w:docPartPr>
      <w:docPartBody>
        <w:p w:rsidR="00740962" w:rsidRDefault="00154814" w:rsidP="00154814">
          <w:pPr>
            <w:pStyle w:val="C8E3899A32B2413E965DC9EAAD7D66F5"/>
          </w:pPr>
          <w:r w:rsidRPr="007A2281">
            <w:rPr>
              <w:rStyle w:val="Textodelmarcadordeposicin"/>
            </w:rPr>
            <w:t>Elija un elemento.</w:t>
          </w:r>
        </w:p>
      </w:docPartBody>
    </w:docPart>
    <w:docPart>
      <w:docPartPr>
        <w:name w:val="412292A988D54416931E85F2FFC771AC"/>
        <w:category>
          <w:name w:val="General"/>
          <w:gallery w:val="placeholder"/>
        </w:category>
        <w:types>
          <w:type w:val="bbPlcHdr"/>
        </w:types>
        <w:behaviors>
          <w:behavior w:val="content"/>
        </w:behaviors>
        <w:guid w:val="{79CF3677-8C09-4BCF-9346-5416D7211A99}"/>
      </w:docPartPr>
      <w:docPartBody>
        <w:p w:rsidR="00740962" w:rsidRDefault="00154814" w:rsidP="00154814">
          <w:pPr>
            <w:pStyle w:val="412292A988D54416931E85F2FFC771AC"/>
          </w:pPr>
          <w:r w:rsidRPr="007A2281">
            <w:rPr>
              <w:rStyle w:val="Textodelmarcadordeposicin"/>
            </w:rPr>
            <w:t>Elija un elemento.</w:t>
          </w:r>
        </w:p>
      </w:docPartBody>
    </w:docPart>
    <w:docPart>
      <w:docPartPr>
        <w:name w:val="B3A3F5CA91E640E4872CF335CEA1BAA2"/>
        <w:category>
          <w:name w:val="General"/>
          <w:gallery w:val="placeholder"/>
        </w:category>
        <w:types>
          <w:type w:val="bbPlcHdr"/>
        </w:types>
        <w:behaviors>
          <w:behavior w:val="content"/>
        </w:behaviors>
        <w:guid w:val="{05DE8218-1500-4AE0-9E0A-BCB6F0DD5F18}"/>
      </w:docPartPr>
      <w:docPartBody>
        <w:p w:rsidR="00740962" w:rsidRDefault="00154814" w:rsidP="00154814">
          <w:pPr>
            <w:pStyle w:val="B3A3F5CA91E640E4872CF335CEA1BAA2"/>
          </w:pPr>
          <w:r w:rsidRPr="002A02B1">
            <w:rPr>
              <w:rStyle w:val="Textodelmarcadordeposicin"/>
            </w:rPr>
            <w:t>Elija un elemento.</w:t>
          </w:r>
        </w:p>
      </w:docPartBody>
    </w:docPart>
    <w:docPart>
      <w:docPartPr>
        <w:name w:val="A04CAF6EC320476DA79AFD6C3F944D85"/>
        <w:category>
          <w:name w:val="General"/>
          <w:gallery w:val="placeholder"/>
        </w:category>
        <w:types>
          <w:type w:val="bbPlcHdr"/>
        </w:types>
        <w:behaviors>
          <w:behavior w:val="content"/>
        </w:behaviors>
        <w:guid w:val="{A692C6FD-6786-4EEE-81B7-F10B1C02CC1D}"/>
      </w:docPartPr>
      <w:docPartBody>
        <w:p w:rsidR="00740962" w:rsidRDefault="00154814" w:rsidP="00154814">
          <w:pPr>
            <w:pStyle w:val="A04CAF6EC320476DA79AFD6C3F944D85"/>
          </w:pPr>
          <w:r w:rsidRPr="007A2281">
            <w:rPr>
              <w:rStyle w:val="Textodelmarcadordeposicin"/>
            </w:rPr>
            <w:t>Elija un elemento.</w:t>
          </w:r>
        </w:p>
      </w:docPartBody>
    </w:docPart>
    <w:docPart>
      <w:docPartPr>
        <w:name w:val="017F0DE767E54CBCA22A593FE6406423"/>
        <w:category>
          <w:name w:val="General"/>
          <w:gallery w:val="placeholder"/>
        </w:category>
        <w:types>
          <w:type w:val="bbPlcHdr"/>
        </w:types>
        <w:behaviors>
          <w:behavior w:val="content"/>
        </w:behaviors>
        <w:guid w:val="{264DF51C-54D8-4BB0-A994-46033FA69FD9}"/>
      </w:docPartPr>
      <w:docPartBody>
        <w:p w:rsidR="00740962" w:rsidRDefault="00154814" w:rsidP="00154814">
          <w:pPr>
            <w:pStyle w:val="017F0DE767E54CBCA22A593FE6406423"/>
          </w:pPr>
          <w:r w:rsidRPr="00171C88">
            <w:rPr>
              <w:rStyle w:val="Textodelmarcadordeposicin"/>
            </w:rPr>
            <w:t>Elija un elemento.</w:t>
          </w:r>
        </w:p>
      </w:docPartBody>
    </w:docPart>
    <w:docPart>
      <w:docPartPr>
        <w:name w:val="CB9566F4E8374E72A896C0D57EF1A3DF"/>
        <w:category>
          <w:name w:val="General"/>
          <w:gallery w:val="placeholder"/>
        </w:category>
        <w:types>
          <w:type w:val="bbPlcHdr"/>
        </w:types>
        <w:behaviors>
          <w:behavior w:val="content"/>
        </w:behaviors>
        <w:guid w:val="{7BEAA60C-A83D-442A-BF69-8E27A6E80934}"/>
      </w:docPartPr>
      <w:docPartBody>
        <w:p w:rsidR="00740962" w:rsidRDefault="00154814" w:rsidP="00154814">
          <w:pPr>
            <w:pStyle w:val="CB9566F4E8374E72A896C0D57EF1A3DF"/>
          </w:pPr>
          <w:r w:rsidRPr="007A2281">
            <w:rPr>
              <w:rStyle w:val="Textodelmarcadordeposicin"/>
            </w:rPr>
            <w:t>Elija un elemento.</w:t>
          </w:r>
        </w:p>
      </w:docPartBody>
    </w:docPart>
    <w:docPart>
      <w:docPartPr>
        <w:name w:val="3466A10026144DF29BBB32D823631118"/>
        <w:category>
          <w:name w:val="General"/>
          <w:gallery w:val="placeholder"/>
        </w:category>
        <w:types>
          <w:type w:val="bbPlcHdr"/>
        </w:types>
        <w:behaviors>
          <w:behavior w:val="content"/>
        </w:behaviors>
        <w:guid w:val="{0837D5B5-990B-4633-A198-1F9329099BC5}"/>
      </w:docPartPr>
      <w:docPartBody>
        <w:p w:rsidR="00740962" w:rsidRDefault="00154814" w:rsidP="00154814">
          <w:pPr>
            <w:pStyle w:val="3466A10026144DF29BBB32D823631118"/>
          </w:pPr>
          <w:r w:rsidRPr="007A2281">
            <w:rPr>
              <w:rStyle w:val="Textodelmarcadordeposicin"/>
            </w:rPr>
            <w:t>Elija un elemento.</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Noto Sans Symbols">
    <w:charset w:val="00"/>
    <w:family w:val="auto"/>
    <w:pitch w:val="default"/>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Segoe UI">
    <w:panose1 w:val="020B0502040204020203"/>
    <w:charset w:val="00"/>
    <w:family w:val="swiss"/>
    <w:pitch w:val="variable"/>
    <w:sig w:usb0="E4002EFF" w:usb1="C000E47F"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54814"/>
    <w:rsid w:val="00154814"/>
    <w:rsid w:val="00740962"/>
    <w:rsid w:val="00C21154"/>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s-CO" w:eastAsia="es-CO"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Textodelmarcadordeposicin">
    <w:name w:val="Placeholder Text"/>
    <w:basedOn w:val="Fuentedeprrafopredeter"/>
    <w:uiPriority w:val="99"/>
    <w:semiHidden/>
    <w:rsid w:val="00154814"/>
    <w:rPr>
      <w:color w:val="808080"/>
    </w:rPr>
  </w:style>
  <w:style w:type="paragraph" w:customStyle="1" w:styleId="2ED6C1BF07B347149EABAB02D3677B0B">
    <w:name w:val="2ED6C1BF07B347149EABAB02D3677B0B"/>
    <w:rsid w:val="00154814"/>
  </w:style>
  <w:style w:type="paragraph" w:customStyle="1" w:styleId="655487AEE9B7463FBE5D39F3DB59F762">
    <w:name w:val="655487AEE9B7463FBE5D39F3DB59F762"/>
    <w:rsid w:val="00154814"/>
  </w:style>
  <w:style w:type="paragraph" w:customStyle="1" w:styleId="77B95ABA0FBA4CADAFEFB94E28F55F38">
    <w:name w:val="77B95ABA0FBA4CADAFEFB94E28F55F38"/>
    <w:rsid w:val="00154814"/>
  </w:style>
  <w:style w:type="paragraph" w:customStyle="1" w:styleId="2CC10B4873014FB19E534DC61750D62C">
    <w:name w:val="2CC10B4873014FB19E534DC61750D62C"/>
    <w:rsid w:val="00154814"/>
  </w:style>
  <w:style w:type="paragraph" w:customStyle="1" w:styleId="C8E3899A32B2413E965DC9EAAD7D66F5">
    <w:name w:val="C8E3899A32B2413E965DC9EAAD7D66F5"/>
    <w:rsid w:val="00154814"/>
  </w:style>
  <w:style w:type="paragraph" w:customStyle="1" w:styleId="412292A988D54416931E85F2FFC771AC">
    <w:name w:val="412292A988D54416931E85F2FFC771AC"/>
    <w:rsid w:val="00154814"/>
  </w:style>
  <w:style w:type="paragraph" w:customStyle="1" w:styleId="B3A3F5CA91E640E4872CF335CEA1BAA2">
    <w:name w:val="B3A3F5CA91E640E4872CF335CEA1BAA2"/>
    <w:rsid w:val="00154814"/>
  </w:style>
  <w:style w:type="paragraph" w:customStyle="1" w:styleId="A04CAF6EC320476DA79AFD6C3F944D85">
    <w:name w:val="A04CAF6EC320476DA79AFD6C3F944D85"/>
    <w:rsid w:val="00154814"/>
  </w:style>
  <w:style w:type="paragraph" w:customStyle="1" w:styleId="017F0DE767E54CBCA22A593FE6406423">
    <w:name w:val="017F0DE767E54CBCA22A593FE6406423"/>
    <w:rsid w:val="00154814"/>
  </w:style>
  <w:style w:type="paragraph" w:customStyle="1" w:styleId="CB9566F4E8374E72A896C0D57EF1A3DF">
    <w:name w:val="CB9566F4E8374E72A896C0D57EF1A3DF"/>
    <w:rsid w:val="00154814"/>
  </w:style>
  <w:style w:type="paragraph" w:customStyle="1" w:styleId="3466A10026144DF29BBB32D823631118">
    <w:name w:val="3466A10026144DF29BBB32D823631118"/>
    <w:rsid w:val="00154814"/>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hmD4qEEJKOem5YTgla1sysohHvug==">CgMxLjAaLgoBMBIpCicIB0IjCg9UaW1lcyBOZXcgUm9tYW4SEEFyaWFsIFVuaWNvZGUgTVMyDmguOWY0ejhycnFnaXV3Mg5oLnAyYXk5aWp5eDg5ZzIOaC5pMXN6dzQycG5haTgyDmgub3BmODA0b3czcjlhMg5oLndicmx3ZGRhNnkyMTgAciExRDNlV3htQjZWeXYzbnFVV21PcUpfVUJMN19vN3dwLWU=</go:docsCustomData>
</go:gDocsCustomXmlDataStorage>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customXml/itemProps2.xml><?xml version="1.0" encoding="utf-8"?>
<ds:datastoreItem xmlns:ds="http://schemas.openxmlformats.org/officeDocument/2006/customXml" ds:itemID="{B4FCBF97-AEC6-420E-A4BF-75923ACDBA4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3227</TotalTime>
  <Pages>52</Pages>
  <Words>17433</Words>
  <Characters>95882</Characters>
  <Application>Microsoft Office Word</Application>
  <DocSecurity>0</DocSecurity>
  <Lines>799</Lines>
  <Paragraphs>226</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113089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Autor</cp:lastModifiedBy>
  <cp:revision>9</cp:revision>
  <cp:lastPrinted>2026-05-13T19:39:00Z</cp:lastPrinted>
  <dcterms:created xsi:type="dcterms:W3CDTF">2026-05-19T16:31:00Z</dcterms:created>
  <dcterms:modified xsi:type="dcterms:W3CDTF">2026-06-05T16:00:00Z</dcterms:modified>
</cp:coreProperties>
</file>