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3C2" w:rsidRPr="00D723C2" w:rsidRDefault="00D723C2" w:rsidP="00D723C2">
      <w:pPr>
        <w:pStyle w:val="Ttulo2"/>
        <w:rPr>
          <w:lang w:val="es-ES"/>
        </w:rPr>
      </w:pPr>
      <w:bookmarkStart w:id="0" w:name="_Toc227591264"/>
      <w:r w:rsidRPr="00D723C2">
        <w:rPr>
          <w:lang w:val="es-ES"/>
        </w:rPr>
        <w:t>Anexo A.</w:t>
      </w:r>
      <w:bookmarkEnd w:id="0"/>
      <w:r w:rsidRPr="00D723C2">
        <w:rPr>
          <w:lang w:val="es-ES"/>
        </w:rPr>
        <w:t xml:space="preserve"> </w:t>
      </w:r>
    </w:p>
    <w:p w:rsidR="00D723C2" w:rsidRPr="00EB1648" w:rsidRDefault="00D723C2" w:rsidP="00D723C2">
      <w:pPr>
        <w:pStyle w:val="Ttulo3"/>
        <w:rPr>
          <w:lang w:val="es-ES"/>
        </w:rPr>
      </w:pPr>
      <w:bookmarkStart w:id="1" w:name="_Toc227591265"/>
      <w:r>
        <w:rPr>
          <w:lang w:val="es-ES"/>
        </w:rPr>
        <w:t xml:space="preserve">Carta de </w:t>
      </w:r>
      <w:r w:rsidRPr="00EB1648">
        <w:t>Consentimiento Informado y Ficha Sociodemográfica</w:t>
      </w:r>
      <w:bookmarkEnd w:id="1"/>
    </w:p>
    <w:p w:rsidR="00D723C2" w:rsidRPr="00401194" w:rsidRDefault="00D723C2" w:rsidP="00D723C2">
      <w:r w:rsidRPr="00401194">
        <w:rPr>
          <w:rStyle w:val="nfasis"/>
          <w:rFonts w:eastAsiaTheme="majorEastAsia"/>
        </w:rPr>
        <w:t>A.1 Consentimiento informado.</w:t>
      </w:r>
      <w:r w:rsidRPr="00401194">
        <w:t xml:space="preserve"> Se obtuvo consentimiento escrito de los 123 participantes previa a la aplicación del instrumento. La carta especificó: (a) propósito del estudio (investigación académica sobre competencias digitales y desempeño), (b) voluntariedad de la participación y posibilidad de retiro sin consecuencias, (c) garantía de confidencialidad y anonimato (códigos numéricos sustituyeron nombres), (d) ausencia de riesgos psicológicos identificables más allá de la reflexión sobre habilidades laborales, y (e) destino de los datos (exclusivo uso académico y agregado para publicación). Los participantes manifestaron su conformidad mediante casilla de verificación electrónica (</w:t>
      </w:r>
      <w:proofErr w:type="spellStart"/>
      <w:r w:rsidRPr="00401194">
        <w:rPr>
          <w:rStyle w:val="nfasis"/>
          <w:rFonts w:eastAsiaTheme="majorEastAsia"/>
        </w:rPr>
        <w:t>checkbox</w:t>
      </w:r>
      <w:proofErr w:type="spellEnd"/>
      <w:r w:rsidRPr="00401194">
        <w:t>) antes de iniciar la encuesta.</w:t>
      </w:r>
    </w:p>
    <w:p w:rsidR="00D723C2" w:rsidRPr="00401194" w:rsidRDefault="00D723C2" w:rsidP="00D723C2"/>
    <w:p w:rsidR="00D723C2" w:rsidRPr="00401194" w:rsidRDefault="00D723C2" w:rsidP="00D723C2">
      <w:r w:rsidRPr="00401194">
        <w:rPr>
          <w:rStyle w:val="nfasis"/>
          <w:rFonts w:eastAsiaTheme="majorEastAsia"/>
        </w:rPr>
        <w:t>A.2 Ficha sociodemográfica.</w:t>
      </w:r>
      <w:r w:rsidRPr="00401194">
        <w:t xml:space="preserve"> Se recolectaron variables de control: género (masculino/femenino/no binario), edad (años), nivel educativo (bachillerato técnico, tecnólogo, profesional, posgrado), antigüedad en el cargo (meses), tipo de contrato (indefinido, fijo, </w:t>
      </w:r>
      <w:proofErr w:type="spellStart"/>
      <w:r w:rsidRPr="00401194">
        <w:t>outsourcing</w:t>
      </w:r>
      <w:proofErr w:type="spellEnd"/>
      <w:r w:rsidRPr="00401194">
        <w:t>), y área de servicio (</w:t>
      </w:r>
      <w:r w:rsidRPr="00401194">
        <w:rPr>
          <w:rStyle w:val="nfasis"/>
          <w:rFonts w:eastAsiaTheme="majorEastAsia"/>
        </w:rPr>
        <w:t>back-office</w:t>
      </w:r>
      <w:r w:rsidRPr="00401194">
        <w:t xml:space="preserve"> vs. atención directa al cliente).</w:t>
      </w:r>
    </w:p>
    <w:p w:rsidR="00D723C2" w:rsidRDefault="00D723C2" w:rsidP="00D723C2">
      <w:pPr>
        <w:pStyle w:val="Ttulo2"/>
        <w:rPr>
          <w:lang w:val="es-ES"/>
        </w:rPr>
      </w:pPr>
      <w:bookmarkStart w:id="2" w:name="_Toc227591266"/>
      <w:r w:rsidRPr="00401194">
        <w:rPr>
          <w:lang w:val="es-ES"/>
        </w:rPr>
        <w:t>Anexo B</w:t>
      </w:r>
      <w:bookmarkEnd w:id="2"/>
    </w:p>
    <w:p w:rsidR="00D723C2" w:rsidRPr="00EB1648" w:rsidRDefault="00D723C2" w:rsidP="00D723C2">
      <w:pPr>
        <w:pStyle w:val="Ttulo3"/>
        <w:rPr>
          <w:lang w:val="es-ES"/>
        </w:rPr>
      </w:pPr>
      <w:bookmarkStart w:id="3" w:name="_Toc227591267"/>
      <w:r>
        <w:rPr>
          <w:lang w:val="es-ES"/>
        </w:rPr>
        <w:t>Instrumentos de Medición Validados</w:t>
      </w:r>
      <w:bookmarkEnd w:id="3"/>
    </w:p>
    <w:p w:rsidR="00D723C2" w:rsidRPr="008B3E15" w:rsidRDefault="00D723C2" w:rsidP="00D723C2">
      <w:pPr>
        <w:ind w:firstLine="0"/>
        <w:rPr>
          <w:color w:val="000000" w:themeColor="text1"/>
        </w:rPr>
      </w:pPr>
      <w:r w:rsidRPr="00401194">
        <w:rPr>
          <w:rStyle w:val="nfasis"/>
          <w:rFonts w:eastAsiaTheme="majorEastAsia"/>
        </w:rPr>
        <w:t>B.1 Escala de Competencias Digitales (CD)</w:t>
      </w:r>
      <w:r w:rsidRPr="00401194">
        <w:t xml:space="preserve"> Adaptada de </w:t>
      </w:r>
      <w:proofErr w:type="spellStart"/>
      <w:r w:rsidRPr="00401194">
        <w:t>Vuorikari</w:t>
      </w:r>
      <w:proofErr w:type="spellEnd"/>
      <w:r w:rsidRPr="00401194">
        <w:t xml:space="preserve"> et al. (2022) y contextualizada para operadores </w:t>
      </w:r>
      <w:r w:rsidRPr="00401194">
        <w:rPr>
          <w:i/>
        </w:rPr>
        <w:t>BPO</w:t>
      </w:r>
      <w:r w:rsidRPr="00401194">
        <w:t xml:space="preserve">. Consta de 10 ítems tipo Likert (1 = </w:t>
      </w:r>
      <w:r w:rsidRPr="00401194">
        <w:rPr>
          <w:rStyle w:val="nfasis"/>
          <w:rFonts w:eastAsiaTheme="majorEastAsia"/>
        </w:rPr>
        <w:t xml:space="preserve">Totalmente en </w:t>
      </w:r>
      <w:r w:rsidRPr="008B3E15">
        <w:rPr>
          <w:rStyle w:val="nfasis"/>
          <w:rFonts w:eastAsiaTheme="majorEastAsia"/>
          <w:color w:val="000000" w:themeColor="text1"/>
        </w:rPr>
        <w:t>desacuerdo</w:t>
      </w:r>
      <w:r w:rsidRPr="008B3E15">
        <w:rPr>
          <w:color w:val="000000" w:themeColor="text1"/>
        </w:rPr>
        <w:t xml:space="preserve">; 5 = </w:t>
      </w:r>
      <w:r w:rsidRPr="008B3E15">
        <w:rPr>
          <w:rStyle w:val="nfasis"/>
          <w:rFonts w:eastAsiaTheme="majorEastAsia"/>
          <w:color w:val="000000" w:themeColor="text1"/>
        </w:rPr>
        <w:t>Totalmente de acuerdo</w:t>
      </w:r>
      <w:r w:rsidRPr="008B3E15">
        <w:rPr>
          <w:color w:val="000000" w:themeColor="text1"/>
        </w:rPr>
        <w:t>).</w:t>
      </w:r>
    </w:p>
    <w:p w:rsidR="00D723C2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bookmarkStart w:id="4" w:name="_Toc227590372"/>
      <w:r w:rsidRPr="008B3E15">
        <w:rPr>
          <w:b/>
          <w:i w:val="0"/>
          <w:color w:val="000000" w:themeColor="text1"/>
          <w:sz w:val="24"/>
          <w:szCs w:val="24"/>
        </w:rPr>
        <w:t xml:space="preserve">Tabla 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begin"/>
      </w:r>
      <w:r w:rsidRPr="008B3E15">
        <w:rPr>
          <w:b/>
          <w:i w:val="0"/>
          <w:color w:val="000000" w:themeColor="text1"/>
          <w:sz w:val="24"/>
          <w:szCs w:val="24"/>
        </w:rPr>
        <w:instrText xml:space="preserve"> SEQ Tabla \* ARABIC </w:instrText>
      </w:r>
      <w:r w:rsidRPr="008B3E15">
        <w:rPr>
          <w:b/>
          <w:i w:val="0"/>
          <w:color w:val="000000" w:themeColor="text1"/>
          <w:sz w:val="24"/>
          <w:szCs w:val="24"/>
        </w:rPr>
        <w:fldChar w:fldCharType="separate"/>
      </w:r>
      <w:r>
        <w:rPr>
          <w:b/>
          <w:i w:val="0"/>
          <w:noProof/>
          <w:color w:val="000000" w:themeColor="text1"/>
          <w:sz w:val="24"/>
          <w:szCs w:val="24"/>
        </w:rPr>
        <w:t>7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end"/>
      </w:r>
    </w:p>
    <w:p w:rsidR="00D723C2" w:rsidRPr="008B3E15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r w:rsidRPr="008B3E15">
        <w:rPr>
          <w:color w:val="000000" w:themeColor="text1"/>
          <w:sz w:val="24"/>
          <w:szCs w:val="24"/>
        </w:rPr>
        <w:t>Escala de Competencias Digitales (CD)</w:t>
      </w:r>
      <w:bookmarkEnd w:id="4"/>
    </w:p>
    <w:tbl>
      <w:tblPr>
        <w:tblStyle w:val="APA7TAB"/>
        <w:tblW w:w="0" w:type="auto"/>
        <w:tblLook w:val="04A0" w:firstRow="1" w:lastRow="0" w:firstColumn="1" w:lastColumn="0" w:noHBand="0" w:noVBand="1"/>
      </w:tblPr>
      <w:tblGrid>
        <w:gridCol w:w="950"/>
        <w:gridCol w:w="7888"/>
      </w:tblGrid>
      <w:tr w:rsidR="00D723C2" w:rsidRPr="00401194" w:rsidTr="00300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</w:rPr>
              <w:lastRenderedPageBreak/>
              <w:t>Código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rPr>
                <w:b/>
              </w:rPr>
            </w:pPr>
            <w:r w:rsidRPr="006D75EF">
              <w:rPr>
                <w:b/>
              </w:rPr>
              <w:t>Ítem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  <w:rPr>
                <w:b/>
                <w:bCs/>
              </w:rPr>
            </w:pPr>
            <w:r w:rsidRPr="00401194">
              <w:t>CD1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Sé cómo resolver mis propios problemas técnicos (ej. reinicio de sesión, recuperación de contraseñas).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Puedo aprender nuevas tecnologías fácilmente (ej. adaptarme a actualizaciones del CRM sin asistencia prolongada).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CD3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Me mantengo actualizado(a) sobre las nuevas tecnologías importantes para mi trabajo.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CD4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Tengo conocimientos sobre diversas tecnologías utilizadas en el centro de contacto.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CD5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Poseo las habilidades técnicas necesarias para utilizar las TIC en la creación de reportes y actualización de bases de datos del cliente.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CD6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Tengo buenas habilidades en el uso de las TIC para gestionar simultáneamente llamadas, chat y correo electrónico.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CD7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Tengo confianza en mis habilidades para buscar y evaluar información técnica en la web (ej. bases de conocimiento de la empresa).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CD8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Estoy familiarizado(a) con temas relacionados con actividades en línea, como la ciberseguridad y la protección de datos del cliente.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CD9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Las TIC me permiten colaborar mejor con mis compañeros en la resolución de incidencias complejas.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CD10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Frecuentemente obtengo ayuda de mis compañeros para mis trabajos, o les proporciono ayuda, a través de herramientas digitales internas (chat, correo, foros).</w:t>
            </w:r>
          </w:p>
        </w:tc>
      </w:tr>
    </w:tbl>
    <w:p w:rsidR="00D723C2" w:rsidRPr="00860C3D" w:rsidRDefault="00D723C2" w:rsidP="00860C3D">
      <w:pPr>
        <w:ind w:firstLine="0"/>
        <w:jc w:val="both"/>
        <w:rPr>
          <w:sz w:val="20"/>
          <w:szCs w:val="20"/>
        </w:rPr>
      </w:pPr>
      <w:r w:rsidRPr="00860C3D">
        <w:rPr>
          <w:rStyle w:val="nfasis"/>
          <w:rFonts w:eastAsiaTheme="majorEastAsia"/>
          <w:sz w:val="20"/>
          <w:szCs w:val="20"/>
        </w:rPr>
        <w:t>Nota.</w:t>
      </w:r>
      <w:r w:rsidRPr="00860C3D">
        <w:rPr>
          <w:sz w:val="20"/>
          <w:szCs w:val="20"/>
        </w:rPr>
        <w:t xml:space="preserve"> Los ítems originales referentes a "wikis, blogs, Facebook" se adaptaron </w:t>
      </w:r>
      <w:bookmarkStart w:id="5" w:name="_GoBack"/>
      <w:r w:rsidRPr="00860C3D">
        <w:rPr>
          <w:sz w:val="20"/>
          <w:szCs w:val="20"/>
        </w:rPr>
        <w:t xml:space="preserve">a "reportes, bases de datos, herramientas digitales internas" tras la prueba piloto cognitiva para ajustarlos al contexto </w:t>
      </w:r>
      <w:bookmarkEnd w:id="5"/>
      <w:r w:rsidRPr="00860C3D">
        <w:rPr>
          <w:sz w:val="20"/>
          <w:szCs w:val="20"/>
        </w:rPr>
        <w:t xml:space="preserve">corporativo </w:t>
      </w:r>
      <w:r w:rsidRPr="00860C3D">
        <w:rPr>
          <w:i/>
          <w:sz w:val="20"/>
          <w:szCs w:val="20"/>
        </w:rPr>
        <w:t>BPO</w:t>
      </w:r>
      <w:r w:rsidRPr="00860C3D">
        <w:rPr>
          <w:sz w:val="20"/>
          <w:szCs w:val="20"/>
        </w:rPr>
        <w:t>.</w:t>
      </w:r>
    </w:p>
    <w:p w:rsidR="00D723C2" w:rsidRPr="00401194" w:rsidRDefault="00D723C2" w:rsidP="00D723C2">
      <w:pPr>
        <w:rPr>
          <w:rStyle w:val="nfasis"/>
          <w:rFonts w:eastAsiaTheme="majorEastAsia"/>
        </w:rPr>
      </w:pPr>
    </w:p>
    <w:p w:rsidR="00D723C2" w:rsidRDefault="00D723C2" w:rsidP="00D723C2">
      <w:pPr>
        <w:ind w:firstLine="0"/>
      </w:pPr>
      <w:r w:rsidRPr="00401194">
        <w:rPr>
          <w:rStyle w:val="nfasis"/>
          <w:rFonts w:eastAsiaTheme="majorEastAsia"/>
        </w:rPr>
        <w:t>B.2 Escala de Autoeficacia Digital (AD)</w:t>
      </w:r>
      <w:r w:rsidRPr="00401194">
        <w:t xml:space="preserve"> Adaptada de </w:t>
      </w:r>
      <w:proofErr w:type="spellStart"/>
      <w:r w:rsidRPr="00401194">
        <w:t>Tams</w:t>
      </w:r>
      <w:proofErr w:type="spellEnd"/>
      <w:r w:rsidRPr="00401194">
        <w:t xml:space="preserve"> et al. (2018). Mide la confianza percibida en el manejo de tecnologías laborales frente a interrupciones y problemas técnicos. Escala Likert 1–5.</w:t>
      </w:r>
    </w:p>
    <w:p w:rsidR="00D723C2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bookmarkStart w:id="6" w:name="_Toc227590373"/>
      <w:r w:rsidRPr="008B3E15">
        <w:rPr>
          <w:b/>
          <w:i w:val="0"/>
          <w:color w:val="000000" w:themeColor="text1"/>
          <w:sz w:val="24"/>
          <w:szCs w:val="24"/>
        </w:rPr>
        <w:t xml:space="preserve">Tabla 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begin"/>
      </w:r>
      <w:r w:rsidRPr="008B3E15">
        <w:rPr>
          <w:b/>
          <w:i w:val="0"/>
          <w:color w:val="000000" w:themeColor="text1"/>
          <w:sz w:val="24"/>
          <w:szCs w:val="24"/>
        </w:rPr>
        <w:instrText xml:space="preserve"> SEQ Tabla \* ARABIC </w:instrText>
      </w:r>
      <w:r w:rsidRPr="008B3E15">
        <w:rPr>
          <w:b/>
          <w:i w:val="0"/>
          <w:color w:val="000000" w:themeColor="text1"/>
          <w:sz w:val="24"/>
          <w:szCs w:val="24"/>
        </w:rPr>
        <w:fldChar w:fldCharType="separate"/>
      </w:r>
      <w:r>
        <w:rPr>
          <w:b/>
          <w:i w:val="0"/>
          <w:noProof/>
          <w:color w:val="000000" w:themeColor="text1"/>
          <w:sz w:val="24"/>
          <w:szCs w:val="24"/>
        </w:rPr>
        <w:t>8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end"/>
      </w:r>
    </w:p>
    <w:p w:rsidR="00D723C2" w:rsidRPr="008B3E15" w:rsidRDefault="00D723C2" w:rsidP="00D723C2">
      <w:pPr>
        <w:pStyle w:val="Descripcin"/>
        <w:ind w:firstLine="0"/>
        <w:rPr>
          <w:b/>
          <w:i w:val="0"/>
          <w:color w:val="000000" w:themeColor="text1"/>
          <w:sz w:val="24"/>
          <w:szCs w:val="24"/>
        </w:rPr>
      </w:pPr>
      <w:r w:rsidRPr="008B3E15">
        <w:rPr>
          <w:color w:val="000000" w:themeColor="text1"/>
          <w:sz w:val="24"/>
          <w:szCs w:val="24"/>
        </w:rPr>
        <w:t>Escala de Autoeficacia Digital (AD)</w:t>
      </w:r>
      <w:bookmarkEnd w:id="6"/>
    </w:p>
    <w:tbl>
      <w:tblPr>
        <w:tblStyle w:val="APA7TAB"/>
        <w:tblW w:w="0" w:type="auto"/>
        <w:tblLook w:val="04A0" w:firstRow="1" w:lastRow="0" w:firstColumn="1" w:lastColumn="0" w:noHBand="0" w:noVBand="1"/>
      </w:tblPr>
      <w:tblGrid>
        <w:gridCol w:w="950"/>
        <w:gridCol w:w="7888"/>
      </w:tblGrid>
      <w:tr w:rsidR="00D723C2" w:rsidRPr="00401194" w:rsidTr="00300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</w:rPr>
              <w:t>Código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rPr>
                <w:b/>
              </w:rPr>
            </w:pPr>
            <w:r w:rsidRPr="006D75EF">
              <w:rPr>
                <w:b/>
              </w:rPr>
              <w:t>Ítem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  <w:rPr>
                <w:b/>
                <w:bCs/>
              </w:rPr>
            </w:pPr>
            <w:r w:rsidRPr="00401194">
              <w:t>AD1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Tengo confianza en mi capacidad para usar herramientas digitales incluso cuando aparecen mensajes de error o fallas técnicas.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AD2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Me siento capaz de resolver problemas técnicos inesperados durante una interacción con el cliente sin perder la calidad del servicio.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AD3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Confío en mi habilidad para aprender a usar nuevas funcionalidades del software de trabajo con rapidez.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AD4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Puedo mantener la concentración en la tarea principal incluso cuando múltiples notificaciones digitales compiten por mi atención.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AD5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Me siento seguro(a) de mi capacidad para evaluar si la información técnica encontrada en manuales digitales es confiable y aplicable.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AD6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Tengo confianza en que puedo dominar nuevas tecnologías de trabajo tan bien como mis compañeros más experimentados.</w:t>
            </w:r>
          </w:p>
        </w:tc>
      </w:tr>
    </w:tbl>
    <w:p w:rsidR="00D723C2" w:rsidRPr="00401194" w:rsidRDefault="00D723C2" w:rsidP="00D723C2">
      <w:pPr>
        <w:ind w:firstLine="0"/>
      </w:pPr>
    </w:p>
    <w:p w:rsidR="00D723C2" w:rsidRDefault="00D723C2" w:rsidP="00D723C2">
      <w:r w:rsidRPr="00401194">
        <w:rPr>
          <w:rStyle w:val="nfasis"/>
          <w:rFonts w:eastAsiaTheme="majorEastAsia"/>
        </w:rPr>
        <w:t>B.3 Escala de Desempeño en la Tarea (DT)</w:t>
      </w:r>
      <w:r w:rsidRPr="00401194">
        <w:t xml:space="preserve"> Adaptada de </w:t>
      </w:r>
      <w:proofErr w:type="spellStart"/>
      <w:r w:rsidRPr="00401194">
        <w:t>Borman</w:t>
      </w:r>
      <w:proofErr w:type="spellEnd"/>
      <w:r w:rsidRPr="00401194">
        <w:t xml:space="preserve"> &amp; </w:t>
      </w:r>
      <w:proofErr w:type="spellStart"/>
      <w:r w:rsidRPr="00401194">
        <w:t>Motowidlo</w:t>
      </w:r>
      <w:proofErr w:type="spellEnd"/>
      <w:r w:rsidRPr="00401194">
        <w:t xml:space="preserve"> (1997). Escala Likert 1–5.</w:t>
      </w:r>
    </w:p>
    <w:p w:rsidR="00D723C2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bookmarkStart w:id="7" w:name="_Toc227590374"/>
      <w:r w:rsidRPr="008B3E15">
        <w:rPr>
          <w:b/>
          <w:i w:val="0"/>
          <w:color w:val="000000" w:themeColor="text1"/>
          <w:sz w:val="24"/>
          <w:szCs w:val="24"/>
        </w:rPr>
        <w:t xml:space="preserve">Tabla 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begin"/>
      </w:r>
      <w:r w:rsidRPr="008B3E15">
        <w:rPr>
          <w:b/>
          <w:i w:val="0"/>
          <w:color w:val="000000" w:themeColor="text1"/>
          <w:sz w:val="24"/>
          <w:szCs w:val="24"/>
        </w:rPr>
        <w:instrText xml:space="preserve"> SEQ Tabla \* ARABIC </w:instrText>
      </w:r>
      <w:r w:rsidRPr="008B3E15">
        <w:rPr>
          <w:b/>
          <w:i w:val="0"/>
          <w:color w:val="000000" w:themeColor="text1"/>
          <w:sz w:val="24"/>
          <w:szCs w:val="24"/>
        </w:rPr>
        <w:fldChar w:fldCharType="separate"/>
      </w:r>
      <w:r>
        <w:rPr>
          <w:b/>
          <w:i w:val="0"/>
          <w:noProof/>
          <w:color w:val="000000" w:themeColor="text1"/>
          <w:sz w:val="24"/>
          <w:szCs w:val="24"/>
        </w:rPr>
        <w:t>9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end"/>
      </w:r>
    </w:p>
    <w:p w:rsidR="00D723C2" w:rsidRPr="008B3E15" w:rsidRDefault="00D723C2" w:rsidP="00D723C2">
      <w:pPr>
        <w:pStyle w:val="Descripcin"/>
        <w:ind w:firstLine="0"/>
        <w:rPr>
          <w:b/>
          <w:i w:val="0"/>
          <w:color w:val="000000" w:themeColor="text1"/>
          <w:sz w:val="24"/>
          <w:szCs w:val="24"/>
        </w:rPr>
      </w:pPr>
      <w:r w:rsidRPr="008B3E15">
        <w:rPr>
          <w:color w:val="000000" w:themeColor="text1"/>
          <w:sz w:val="24"/>
          <w:szCs w:val="24"/>
        </w:rPr>
        <w:t>Escala de Desempeño en la Tarea (DT)</w:t>
      </w:r>
      <w:bookmarkEnd w:id="7"/>
    </w:p>
    <w:tbl>
      <w:tblPr>
        <w:tblStyle w:val="APA7TAB"/>
        <w:tblW w:w="0" w:type="auto"/>
        <w:tblLook w:val="04A0" w:firstRow="1" w:lastRow="0" w:firstColumn="1" w:lastColumn="0" w:noHBand="0" w:noVBand="1"/>
      </w:tblPr>
      <w:tblGrid>
        <w:gridCol w:w="950"/>
        <w:gridCol w:w="7888"/>
      </w:tblGrid>
      <w:tr w:rsidR="00D723C2" w:rsidRPr="00401194" w:rsidTr="00300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  <w:bCs/>
              </w:rPr>
              <w:lastRenderedPageBreak/>
              <w:t>Código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rPr>
                <w:b/>
                <w:bCs/>
              </w:rPr>
            </w:pPr>
            <w:r w:rsidRPr="006D75EF">
              <w:rPr>
                <w:b/>
                <w:bCs/>
              </w:rPr>
              <w:t>Ítem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  <w:rPr>
                <w:b/>
                <w:bCs/>
              </w:rPr>
            </w:pPr>
            <w:r w:rsidRPr="00401194">
              <w:t>DT1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Tengo las competencias que mi trabajo requiere para operar los sistemas digitales eficientemente.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DT2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Trabajo eficaz y eficientemente utilizando las herramientas tecnológicas disponibles.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DT3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Comprendo y realizo los procedimientos digitales relacionados con el trabajo (registros en CRM, protocolos de seguridad).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DT4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Soy competente en todas las áreas técnicas relacionadas con mi trabajo (manejo de múltiples plataformas).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DT5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Trabajo de manera planificada y organizada para completar la tarea asignada en su totalidad y a tiempo (cumplimiento de AHT).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DT6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Estoy dispuesto(a) a adquirir nuevas habilidades tecnológicas relacionadas con mi trabajo.</w:t>
            </w:r>
          </w:p>
        </w:tc>
      </w:tr>
    </w:tbl>
    <w:p w:rsidR="00D723C2" w:rsidRPr="00401194" w:rsidRDefault="00D723C2" w:rsidP="00D723C2">
      <w:pPr>
        <w:ind w:firstLine="0"/>
      </w:pPr>
    </w:p>
    <w:p w:rsidR="00D723C2" w:rsidRDefault="00D723C2" w:rsidP="00D723C2">
      <w:r w:rsidRPr="00401194">
        <w:rPr>
          <w:rStyle w:val="nfasis"/>
          <w:rFonts w:eastAsiaTheme="majorEastAsia"/>
        </w:rPr>
        <w:t>B.4 Escala de Desempeño Contextual (DC)</w:t>
      </w:r>
      <w:r w:rsidRPr="00401194">
        <w:t xml:space="preserve"> Adaptada de </w:t>
      </w:r>
      <w:proofErr w:type="spellStart"/>
      <w:r w:rsidRPr="00401194">
        <w:t>Borman</w:t>
      </w:r>
      <w:proofErr w:type="spellEnd"/>
      <w:r w:rsidRPr="00401194">
        <w:t xml:space="preserve"> &amp; </w:t>
      </w:r>
      <w:proofErr w:type="spellStart"/>
      <w:r w:rsidRPr="00401194">
        <w:t>Motowidlo</w:t>
      </w:r>
      <w:proofErr w:type="spellEnd"/>
      <w:r w:rsidRPr="00401194">
        <w:t xml:space="preserve"> (1997) y </w:t>
      </w:r>
      <w:proofErr w:type="spellStart"/>
      <w:r w:rsidRPr="00401194">
        <w:t>Organ</w:t>
      </w:r>
      <w:proofErr w:type="spellEnd"/>
      <w:r w:rsidRPr="00401194">
        <w:t xml:space="preserve"> (1988). Escala Likert 1–5.</w:t>
      </w:r>
    </w:p>
    <w:p w:rsidR="00D723C2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bookmarkStart w:id="8" w:name="_Toc227590375"/>
      <w:r w:rsidRPr="008B3E15">
        <w:rPr>
          <w:b/>
          <w:i w:val="0"/>
          <w:color w:val="000000" w:themeColor="text1"/>
          <w:sz w:val="24"/>
          <w:szCs w:val="24"/>
        </w:rPr>
        <w:t xml:space="preserve">Tabla 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begin"/>
      </w:r>
      <w:r w:rsidRPr="008B3E15">
        <w:rPr>
          <w:b/>
          <w:i w:val="0"/>
          <w:color w:val="000000" w:themeColor="text1"/>
          <w:sz w:val="24"/>
          <w:szCs w:val="24"/>
        </w:rPr>
        <w:instrText xml:space="preserve"> SEQ Tabla \* ARABIC </w:instrText>
      </w:r>
      <w:r w:rsidRPr="008B3E15">
        <w:rPr>
          <w:b/>
          <w:i w:val="0"/>
          <w:color w:val="000000" w:themeColor="text1"/>
          <w:sz w:val="24"/>
          <w:szCs w:val="24"/>
        </w:rPr>
        <w:fldChar w:fldCharType="separate"/>
      </w:r>
      <w:r>
        <w:rPr>
          <w:b/>
          <w:i w:val="0"/>
          <w:noProof/>
          <w:color w:val="000000" w:themeColor="text1"/>
          <w:sz w:val="24"/>
          <w:szCs w:val="24"/>
        </w:rPr>
        <w:t>10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end"/>
      </w:r>
    </w:p>
    <w:p w:rsidR="00D723C2" w:rsidRPr="008B3E15" w:rsidRDefault="00D723C2" w:rsidP="00D723C2">
      <w:pPr>
        <w:pStyle w:val="Descripcin"/>
        <w:ind w:firstLine="0"/>
        <w:rPr>
          <w:b/>
          <w:i w:val="0"/>
          <w:color w:val="000000" w:themeColor="text1"/>
          <w:sz w:val="24"/>
          <w:szCs w:val="24"/>
        </w:rPr>
      </w:pPr>
      <w:r w:rsidRPr="008B3E15">
        <w:rPr>
          <w:color w:val="000000" w:themeColor="text1"/>
          <w:sz w:val="24"/>
          <w:szCs w:val="24"/>
        </w:rPr>
        <w:t>Escala de Desempeño Contextual (DC)</w:t>
      </w:r>
      <w:bookmarkEnd w:id="8"/>
    </w:p>
    <w:tbl>
      <w:tblPr>
        <w:tblStyle w:val="APA7TAB"/>
        <w:tblW w:w="0" w:type="auto"/>
        <w:tblLook w:val="04A0" w:firstRow="1" w:lastRow="0" w:firstColumn="1" w:lastColumn="0" w:noHBand="0" w:noVBand="1"/>
      </w:tblPr>
      <w:tblGrid>
        <w:gridCol w:w="950"/>
        <w:gridCol w:w="7888"/>
      </w:tblGrid>
      <w:tr w:rsidR="00D723C2" w:rsidRPr="00401194" w:rsidTr="00300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  <w:bCs/>
              </w:rPr>
              <w:t>Código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rPr>
                <w:b/>
                <w:bCs/>
              </w:rPr>
            </w:pPr>
            <w:r w:rsidRPr="006D75EF">
              <w:rPr>
                <w:b/>
                <w:bCs/>
              </w:rPr>
              <w:t>Ítem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  <w:rPr>
                <w:b/>
                <w:bCs/>
              </w:rPr>
            </w:pPr>
            <w:r w:rsidRPr="00401194">
              <w:t>DC1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Pongo especial cuidado y asumo responsabilidades adicionales mientras realizo mi trabajo (ej. revisar documentación extra para ayudar a un cliente).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DC2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Contribuyo a la creación de un ambiente laboral positivo en mi organización, incluso en interacciones mediadas digitalmente.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lastRenderedPageBreak/>
              <w:t>DC3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Si encuentro una situación técnica que impide realizar una tarea, intento solucionarla antes de escalarla (proactividad técnica).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DC4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Ayudo y animo a mis compañeros a completar su trabajo, compartiendo conocimientos técnicos cuando ellos tienen dificultades.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DC5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Aunque haya críticas dentro o fuera de la organización, defiendo las decisiones técnicas y operativas de mi equipo de trabajo.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jc w:val="center"/>
            </w:pPr>
            <w:r w:rsidRPr="00401194">
              <w:t>DC6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Me siento orgulloso(a) de formar parte de esta organización y representarla positivamente en canales digitales internos.</w:t>
            </w:r>
          </w:p>
        </w:tc>
      </w:tr>
    </w:tbl>
    <w:p w:rsidR="00D723C2" w:rsidRPr="00401194" w:rsidRDefault="00D723C2" w:rsidP="00D723C2">
      <w:pPr>
        <w:pStyle w:val="Ttulo2"/>
      </w:pPr>
    </w:p>
    <w:p w:rsidR="00D723C2" w:rsidRPr="00401194" w:rsidRDefault="00D723C2" w:rsidP="00D723C2">
      <w:pPr>
        <w:pStyle w:val="Ttulo2"/>
      </w:pPr>
    </w:p>
    <w:p w:rsidR="00D723C2" w:rsidRDefault="00D723C2" w:rsidP="00D723C2">
      <w:pPr>
        <w:pStyle w:val="Ttulo2"/>
      </w:pPr>
      <w:bookmarkStart w:id="9" w:name="_Toc227591268"/>
      <w:r w:rsidRPr="00401194">
        <w:t>Anexo C</w:t>
      </w:r>
      <w:bookmarkEnd w:id="9"/>
    </w:p>
    <w:p w:rsidR="00D723C2" w:rsidRPr="00EB1648" w:rsidRDefault="00D723C2" w:rsidP="00D723C2">
      <w:pPr>
        <w:pStyle w:val="Ttulo3"/>
      </w:pPr>
      <w:bookmarkStart w:id="10" w:name="_Toc227591269"/>
      <w:r>
        <w:t>Caracterización</w:t>
      </w:r>
      <w:r w:rsidRPr="00EB1648">
        <w:rPr>
          <w:rStyle w:val="Textoennegrita"/>
          <w:i w:val="0"/>
        </w:rPr>
        <w:t xml:space="preserve"> </w:t>
      </w:r>
      <w:r w:rsidRPr="00EB1648">
        <w:t>Técnica del Contexto Organizacional</w:t>
      </w:r>
      <w:bookmarkEnd w:id="10"/>
    </w:p>
    <w:p w:rsidR="00D723C2" w:rsidRPr="00782926" w:rsidRDefault="00D723C2" w:rsidP="00D723C2">
      <w:r w:rsidRPr="00401194">
        <w:t xml:space="preserve">Se detallan las especificaciones técnicas del contact center objeto de estudio (datos </w:t>
      </w:r>
      <w:r w:rsidRPr="00782926">
        <w:t>recolectados en marzo de 2025):</w:t>
      </w:r>
    </w:p>
    <w:p w:rsidR="00D723C2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bookmarkStart w:id="11" w:name="_Toc227590376"/>
      <w:r w:rsidRPr="008B3E15">
        <w:rPr>
          <w:b/>
          <w:i w:val="0"/>
          <w:color w:val="000000" w:themeColor="text1"/>
          <w:sz w:val="24"/>
          <w:szCs w:val="24"/>
        </w:rPr>
        <w:t xml:space="preserve">Tabla 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begin"/>
      </w:r>
      <w:r w:rsidRPr="008B3E15">
        <w:rPr>
          <w:b/>
          <w:i w:val="0"/>
          <w:color w:val="000000" w:themeColor="text1"/>
          <w:sz w:val="24"/>
          <w:szCs w:val="24"/>
        </w:rPr>
        <w:instrText xml:space="preserve"> SEQ Tabla \* ARABIC </w:instrText>
      </w:r>
      <w:r w:rsidRPr="008B3E15">
        <w:rPr>
          <w:b/>
          <w:i w:val="0"/>
          <w:color w:val="000000" w:themeColor="text1"/>
          <w:sz w:val="24"/>
          <w:szCs w:val="24"/>
        </w:rPr>
        <w:fldChar w:fldCharType="separate"/>
      </w:r>
      <w:r>
        <w:rPr>
          <w:b/>
          <w:i w:val="0"/>
          <w:noProof/>
          <w:color w:val="000000" w:themeColor="text1"/>
          <w:sz w:val="24"/>
          <w:szCs w:val="24"/>
        </w:rPr>
        <w:t>11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end"/>
      </w:r>
    </w:p>
    <w:p w:rsidR="00D723C2" w:rsidRPr="008B3E15" w:rsidRDefault="00D723C2" w:rsidP="00D723C2">
      <w:pPr>
        <w:pStyle w:val="Descripcin"/>
        <w:ind w:firstLine="0"/>
        <w:rPr>
          <w:b/>
          <w:i w:val="0"/>
          <w:color w:val="000000" w:themeColor="text1"/>
          <w:sz w:val="24"/>
          <w:szCs w:val="24"/>
        </w:rPr>
      </w:pPr>
      <w:r w:rsidRPr="008B3E15">
        <w:rPr>
          <w:color w:val="000000" w:themeColor="text1"/>
          <w:sz w:val="24"/>
          <w:szCs w:val="24"/>
        </w:rPr>
        <w:t>Caracterización Técnica del Contexto Organizacional</w:t>
      </w:r>
      <w:bookmarkEnd w:id="11"/>
    </w:p>
    <w:tbl>
      <w:tblPr>
        <w:tblStyle w:val="APA7TAB"/>
        <w:tblW w:w="0" w:type="auto"/>
        <w:tblLook w:val="04A0" w:firstRow="1" w:lastRow="0" w:firstColumn="1" w:lastColumn="0" w:noHBand="0" w:noVBand="1"/>
      </w:tblPr>
      <w:tblGrid>
        <w:gridCol w:w="2509"/>
        <w:gridCol w:w="6329"/>
      </w:tblGrid>
      <w:tr w:rsidR="00D723C2" w:rsidRPr="00401194" w:rsidTr="00300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hideMark/>
          </w:tcPr>
          <w:p w:rsidR="00D723C2" w:rsidRPr="006D75EF" w:rsidRDefault="00D723C2" w:rsidP="003004D4">
            <w:pPr>
              <w:rPr>
                <w:b/>
              </w:rPr>
            </w:pPr>
            <w:r w:rsidRPr="006D75EF">
              <w:rPr>
                <w:b/>
              </w:rPr>
              <w:t>Dimensión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rPr>
                <w:b/>
              </w:rPr>
            </w:pPr>
            <w:r w:rsidRPr="006D75EF">
              <w:rPr>
                <w:b/>
              </w:rPr>
              <w:t>Especificación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rPr>
                <w:b/>
                <w:bCs/>
              </w:rPr>
            </w:pPr>
            <w:r w:rsidRPr="00401194">
              <w:rPr>
                <w:rStyle w:val="Textoennegrita"/>
                <w:rFonts w:eastAsiaTheme="majorEastAsia"/>
              </w:rPr>
              <w:t>Sector de servicio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nfasis"/>
                <w:rFonts w:eastAsiaTheme="majorEastAsia"/>
              </w:rPr>
              <w:t xml:space="preserve">Business </w:t>
            </w:r>
            <w:proofErr w:type="spellStart"/>
            <w:r w:rsidRPr="00401194">
              <w:rPr>
                <w:rStyle w:val="nfasis"/>
                <w:rFonts w:eastAsiaTheme="majorEastAsia"/>
              </w:rPr>
              <w:t>Process</w:t>
            </w:r>
            <w:proofErr w:type="spellEnd"/>
            <w:r w:rsidRPr="00401194">
              <w:rPr>
                <w:rStyle w:val="nfasis"/>
                <w:rFonts w:eastAsiaTheme="majorEastAsia"/>
              </w:rPr>
              <w:t xml:space="preserve"> </w:t>
            </w:r>
            <w:proofErr w:type="spellStart"/>
            <w:r w:rsidRPr="00401194">
              <w:rPr>
                <w:rStyle w:val="nfasis"/>
                <w:rFonts w:eastAsiaTheme="majorEastAsia"/>
              </w:rPr>
              <w:t>Outsourcing</w:t>
            </w:r>
            <w:proofErr w:type="spellEnd"/>
            <w:r w:rsidRPr="00401194">
              <w:t xml:space="preserve"> (BPO) para sector financiero (banca correspondiente y gestión de cartera)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Ubicación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Manizales, Caldas, Colombia (zona urbana central)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Personal total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142 operadores activos (periodo de estudio)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Muestra efectiva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123 operadores (86.6 % de tasa de respuesta)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Software principal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 xml:space="preserve">CRM </w:t>
            </w:r>
            <w:proofErr w:type="spellStart"/>
            <w:r w:rsidRPr="00401194">
              <w:t>Salesforce</w:t>
            </w:r>
            <w:proofErr w:type="spellEnd"/>
            <w:r w:rsidRPr="00401194">
              <w:t xml:space="preserve"> </w:t>
            </w:r>
            <w:proofErr w:type="spellStart"/>
            <w:r w:rsidRPr="00401194">
              <w:t>Financial</w:t>
            </w:r>
            <w:proofErr w:type="spellEnd"/>
            <w:r w:rsidRPr="00401194">
              <w:t xml:space="preserve"> </w:t>
            </w:r>
            <w:proofErr w:type="spellStart"/>
            <w:r w:rsidRPr="00401194">
              <w:t>Services</w:t>
            </w:r>
            <w:proofErr w:type="spellEnd"/>
            <w:r w:rsidRPr="00401194">
              <w:t xml:space="preserve"> Cloud (versión Enterprise)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lastRenderedPageBreak/>
              <w:t>Arquitectura tecnológica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 xml:space="preserve">Telefonía IP </w:t>
            </w:r>
            <w:proofErr w:type="spellStart"/>
            <w:r w:rsidRPr="00401194">
              <w:t>Avaya</w:t>
            </w:r>
            <w:proofErr w:type="spellEnd"/>
            <w:r w:rsidRPr="00401194">
              <w:t xml:space="preserve"> Aura, Chat interno Microsoft </w:t>
            </w:r>
            <w:proofErr w:type="spellStart"/>
            <w:r w:rsidRPr="00401194">
              <w:t>Teams</w:t>
            </w:r>
            <w:proofErr w:type="spellEnd"/>
            <w:r w:rsidRPr="00401194">
              <w:t xml:space="preserve">, Sistema de tickets </w:t>
            </w:r>
            <w:proofErr w:type="spellStart"/>
            <w:r w:rsidRPr="00401194">
              <w:t>ServiceNow</w:t>
            </w:r>
            <w:proofErr w:type="spellEnd"/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Métricas de desempeño objetivas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AHT (Tiempo Promedio de Manejo): meta &lt; 5 minutos; FCR (Resolución en Primer Contacto): meta &gt; 80 %; CSAT (Satisfacción del Cliente): meta &gt; 4.2/5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Protocolos de seguridad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Cumplimiento normativo PCI-DSS para manejo de datos financieros; autenticación de doble factor; registro de auditoría de todas las transacciones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Estructura contractual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 xml:space="preserve">78 % contratos a término indefinido; 22 % contratos fijos u </w:t>
            </w:r>
            <w:proofErr w:type="spellStart"/>
            <w:r w:rsidRPr="00401194">
              <w:t>outsourcing</w:t>
            </w:r>
            <w:proofErr w:type="spellEnd"/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Antigüedad promedio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18 meses (DE = 8.4)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Rotación anual reportada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 xml:space="preserve">35 % (inferior al promedio sectorial colombiano de 45 % según </w:t>
            </w:r>
            <w:proofErr w:type="spellStart"/>
            <w:r w:rsidRPr="00401194">
              <w:t>MinTrabajo</w:t>
            </w:r>
            <w:proofErr w:type="spellEnd"/>
            <w:r w:rsidRPr="00401194">
              <w:t>, 2023)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Jornada laboral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8 horas diarias, rotativas (incluye fines de semana), con 2 descansos de 15 minutos y 1 hora para almuerzo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rPr>
                <w:rStyle w:val="Textoennegrita"/>
                <w:rFonts w:eastAsiaTheme="majorEastAsia"/>
              </w:rPr>
              <w:t>Programas de capacitación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 xml:space="preserve">Inducción técnica de 3 semanas; actualizaciones trimestrales de software; </w:t>
            </w:r>
            <w:r w:rsidRPr="00401194">
              <w:rPr>
                <w:rStyle w:val="nfasis"/>
                <w:rFonts w:eastAsiaTheme="majorEastAsia"/>
              </w:rPr>
              <w:t>e-</w:t>
            </w:r>
            <w:proofErr w:type="spellStart"/>
            <w:r w:rsidRPr="00401194">
              <w:rPr>
                <w:rStyle w:val="nfasis"/>
                <w:rFonts w:eastAsiaTheme="majorEastAsia"/>
              </w:rPr>
              <w:t>learning</w:t>
            </w:r>
            <w:proofErr w:type="spellEnd"/>
            <w:r w:rsidRPr="00401194">
              <w:t xml:space="preserve"> obligatorio mensual sobre ciberseguridad (promedio 2 horas/mes)</w:t>
            </w:r>
          </w:p>
        </w:tc>
      </w:tr>
    </w:tbl>
    <w:p w:rsidR="00D723C2" w:rsidRPr="00401194" w:rsidRDefault="00D723C2" w:rsidP="00D723C2">
      <w:pPr>
        <w:ind w:firstLine="0"/>
      </w:pPr>
    </w:p>
    <w:p w:rsidR="00D723C2" w:rsidRPr="00401194" w:rsidRDefault="00D723C2" w:rsidP="00D723C2"/>
    <w:p w:rsidR="00D723C2" w:rsidRDefault="00D723C2" w:rsidP="00D723C2">
      <w:pPr>
        <w:pStyle w:val="Ttulo2"/>
      </w:pPr>
      <w:bookmarkStart w:id="12" w:name="_Toc227591270"/>
      <w:bookmarkStart w:id="13" w:name="_Toc226802941"/>
      <w:bookmarkStart w:id="14" w:name="_Toc226804285"/>
      <w:r w:rsidRPr="00401194">
        <w:t>Anexo E</w:t>
      </w:r>
      <w:bookmarkEnd w:id="12"/>
    </w:p>
    <w:p w:rsidR="00D723C2" w:rsidRPr="00EB1648" w:rsidRDefault="00D723C2" w:rsidP="00D723C2">
      <w:pPr>
        <w:pStyle w:val="Ttulo3"/>
      </w:pPr>
      <w:bookmarkStart w:id="15" w:name="_Toc227591271"/>
      <w:r>
        <w:t>Resultados</w:t>
      </w:r>
      <w:r w:rsidRPr="00EB1648">
        <w:rPr>
          <w:rStyle w:val="Textoennegrita"/>
          <w:i w:val="0"/>
        </w:rPr>
        <w:t xml:space="preserve"> </w:t>
      </w:r>
      <w:r w:rsidRPr="00EB1648">
        <w:t>Técnicos Complementarios del Modelamiento PLS-SEM</w:t>
      </w:r>
      <w:bookmarkEnd w:id="15"/>
    </w:p>
    <w:bookmarkEnd w:id="13"/>
    <w:bookmarkEnd w:id="14"/>
    <w:p w:rsidR="00D723C2" w:rsidRPr="00401194" w:rsidRDefault="00D723C2" w:rsidP="00D723C2">
      <w:r w:rsidRPr="00401194">
        <w:rPr>
          <w:rStyle w:val="nfasis"/>
          <w:rFonts w:eastAsiaTheme="majorEastAsia"/>
        </w:rPr>
        <w:t xml:space="preserve">E.1 Evaluación de </w:t>
      </w:r>
      <w:proofErr w:type="spellStart"/>
      <w:r w:rsidRPr="00401194">
        <w:rPr>
          <w:rStyle w:val="nfasis"/>
          <w:rFonts w:eastAsiaTheme="majorEastAsia"/>
        </w:rPr>
        <w:t>colinealidad</w:t>
      </w:r>
      <w:proofErr w:type="spellEnd"/>
      <w:r w:rsidRPr="00401194">
        <w:rPr>
          <w:rStyle w:val="nfasis"/>
          <w:rFonts w:eastAsiaTheme="majorEastAsia"/>
        </w:rPr>
        <w:t xml:space="preserve"> completa (CMV).</w:t>
      </w:r>
      <w:r w:rsidRPr="00401194">
        <w:t xml:space="preserve"> Se aplicó el criterio de </w:t>
      </w:r>
      <w:proofErr w:type="spellStart"/>
      <w:r w:rsidRPr="00401194">
        <w:t>Kock</w:t>
      </w:r>
      <w:proofErr w:type="spellEnd"/>
      <w:r w:rsidRPr="00401194">
        <w:t xml:space="preserve"> (2015) mediante el cálculo del </w:t>
      </w:r>
      <w:proofErr w:type="spellStart"/>
      <w:r w:rsidRPr="00401194">
        <w:t>Variance</w:t>
      </w:r>
      <w:proofErr w:type="spellEnd"/>
      <w:r w:rsidRPr="00401194">
        <w:t xml:space="preserve"> </w:t>
      </w:r>
      <w:proofErr w:type="spellStart"/>
      <w:r w:rsidRPr="00401194">
        <w:t>Inflation</w:t>
      </w:r>
      <w:proofErr w:type="spellEnd"/>
      <w:r w:rsidRPr="00401194">
        <w:t xml:space="preserve"> Factor (VIF) de </w:t>
      </w:r>
      <w:proofErr w:type="spellStart"/>
      <w:r w:rsidRPr="00401194">
        <w:t>colinealidad</w:t>
      </w:r>
      <w:proofErr w:type="spellEnd"/>
      <w:r w:rsidRPr="00401194">
        <w:t xml:space="preserve"> completa en </w:t>
      </w:r>
      <w:proofErr w:type="spellStart"/>
      <w:r w:rsidRPr="00401194">
        <w:lastRenderedPageBreak/>
        <w:t>SmartPLS</w:t>
      </w:r>
      <w:proofErr w:type="spellEnd"/>
      <w:r w:rsidRPr="00401194">
        <w:t xml:space="preserve"> 4.1. Los valores obtenidos para todos los constructos (CD: 1.84; AD: 2.15; DT: 2.34; DC: 2.87) se situaron por debajo del umbral conservador de 3.3, indicando ausencia de sesgo de método común problemático.</w:t>
      </w:r>
    </w:p>
    <w:p w:rsidR="00D723C2" w:rsidRPr="00401194" w:rsidRDefault="00D723C2" w:rsidP="00D723C2">
      <w:r w:rsidRPr="00401194">
        <w:rPr>
          <w:rStyle w:val="nfasis"/>
          <w:rFonts w:eastAsiaTheme="majorEastAsia"/>
        </w:rPr>
        <w:t>E.2 Matriz de correlaciones entre ítems (</w:t>
      </w:r>
      <w:proofErr w:type="spellStart"/>
      <w:r w:rsidRPr="00401194">
        <w:rPr>
          <w:rStyle w:val="nfasis"/>
          <w:rFonts w:eastAsiaTheme="majorEastAsia"/>
        </w:rPr>
        <w:t>heterotrait-monotrait</w:t>
      </w:r>
      <w:proofErr w:type="spellEnd"/>
      <w:r w:rsidRPr="00401194">
        <w:rPr>
          <w:rStyle w:val="nfasis"/>
          <w:rFonts w:eastAsiaTheme="majorEastAsia"/>
        </w:rPr>
        <w:t>).</w:t>
      </w:r>
      <w:r w:rsidRPr="00401194">
        <w:t xml:space="preserve"> </w:t>
      </w:r>
      <w:proofErr w:type="gramStart"/>
      <w:r w:rsidRPr="00401194">
        <w:t>El ratio</w:t>
      </w:r>
      <w:proofErr w:type="gramEnd"/>
      <w:r w:rsidRPr="00401194">
        <w:t xml:space="preserve"> HTMT entre pares de constructos confirmó validez discriminante:</w:t>
      </w:r>
    </w:p>
    <w:p w:rsidR="00D723C2" w:rsidRPr="00401194" w:rsidRDefault="00D723C2" w:rsidP="00D723C2">
      <w:pPr>
        <w:numPr>
          <w:ilvl w:val="0"/>
          <w:numId w:val="1"/>
        </w:numPr>
        <w:spacing w:before="100" w:beforeAutospacing="1" w:after="100" w:afterAutospacing="1" w:line="240" w:lineRule="auto"/>
      </w:pPr>
      <w:r w:rsidRPr="00401194">
        <w:t>CD ↔ AD: 0.58</w:t>
      </w:r>
    </w:p>
    <w:p w:rsidR="00D723C2" w:rsidRPr="00401194" w:rsidRDefault="00D723C2" w:rsidP="00D723C2">
      <w:pPr>
        <w:numPr>
          <w:ilvl w:val="0"/>
          <w:numId w:val="1"/>
        </w:numPr>
        <w:spacing w:before="100" w:beforeAutospacing="1" w:after="100" w:afterAutospacing="1" w:line="240" w:lineRule="auto"/>
      </w:pPr>
      <w:r w:rsidRPr="00401194">
        <w:t>CD ↔ DT: 0.56</w:t>
      </w:r>
    </w:p>
    <w:p w:rsidR="00D723C2" w:rsidRPr="00401194" w:rsidRDefault="00D723C2" w:rsidP="00D723C2">
      <w:pPr>
        <w:numPr>
          <w:ilvl w:val="0"/>
          <w:numId w:val="1"/>
        </w:numPr>
        <w:spacing w:before="100" w:beforeAutospacing="1" w:after="100" w:afterAutospacing="1" w:line="240" w:lineRule="auto"/>
      </w:pPr>
      <w:r w:rsidRPr="00401194">
        <w:t>CD ↔ DC: 0.61</w:t>
      </w:r>
    </w:p>
    <w:p w:rsidR="00D723C2" w:rsidRPr="00401194" w:rsidRDefault="00D723C2" w:rsidP="00D723C2">
      <w:pPr>
        <w:numPr>
          <w:ilvl w:val="0"/>
          <w:numId w:val="1"/>
        </w:numPr>
        <w:spacing w:before="100" w:beforeAutospacing="1" w:after="100" w:afterAutospacing="1" w:line="240" w:lineRule="auto"/>
      </w:pPr>
      <w:r w:rsidRPr="00401194">
        <w:t>AD ↔ DT: 0.52</w:t>
      </w:r>
    </w:p>
    <w:p w:rsidR="00D723C2" w:rsidRPr="00401194" w:rsidRDefault="00D723C2" w:rsidP="00D723C2">
      <w:pPr>
        <w:numPr>
          <w:ilvl w:val="0"/>
          <w:numId w:val="1"/>
        </w:numPr>
        <w:spacing w:before="100" w:beforeAutospacing="1" w:after="100" w:afterAutospacing="1" w:line="240" w:lineRule="auto"/>
      </w:pPr>
      <w:r w:rsidRPr="00401194">
        <w:t>AD ↔ DC: 0.49</w:t>
      </w:r>
    </w:p>
    <w:p w:rsidR="00D723C2" w:rsidRPr="00401194" w:rsidRDefault="00D723C2" w:rsidP="00D723C2">
      <w:pPr>
        <w:numPr>
          <w:ilvl w:val="0"/>
          <w:numId w:val="1"/>
        </w:numPr>
        <w:spacing w:before="100" w:beforeAutospacing="1" w:after="100" w:afterAutospacing="1" w:line="240" w:lineRule="auto"/>
      </w:pPr>
      <w:r w:rsidRPr="00401194">
        <w:t>DT ↔ DC: 0.37</w:t>
      </w:r>
    </w:p>
    <w:p w:rsidR="00D723C2" w:rsidRPr="00401194" w:rsidRDefault="00D723C2" w:rsidP="00D723C2">
      <w:r w:rsidRPr="00401194">
        <w:t>Todos los valores &lt; 0.85 (</w:t>
      </w:r>
      <w:proofErr w:type="spellStart"/>
      <w:r w:rsidRPr="00401194">
        <w:t>Henseler</w:t>
      </w:r>
      <w:proofErr w:type="spellEnd"/>
      <w:r w:rsidRPr="00401194">
        <w:t xml:space="preserve"> et al., 2015).</w:t>
      </w:r>
    </w:p>
    <w:p w:rsidR="00D723C2" w:rsidRPr="00401194" w:rsidRDefault="00D723C2" w:rsidP="00D723C2">
      <w:pPr>
        <w:rPr>
          <w:rStyle w:val="nfasis"/>
          <w:rFonts w:eastAsiaTheme="majorEastAsia"/>
        </w:rPr>
      </w:pPr>
    </w:p>
    <w:p w:rsidR="00D723C2" w:rsidRPr="00401194" w:rsidRDefault="00D723C2" w:rsidP="00D723C2">
      <w:r w:rsidRPr="00401194">
        <w:rPr>
          <w:rStyle w:val="nfasis"/>
          <w:rFonts w:eastAsiaTheme="majorEastAsia"/>
        </w:rPr>
        <w:t xml:space="preserve">E.3 </w:t>
      </w:r>
      <w:proofErr w:type="spellStart"/>
      <w:r w:rsidRPr="00401194">
        <w:rPr>
          <w:rStyle w:val="nfasis"/>
          <w:rFonts w:eastAsiaTheme="majorEastAsia"/>
        </w:rPr>
        <w:t>Blindfolding</w:t>
      </w:r>
      <w:proofErr w:type="spellEnd"/>
      <w:r w:rsidRPr="00401194">
        <w:rPr>
          <w:rStyle w:val="nfasis"/>
          <w:rFonts w:eastAsiaTheme="majorEastAsia"/>
        </w:rPr>
        <w:t xml:space="preserve"> y relevancia predictiva (Q²).</w:t>
      </w:r>
      <w:r w:rsidRPr="00401194">
        <w:t xml:space="preserve"> Mediante el procedimiento de omisión de casos (</w:t>
      </w:r>
      <w:proofErr w:type="spellStart"/>
      <w:r w:rsidRPr="00401194">
        <w:t>blindfolding</w:t>
      </w:r>
      <w:proofErr w:type="spellEnd"/>
      <w:r w:rsidRPr="00401194">
        <w:t>) con distancia de omisión = 7:</w:t>
      </w:r>
    </w:p>
    <w:p w:rsidR="00D723C2" w:rsidRPr="00401194" w:rsidRDefault="00D723C2" w:rsidP="00D723C2">
      <w:pPr>
        <w:numPr>
          <w:ilvl w:val="0"/>
          <w:numId w:val="2"/>
        </w:numPr>
        <w:spacing w:before="100" w:beforeAutospacing="1" w:after="100" w:afterAutospacing="1" w:line="240" w:lineRule="auto"/>
      </w:pPr>
      <w:r w:rsidRPr="00401194">
        <w:t xml:space="preserve">Desempeño en la Tarea: </w:t>
      </w:r>
      <w:r w:rsidRPr="00401194">
        <w:rPr>
          <w:rStyle w:val="nfasis"/>
          <w:rFonts w:eastAsiaTheme="majorEastAsia"/>
        </w:rPr>
        <w:t>Q</w:t>
      </w:r>
      <w:r w:rsidRPr="00401194">
        <w:t>² = 0.21 (</w:t>
      </w:r>
      <w:proofErr w:type="gramStart"/>
      <w:r w:rsidRPr="00401194">
        <w:t>mediocre</w:t>
      </w:r>
      <w:proofErr w:type="gramEnd"/>
      <w:r w:rsidRPr="00401194">
        <w:t xml:space="preserve"> pero &gt; 0, indica capacidad predictiva no trivial)</w:t>
      </w:r>
    </w:p>
    <w:p w:rsidR="00D723C2" w:rsidRPr="00401194" w:rsidRDefault="00D723C2" w:rsidP="00D723C2">
      <w:pPr>
        <w:numPr>
          <w:ilvl w:val="0"/>
          <w:numId w:val="2"/>
        </w:numPr>
        <w:spacing w:before="100" w:beforeAutospacing="1" w:after="100" w:afterAutospacing="1" w:line="240" w:lineRule="auto"/>
      </w:pPr>
      <w:r w:rsidRPr="00401194">
        <w:t xml:space="preserve">Desempeño Contextual: </w:t>
      </w:r>
      <w:r w:rsidRPr="00401194">
        <w:rPr>
          <w:rStyle w:val="nfasis"/>
          <w:rFonts w:eastAsiaTheme="majorEastAsia"/>
        </w:rPr>
        <w:t>Q</w:t>
      </w:r>
      <w:r w:rsidRPr="00401194">
        <w:t>² = 0.26 (</w:t>
      </w:r>
      <w:proofErr w:type="gramStart"/>
      <w:r w:rsidRPr="00401194">
        <w:t>mediocre</w:t>
      </w:r>
      <w:proofErr w:type="gramEnd"/>
      <w:r w:rsidRPr="00401194">
        <w:t xml:space="preserve"> pero &gt; 0)</w:t>
      </w:r>
    </w:p>
    <w:p w:rsidR="00D723C2" w:rsidRPr="00401194" w:rsidRDefault="00D723C2" w:rsidP="00D723C2">
      <w:pPr>
        <w:spacing w:before="100" w:beforeAutospacing="1" w:after="100" w:afterAutospacing="1" w:line="240" w:lineRule="auto"/>
        <w:ind w:left="720" w:firstLine="0"/>
      </w:pPr>
    </w:p>
    <w:p w:rsidR="00D723C2" w:rsidRDefault="00D723C2" w:rsidP="00D723C2">
      <w:pPr>
        <w:rPr>
          <w:rStyle w:val="nfasis"/>
          <w:rFonts w:eastAsiaTheme="majorEastAsia"/>
        </w:rPr>
      </w:pPr>
      <w:r w:rsidRPr="00401194">
        <w:rPr>
          <w:rStyle w:val="nfasis"/>
          <w:rFonts w:eastAsiaTheme="majorEastAsia"/>
        </w:rPr>
        <w:t>E.4 Efectos específicos del modelo estructural (resumen)</w:t>
      </w:r>
    </w:p>
    <w:p w:rsidR="00D723C2" w:rsidRDefault="00D723C2" w:rsidP="00D723C2">
      <w:pPr>
        <w:pStyle w:val="Descripcin"/>
        <w:ind w:firstLine="0"/>
        <w:rPr>
          <w:color w:val="000000" w:themeColor="text1"/>
          <w:sz w:val="24"/>
          <w:szCs w:val="24"/>
        </w:rPr>
      </w:pPr>
      <w:bookmarkStart w:id="16" w:name="_Toc227590377"/>
      <w:r w:rsidRPr="008B3E15">
        <w:rPr>
          <w:b/>
          <w:i w:val="0"/>
          <w:color w:val="000000" w:themeColor="text1"/>
          <w:sz w:val="24"/>
          <w:szCs w:val="24"/>
        </w:rPr>
        <w:t xml:space="preserve">Tabla 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begin"/>
      </w:r>
      <w:r w:rsidRPr="008B3E15">
        <w:rPr>
          <w:b/>
          <w:i w:val="0"/>
          <w:color w:val="000000" w:themeColor="text1"/>
          <w:sz w:val="24"/>
          <w:szCs w:val="24"/>
        </w:rPr>
        <w:instrText xml:space="preserve"> SEQ Tabla \* ARABIC </w:instrText>
      </w:r>
      <w:r w:rsidRPr="008B3E15">
        <w:rPr>
          <w:b/>
          <w:i w:val="0"/>
          <w:color w:val="000000" w:themeColor="text1"/>
          <w:sz w:val="24"/>
          <w:szCs w:val="24"/>
        </w:rPr>
        <w:fldChar w:fldCharType="separate"/>
      </w:r>
      <w:r w:rsidRPr="008B3E15">
        <w:rPr>
          <w:b/>
          <w:i w:val="0"/>
          <w:noProof/>
          <w:color w:val="000000" w:themeColor="text1"/>
          <w:sz w:val="24"/>
          <w:szCs w:val="24"/>
        </w:rPr>
        <w:t>12</w:t>
      </w:r>
      <w:r w:rsidRPr="008B3E15">
        <w:rPr>
          <w:b/>
          <w:i w:val="0"/>
          <w:color w:val="000000" w:themeColor="text1"/>
          <w:sz w:val="24"/>
          <w:szCs w:val="24"/>
        </w:rPr>
        <w:fldChar w:fldCharType="end"/>
      </w:r>
    </w:p>
    <w:p w:rsidR="00D723C2" w:rsidRPr="008B3E15" w:rsidRDefault="00D723C2" w:rsidP="00D723C2">
      <w:pPr>
        <w:pStyle w:val="Descripcin"/>
        <w:ind w:firstLine="0"/>
        <w:rPr>
          <w:b/>
          <w:i w:val="0"/>
          <w:color w:val="000000" w:themeColor="text1"/>
          <w:sz w:val="24"/>
          <w:szCs w:val="24"/>
        </w:rPr>
      </w:pPr>
      <w:r w:rsidRPr="008B3E15">
        <w:rPr>
          <w:color w:val="000000" w:themeColor="text1"/>
          <w:sz w:val="24"/>
          <w:szCs w:val="24"/>
        </w:rPr>
        <w:t>Efectos específicos del modelo estructural</w:t>
      </w:r>
      <w:bookmarkEnd w:id="16"/>
    </w:p>
    <w:tbl>
      <w:tblPr>
        <w:tblStyle w:val="APA7TAB"/>
        <w:tblW w:w="0" w:type="auto"/>
        <w:tblLook w:val="04A0" w:firstRow="1" w:lastRow="0" w:firstColumn="1" w:lastColumn="0" w:noHBand="0" w:noVBand="1"/>
      </w:tblPr>
      <w:tblGrid>
        <w:gridCol w:w="1984"/>
        <w:gridCol w:w="516"/>
        <w:gridCol w:w="1580"/>
        <w:gridCol w:w="636"/>
        <w:gridCol w:w="516"/>
        <w:gridCol w:w="3606"/>
      </w:tblGrid>
      <w:tr w:rsidR="00D723C2" w:rsidRPr="00401194" w:rsidTr="003004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</w:rPr>
              <w:t>Efecto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rStyle w:val="nfasis"/>
                <w:rFonts w:eastAsiaTheme="majorEastAsia"/>
                <w:b/>
              </w:rPr>
              <w:t>β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</w:rPr>
              <w:t>IC 95% (</w:t>
            </w:r>
            <w:proofErr w:type="spellStart"/>
            <w:r w:rsidRPr="006D75EF">
              <w:rPr>
                <w:b/>
              </w:rPr>
              <w:t>BCa</w:t>
            </w:r>
            <w:proofErr w:type="spellEnd"/>
            <w:r w:rsidRPr="006D75EF">
              <w:rPr>
                <w:b/>
              </w:rPr>
              <w:t>)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rStyle w:val="nfasis"/>
                <w:rFonts w:eastAsiaTheme="majorEastAsia"/>
                <w:b/>
              </w:rPr>
              <w:t>t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rStyle w:val="nfasis"/>
                <w:rFonts w:eastAsiaTheme="majorEastAsia"/>
                <w:b/>
              </w:rPr>
              <w:t>f</w:t>
            </w:r>
            <w:r w:rsidRPr="006D75EF">
              <w:rPr>
                <w:b/>
              </w:rPr>
              <w:t>²</w:t>
            </w:r>
          </w:p>
        </w:tc>
        <w:tc>
          <w:tcPr>
            <w:tcW w:w="0" w:type="auto"/>
            <w:hideMark/>
          </w:tcPr>
          <w:p w:rsidR="00D723C2" w:rsidRPr="006D75EF" w:rsidRDefault="00D723C2" w:rsidP="003004D4">
            <w:pPr>
              <w:ind w:firstLine="0"/>
              <w:jc w:val="center"/>
              <w:rPr>
                <w:b/>
              </w:rPr>
            </w:pPr>
            <w:r w:rsidRPr="006D75EF">
              <w:rPr>
                <w:b/>
              </w:rPr>
              <w:t>Decisión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  <w:rPr>
                <w:b/>
                <w:bCs/>
              </w:rPr>
            </w:pPr>
            <w:r w:rsidRPr="00401194">
              <w:t>CD → AD (H1)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.68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[.52, .81]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8.92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.46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Significativo, efecto grande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AD → DT (H2a)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.51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[.34, .67]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6.45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.35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Significativo, efecto grande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lastRenderedPageBreak/>
              <w:t>AD → DC (H2b)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.56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[.39, .71]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7.12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.42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Significativo, efecto grande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CD → DT (directo)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.12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[-.03, .28]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1.54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.02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No significativo (mediación completa)</w:t>
            </w:r>
          </w:p>
        </w:tc>
      </w:tr>
      <w:tr w:rsidR="00D723C2" w:rsidRPr="00401194" w:rsidTr="003004D4"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CD → DC (directo)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.08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[-.06, .23]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1.21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.01</w:t>
            </w:r>
          </w:p>
        </w:tc>
        <w:tc>
          <w:tcPr>
            <w:tcW w:w="0" w:type="auto"/>
            <w:hideMark/>
          </w:tcPr>
          <w:p w:rsidR="00D723C2" w:rsidRPr="00401194" w:rsidRDefault="00D723C2" w:rsidP="003004D4">
            <w:pPr>
              <w:ind w:firstLine="0"/>
            </w:pPr>
            <w:r w:rsidRPr="00401194">
              <w:t>No significativo (mediación completa)</w:t>
            </w:r>
          </w:p>
        </w:tc>
      </w:tr>
    </w:tbl>
    <w:p w:rsidR="00D723C2" w:rsidRPr="00860C3D" w:rsidRDefault="00D723C2" w:rsidP="00860C3D">
      <w:pPr>
        <w:ind w:firstLine="0"/>
        <w:jc w:val="both"/>
        <w:rPr>
          <w:sz w:val="20"/>
          <w:szCs w:val="20"/>
        </w:rPr>
      </w:pPr>
      <w:r w:rsidRPr="00860C3D">
        <w:rPr>
          <w:rStyle w:val="nfasis"/>
          <w:rFonts w:eastAsiaTheme="majorEastAsia"/>
          <w:sz w:val="20"/>
          <w:szCs w:val="20"/>
        </w:rPr>
        <w:t>Nota.</w:t>
      </w:r>
      <w:r w:rsidRPr="00860C3D">
        <w:rPr>
          <w:sz w:val="20"/>
          <w:szCs w:val="20"/>
        </w:rPr>
        <w:t xml:space="preserve"> IC = Intervalo de Confianza; </w:t>
      </w:r>
      <w:proofErr w:type="spellStart"/>
      <w:r w:rsidRPr="00860C3D">
        <w:rPr>
          <w:sz w:val="20"/>
          <w:szCs w:val="20"/>
        </w:rPr>
        <w:t>BCa</w:t>
      </w:r>
      <w:proofErr w:type="spellEnd"/>
      <w:r w:rsidRPr="00860C3D">
        <w:rPr>
          <w:sz w:val="20"/>
          <w:szCs w:val="20"/>
        </w:rPr>
        <w:t xml:space="preserve"> = </w:t>
      </w:r>
      <w:proofErr w:type="spellStart"/>
      <w:r w:rsidRPr="00860C3D">
        <w:rPr>
          <w:sz w:val="20"/>
          <w:szCs w:val="20"/>
        </w:rPr>
        <w:t>Bias</w:t>
      </w:r>
      <w:proofErr w:type="spellEnd"/>
      <w:r w:rsidRPr="00860C3D">
        <w:rPr>
          <w:sz w:val="20"/>
          <w:szCs w:val="20"/>
        </w:rPr>
        <w:t xml:space="preserve"> </w:t>
      </w:r>
      <w:proofErr w:type="spellStart"/>
      <w:r w:rsidRPr="00860C3D">
        <w:rPr>
          <w:sz w:val="20"/>
          <w:szCs w:val="20"/>
        </w:rPr>
        <w:t>Corrected</w:t>
      </w:r>
      <w:proofErr w:type="spellEnd"/>
      <w:r w:rsidRPr="00860C3D">
        <w:rPr>
          <w:sz w:val="20"/>
          <w:szCs w:val="20"/>
        </w:rPr>
        <w:t xml:space="preserve"> </w:t>
      </w:r>
      <w:proofErr w:type="spellStart"/>
      <w:r w:rsidRPr="00860C3D">
        <w:rPr>
          <w:sz w:val="20"/>
          <w:szCs w:val="20"/>
        </w:rPr>
        <w:t>accelerated</w:t>
      </w:r>
      <w:proofErr w:type="spellEnd"/>
      <w:r w:rsidRPr="00860C3D">
        <w:rPr>
          <w:sz w:val="20"/>
          <w:szCs w:val="20"/>
        </w:rPr>
        <w:t xml:space="preserve">; </w:t>
      </w:r>
      <w:r w:rsidRPr="00860C3D">
        <w:rPr>
          <w:rStyle w:val="nfasis"/>
          <w:rFonts w:eastAsiaTheme="majorEastAsia"/>
          <w:sz w:val="20"/>
          <w:szCs w:val="20"/>
        </w:rPr>
        <w:t>f</w:t>
      </w:r>
      <w:r w:rsidRPr="00860C3D">
        <w:rPr>
          <w:sz w:val="20"/>
          <w:szCs w:val="20"/>
        </w:rPr>
        <w:t>² = tamaño del efecto local.</w:t>
      </w:r>
    </w:p>
    <w:p w:rsidR="00D723C2" w:rsidRPr="00401194" w:rsidRDefault="00D723C2" w:rsidP="00D723C2">
      <w:pPr>
        <w:rPr>
          <w:rStyle w:val="nfasis"/>
          <w:rFonts w:eastAsiaTheme="majorEastAsia"/>
        </w:rPr>
      </w:pPr>
    </w:p>
    <w:p w:rsidR="00D723C2" w:rsidRPr="00401194" w:rsidRDefault="00D723C2" w:rsidP="00D723C2">
      <w:r w:rsidRPr="00401194">
        <w:rPr>
          <w:rStyle w:val="nfasis"/>
          <w:rFonts w:eastAsiaTheme="majorEastAsia"/>
        </w:rPr>
        <w:t xml:space="preserve">E.5 </w:t>
      </w:r>
      <w:proofErr w:type="spellStart"/>
      <w:r w:rsidRPr="00401194">
        <w:rPr>
          <w:rStyle w:val="nfasis"/>
          <w:rFonts w:eastAsiaTheme="majorEastAsia"/>
        </w:rPr>
        <w:t>Sensitivity</w:t>
      </w:r>
      <w:proofErr w:type="spellEnd"/>
      <w:r w:rsidRPr="00401194">
        <w:rPr>
          <w:rStyle w:val="nfasis"/>
          <w:rFonts w:eastAsiaTheme="majorEastAsia"/>
        </w:rPr>
        <w:t xml:space="preserve"> </w:t>
      </w:r>
      <w:proofErr w:type="spellStart"/>
      <w:r w:rsidRPr="00401194">
        <w:rPr>
          <w:rStyle w:val="nfasis"/>
          <w:rFonts w:eastAsiaTheme="majorEastAsia"/>
        </w:rPr>
        <w:t>analysis</w:t>
      </w:r>
      <w:proofErr w:type="spellEnd"/>
      <w:r w:rsidRPr="00401194">
        <w:t xml:space="preserve"> Se evaluó la robustez de los coeficientes mediante </w:t>
      </w:r>
      <w:proofErr w:type="spellStart"/>
      <w:r w:rsidRPr="00401194">
        <w:t>bootstrap</w:t>
      </w:r>
      <w:proofErr w:type="spellEnd"/>
      <w:r w:rsidRPr="00401194">
        <w:t xml:space="preserve"> con 5,000 y 10,000 </w:t>
      </w:r>
      <w:proofErr w:type="spellStart"/>
      <w:r w:rsidRPr="00401194">
        <w:t>submuestras</w:t>
      </w:r>
      <w:proofErr w:type="spellEnd"/>
      <w:r w:rsidRPr="00401194">
        <w:t xml:space="preserve">. Los valores </w:t>
      </w:r>
      <w:r w:rsidRPr="00401194">
        <w:rPr>
          <w:rStyle w:val="nfasis"/>
          <w:rFonts w:eastAsiaTheme="majorEastAsia"/>
        </w:rPr>
        <w:t>t</w:t>
      </w:r>
      <w:r w:rsidRPr="00401194">
        <w:t xml:space="preserve"> y los intervalos de confianza mantuvieron estabilidad (variación &lt; 5%), confirmando la confiabilidad de las estimaciones reportadas en el cuerpo del informe.</w:t>
      </w:r>
    </w:p>
    <w:p w:rsidR="00D723C2" w:rsidRPr="00401194" w:rsidRDefault="00D723C2" w:rsidP="00D723C2">
      <w:pPr>
        <w:ind w:firstLine="0"/>
      </w:pPr>
    </w:p>
    <w:p w:rsidR="00D723C2" w:rsidRPr="00401194" w:rsidRDefault="00D723C2" w:rsidP="00D723C2"/>
    <w:p w:rsidR="00552C2F" w:rsidRDefault="00860C3D"/>
    <w:sectPr w:rsidR="00552C2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D51A3"/>
    <w:multiLevelType w:val="multilevel"/>
    <w:tmpl w:val="652E2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75E4687"/>
    <w:multiLevelType w:val="multilevel"/>
    <w:tmpl w:val="C8807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3C2"/>
    <w:rsid w:val="00156BE5"/>
    <w:rsid w:val="001F535E"/>
    <w:rsid w:val="0039245F"/>
    <w:rsid w:val="00413828"/>
    <w:rsid w:val="00860C3D"/>
    <w:rsid w:val="008F5DD0"/>
    <w:rsid w:val="00C2587B"/>
    <w:rsid w:val="00C44360"/>
    <w:rsid w:val="00D72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CDB308-8F47-4514-A50A-54FCDCA70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23C2"/>
    <w:pPr>
      <w:spacing w:after="0" w:line="480" w:lineRule="auto"/>
      <w:ind w:firstLine="720"/>
    </w:pPr>
    <w:rPr>
      <w:rFonts w:ascii="Times New Roman" w:eastAsia="Times New Roman" w:hAnsi="Times New Roman" w:cs="Times New Roman"/>
      <w:sz w:val="24"/>
      <w:szCs w:val="24"/>
      <w:lang w:val="es-CO" w:eastAsia="es-MX"/>
    </w:rPr>
  </w:style>
  <w:style w:type="paragraph" w:styleId="Ttulo2">
    <w:name w:val="heading 2"/>
    <w:aliases w:val="Nivel 2"/>
    <w:basedOn w:val="Normal"/>
    <w:next w:val="Normal"/>
    <w:link w:val="Ttulo2Car"/>
    <w:uiPriority w:val="9"/>
    <w:unhideWhenUsed/>
    <w:qFormat/>
    <w:rsid w:val="00D723C2"/>
    <w:pPr>
      <w:ind w:firstLine="0"/>
      <w:outlineLvl w:val="1"/>
    </w:pPr>
    <w:rPr>
      <w:b/>
      <w:bCs/>
    </w:rPr>
  </w:style>
  <w:style w:type="paragraph" w:styleId="Ttulo3">
    <w:name w:val="heading 3"/>
    <w:aliases w:val="Nivel 3"/>
    <w:basedOn w:val="Ttulo2"/>
    <w:next w:val="Normal"/>
    <w:link w:val="Ttulo3Car"/>
    <w:uiPriority w:val="9"/>
    <w:unhideWhenUsed/>
    <w:qFormat/>
    <w:rsid w:val="00D723C2"/>
    <w:pPr>
      <w:outlineLvl w:val="2"/>
    </w:pPr>
    <w:rPr>
      <w:rFonts w:eastAsiaTheme="majorEastAsia"/>
      <w:i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aliases w:val="Nivel 2 Car"/>
    <w:basedOn w:val="Fuentedeprrafopredeter"/>
    <w:link w:val="Ttulo2"/>
    <w:uiPriority w:val="9"/>
    <w:rsid w:val="00D723C2"/>
    <w:rPr>
      <w:rFonts w:ascii="Times New Roman" w:eastAsia="Times New Roman" w:hAnsi="Times New Roman" w:cs="Times New Roman"/>
      <w:b/>
      <w:bCs/>
      <w:sz w:val="24"/>
      <w:szCs w:val="24"/>
      <w:lang w:val="es-CO" w:eastAsia="es-MX"/>
    </w:rPr>
  </w:style>
  <w:style w:type="character" w:customStyle="1" w:styleId="Ttulo3Car">
    <w:name w:val="Título 3 Car"/>
    <w:aliases w:val="Nivel 3 Car"/>
    <w:basedOn w:val="Fuentedeprrafopredeter"/>
    <w:link w:val="Ttulo3"/>
    <w:uiPriority w:val="9"/>
    <w:rsid w:val="00D723C2"/>
    <w:rPr>
      <w:rFonts w:ascii="Times New Roman" w:eastAsiaTheme="majorEastAsia" w:hAnsi="Times New Roman" w:cs="Times New Roman"/>
      <w:b/>
      <w:bCs/>
      <w:i/>
      <w:sz w:val="24"/>
      <w:szCs w:val="24"/>
      <w:lang w:val="es-CO" w:eastAsia="es-MX"/>
    </w:rPr>
  </w:style>
  <w:style w:type="character" w:styleId="Textoennegrita">
    <w:name w:val="Strong"/>
    <w:basedOn w:val="Fuentedeprrafopredeter"/>
    <w:uiPriority w:val="22"/>
    <w:qFormat/>
    <w:rsid w:val="00D723C2"/>
    <w:rPr>
      <w:b/>
      <w:bCs/>
    </w:rPr>
  </w:style>
  <w:style w:type="character" w:styleId="nfasis">
    <w:name w:val="Emphasis"/>
    <w:basedOn w:val="Fuentedeprrafopredeter"/>
    <w:uiPriority w:val="20"/>
    <w:qFormat/>
    <w:rsid w:val="00D723C2"/>
    <w:rPr>
      <w:i/>
      <w:iCs/>
    </w:rPr>
  </w:style>
  <w:style w:type="paragraph" w:styleId="Descripcin">
    <w:name w:val="caption"/>
    <w:basedOn w:val="Normal"/>
    <w:next w:val="Normal"/>
    <w:uiPriority w:val="35"/>
    <w:unhideWhenUsed/>
    <w:qFormat/>
    <w:rsid w:val="00D723C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APA7TAB">
    <w:name w:val="APA 7 TAB"/>
    <w:basedOn w:val="Tablanormal"/>
    <w:uiPriority w:val="99"/>
    <w:rsid w:val="00D723C2"/>
    <w:pPr>
      <w:spacing w:after="0" w:line="360" w:lineRule="auto"/>
    </w:pPr>
    <w:rPr>
      <w:rFonts w:ascii="Times New Roman" w:hAnsi="Times New Roman"/>
      <w:kern w:val="2"/>
      <w:sz w:val="24"/>
      <w:lang w:val="es-CO"/>
      <w14:ligatures w14:val="standardContextual"/>
    </w:rPr>
    <w:tblPr>
      <w:tblBorders>
        <w:top w:val="single" w:sz="4" w:space="0" w:color="auto"/>
        <w:bottom w:val="single" w:sz="4" w:space="0" w:color="auto"/>
      </w:tblBorders>
    </w:tblPr>
    <w:tcPr>
      <w:vAlign w:val="center"/>
    </w:tcPr>
    <w:tblStylePr w:type="firstRow">
      <w:rPr>
        <w:color w:val="auto"/>
      </w:rPr>
      <w:tblPr/>
      <w:tcPr>
        <w:tcBorders>
          <w:top w:val="single" w:sz="4" w:space="0" w:color="auto"/>
          <w:bottom w:val="single" w:sz="4" w:space="0" w:color="auto"/>
          <w:insideH w:val="nil"/>
          <w:insideV w:val="nil"/>
        </w:tcBorders>
      </w:tcPr>
    </w:tblStylePr>
    <w:tblStylePr w:type="lastRow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1407</Words>
  <Characters>8021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2026-05-28T00:14:00Z</dcterms:created>
  <dcterms:modified xsi:type="dcterms:W3CDTF">2026-06-02T22:57:00Z</dcterms:modified>
</cp:coreProperties>
</file>